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Light" w:hAnsi="Segoe UI Light"/>
          <w:b/>
          <w:color w:val="1F3864"/>
          <w:sz w:val="60"/>
        </w:rPr>
        <w:t>Microsoft Agent 365</w:t>
      </w:r>
    </w:p>
    <w:p>
      <w:pPr>
        <w:jc w:val="center"/>
      </w:pPr>
      <w:r>
        <w:rPr>
          <w:color w:val="2E5496"/>
          <w:sz w:val="32"/>
        </w:rPr>
        <w:t>Automation Orchestrator — Setup and Operations Guide</w:t>
      </w:r>
    </w:p>
    <w:p>
      <w:pPr>
        <w:jc w:val="center"/>
      </w:pPr>
      <w:r>
        <w:rPr>
          <w:i/>
          <w:sz w:val="20"/>
        </w:rPr>
        <w:t>A365-AutomationOrchestrator.ps1</w:t>
        <w:br/>
        <w:t>Graph-only provisioning — no a365 CLI required</w:t>
      </w:r>
    </w:p>
    <w:p/>
    <w:tbl>
      <w:tblPr>
        <w:tblStyle w:val="LightGrid-Accent1"/>
        <w:tblW w:type="auto" w:w="0"/>
        <w:jc w:val="left"/>
        <w:tblLook w:firstColumn="1" w:firstRow="1" w:lastColumn="0" w:lastRow="0" w:noHBand="0" w:noVBand="1" w:val="04A0"/>
      </w:tblPr>
      <w:tblGrid>
        <w:gridCol w:w="4824"/>
        <w:gridCol w:w="4824"/>
      </w:tblGrid>
      <w:tr>
        <w:tc>
          <w:tcPr>
            <w:tcW w:type="dxa" w:w="2448"/>
          </w:tcPr>
          <w:p>
            <w:r/>
            <w:r>
              <w:rPr>
                <w:b/>
                <w:sz w:val="18"/>
              </w:rPr>
              <w:t>Item</w:t>
            </w:r>
          </w:p>
        </w:tc>
        <w:tc>
          <w:tcPr>
            <w:tcW w:type="dxa" w:w="7200"/>
          </w:tcPr>
          <w:p>
            <w:r/>
            <w:r>
              <w:rPr>
                <w:b/>
                <w:sz w:val="18"/>
              </w:rPr>
              <w:t>Value</w:t>
            </w:r>
          </w:p>
        </w:tc>
      </w:tr>
      <w:tr>
        <w:tc>
          <w:tcPr>
            <w:tcW w:type="dxa" w:w="2448"/>
          </w:tcPr>
          <w:p>
            <w:r/>
            <w:r>
              <w:rPr>
                <w:sz w:val="17"/>
              </w:rPr>
              <w:t>Document scope</w:t>
            </w:r>
          </w:p>
        </w:tc>
        <w:tc>
          <w:tcPr>
            <w:tcW w:type="dxa" w:w="7200"/>
          </w:tcPr>
          <w:p>
            <w:r/>
            <w:r>
              <w:rPr>
                <w:sz w:val="17"/>
              </w:rPr>
              <w:t>Everything required to install, permission, and run A365-AutomationOrchestrator.ps1</w:t>
            </w:r>
          </w:p>
        </w:tc>
      </w:tr>
      <w:tr>
        <w:tc>
          <w:tcPr>
            <w:tcW w:type="dxa" w:w="2448"/>
          </w:tcPr>
          <w:p>
            <w:r/>
            <w:r>
              <w:rPr>
                <w:sz w:val="17"/>
              </w:rPr>
              <w:t>Scripts covered</w:t>
            </w:r>
          </w:p>
        </w:tc>
        <w:tc>
          <w:tcPr>
            <w:tcW w:type="dxa" w:w="7200"/>
          </w:tcPr>
          <w:p>
            <w:r/>
            <w:r>
              <w:rPr>
                <w:sz w:val="17"/>
              </w:rPr>
              <w:t>10 - the orchestrator, the 4 provisioning and 4 removal scripts it invokes, and New-A365AutomationApp.ps1 as a one-time prerequisite</w:t>
            </w:r>
          </w:p>
        </w:tc>
      </w:tr>
      <w:tr>
        <w:tc>
          <w:tcPr>
            <w:tcW w:type="dxa" w:w="2448"/>
          </w:tcPr>
          <w:p>
            <w:r/>
            <w:r>
              <w:rPr>
                <w:sz w:val="17"/>
              </w:rPr>
              <w:t>API surface</w:t>
            </w:r>
          </w:p>
        </w:tc>
        <w:tc>
          <w:tcPr>
            <w:tcW w:type="dxa" w:w="7200"/>
          </w:tcPr>
          <w:p>
            <w:r/>
            <w:r>
              <w:rPr>
                <w:sz w:val="17"/>
              </w:rPr>
              <w:t>Microsoft Graph only, with one documented exception (Azure Key Vault)</w:t>
            </w:r>
          </w:p>
        </w:tc>
      </w:tr>
      <w:tr>
        <w:tc>
          <w:tcPr>
            <w:tcW w:type="dxa" w:w="2448"/>
          </w:tcPr>
          <w:p>
            <w:r/>
            <w:r>
              <w:rPr>
                <w:sz w:val="17"/>
              </w:rPr>
              <w:t>Minimum PowerShell</w:t>
            </w:r>
          </w:p>
        </w:tc>
        <w:tc>
          <w:tcPr>
            <w:tcW w:type="dxa" w:w="7200"/>
          </w:tcPr>
          <w:p>
            <w:r/>
            <w:r>
              <w:rPr>
                <w:rFonts w:ascii="Cascadia Mono" w:hAnsi="Cascadia Mono"/>
                <w:sz w:val="17"/>
                <w:rFonts w:ascii="Cascadia Mono" w:hAnsi="Cascadia Mono" w:cs="Cascadia Mono"/>
              </w:rPr>
              <w:t>7.0  (#requires -Version 7)</w:t>
            </w:r>
          </w:p>
        </w:tc>
      </w:tr>
      <w:tr>
        <w:tc>
          <w:tcPr>
            <w:tcW w:type="dxa" w:w="2448"/>
          </w:tcPr>
          <w:p>
            <w:r/>
            <w:r>
              <w:rPr>
                <w:sz w:val="17"/>
              </w:rPr>
              <w:t>Generated</w:t>
            </w:r>
          </w:p>
        </w:tc>
        <w:tc>
          <w:tcPr>
            <w:tcW w:type="dxa" w:w="7200"/>
          </w:tcPr>
          <w:p>
            <w:r/>
            <w:r>
              <w:rPr>
                <w:sz w:val="17"/>
              </w:rPr>
              <w:t>2026-09-01</w:t>
            </w:r>
          </w:p>
        </w:tc>
      </w:tr>
    </w:tbl>
    <w:p/>
    <w:p>
      <w:r>
        <w:br w:type="page"/>
      </w:r>
    </w:p>
    <w:p>
      <w:pPr>
        <w:pStyle w:val="Heading1"/>
      </w:pPr>
      <w:r>
        <w:t>1. What the orchestrator does</w:t>
      </w:r>
    </w:p>
    <w:p>
      <w:r>
        <w:rPr>
          <w:b w:val="0"/>
          <w:i w:val="0"/>
        </w:rPr>
        <w:t>A365-AutomationOrchestrator.ps1 provisions a complete Microsoft Agent 365 agent by invoking a set of single-purpose scripts in dependency order. It performs no Graph calls of its own — it validates the request, decides which phases run, and passes the identifiers each phase produces to the next one.</w:t>
      </w:r>
    </w:p>
    <w:p>
      <w:pPr>
        <w:pStyle w:val="Heading2"/>
      </w:pPr>
      <w:r>
        <w:t>1.1 The four objects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432"/>
          </w:tcPr>
          <w:p>
            <w:r/>
            <w:r>
              <w:rPr>
                <w:b/>
                <w:sz w:val="18"/>
              </w:rPr>
              <w:t>#</w:t>
            </w:r>
          </w:p>
        </w:tc>
        <w:tc>
          <w:tcPr>
            <w:tcW w:type="dxa" w:w="1584"/>
          </w:tcPr>
          <w:p>
            <w:r/>
            <w:r>
              <w:rPr>
                <w:b/>
                <w:sz w:val="18"/>
              </w:rPr>
              <w:t>Object</w:t>
            </w:r>
          </w:p>
        </w:tc>
        <w:tc>
          <w:tcPr>
            <w:tcW w:type="dxa" w:w="5040"/>
          </w:tcPr>
          <w:p>
            <w:r/>
            <w:r>
              <w:rPr>
                <w:b/>
                <w:sz w:val="18"/>
              </w:rPr>
              <w:t>What it is</w:t>
            </w:r>
          </w:p>
        </w:tc>
        <w:tc>
          <w:tcPr>
            <w:tcW w:type="dxa" w:w="2736"/>
          </w:tcPr>
          <w:p>
            <w:r/>
            <w:r>
              <w:rPr>
                <w:b/>
                <w:sz w:val="18"/>
              </w:rPr>
              <w:t>Created by</w:t>
            </w:r>
          </w:p>
        </w:tc>
      </w:tr>
      <w:tr>
        <w:tc>
          <w:tcPr>
            <w:tcW w:type="dxa" w:w="432"/>
          </w:tcPr>
          <w:p>
            <w:r/>
            <w:r>
              <w:rPr>
                <w:sz w:val="17"/>
              </w:rPr>
              <w:t>1</w:t>
            </w:r>
          </w:p>
        </w:tc>
        <w:tc>
          <w:tcPr>
            <w:tcW w:type="dxa" w:w="1584"/>
          </w:tcPr>
          <w:p>
            <w:r/>
            <w:r>
              <w:rPr>
                <w:sz w:val="17"/>
              </w:rPr>
              <w:t>Blueprint</w:t>
            </w:r>
          </w:p>
        </w:tc>
        <w:tc>
          <w:tcPr>
            <w:tcW w:type="dxa" w:w="5040"/>
          </w:tcPr>
          <w:p>
            <w:r/>
            <w:r>
              <w:rPr>
                <w:sz w:val="17"/>
              </w:rPr>
              <w:t>An Entra application of type agentIdentityBlueprint, plus its blueprint principal. Shared by every agent built from it.</w:t>
            </w:r>
          </w:p>
        </w:tc>
        <w:tc>
          <w:tcPr>
            <w:tcW w:type="dxa" w:w="2736"/>
          </w:tcPr>
          <w:p>
            <w:r/>
            <w:r>
              <w:rPr>
                <w:rFonts w:ascii="Cascadia Mono" w:hAnsi="Cascadia Mono"/>
                <w:sz w:val="17"/>
                <w:rFonts w:ascii="Cascadia Mono" w:hAnsi="Cascadia Mono" w:cs="Cascadia Mono"/>
              </w:rPr>
              <w:t>New-A365AgentBlueprint.ps1</w:t>
            </w:r>
          </w:p>
        </w:tc>
      </w:tr>
      <w:tr>
        <w:tc>
          <w:tcPr>
            <w:tcW w:type="dxa" w:w="432"/>
          </w:tcPr>
          <w:p>
            <w:r/>
            <w:r>
              <w:rPr>
                <w:sz w:val="17"/>
              </w:rPr>
              <w:t>2</w:t>
            </w:r>
          </w:p>
        </w:tc>
        <w:tc>
          <w:tcPr>
            <w:tcW w:type="dxa" w:w="1584"/>
          </w:tcPr>
          <w:p>
            <w:r/>
            <w:r>
              <w:rPr>
                <w:sz w:val="17"/>
              </w:rPr>
              <w:t>Agent identity</w:t>
            </w:r>
          </w:p>
        </w:tc>
        <w:tc>
          <w:tcPr>
            <w:tcW w:type="dxa" w:w="5040"/>
          </w:tcPr>
          <w:p>
            <w:r/>
            <w:r>
              <w:rPr>
                <w:sz w:val="17"/>
              </w:rPr>
              <w:t>A servicePrincipal of type agentIdentity, built on the blueprint. This is the agent's identity for token acquisition (fmi_path).</w:t>
            </w:r>
          </w:p>
        </w:tc>
        <w:tc>
          <w:tcPr>
            <w:tcW w:type="dxa" w:w="2736"/>
          </w:tcPr>
          <w:p>
            <w:r/>
            <w:r>
              <w:rPr>
                <w:rFonts w:ascii="Cascadia Mono" w:hAnsi="Cascadia Mono"/>
                <w:sz w:val="17"/>
                <w:rFonts w:ascii="Cascadia Mono" w:hAnsi="Cascadia Mono" w:cs="Cascadia Mono"/>
              </w:rPr>
              <w:t>New-A365AgentIdentity.ps1</w:t>
            </w:r>
          </w:p>
        </w:tc>
      </w:tr>
      <w:tr>
        <w:tc>
          <w:tcPr>
            <w:tcW w:type="dxa" w:w="432"/>
          </w:tcPr>
          <w:p>
            <w:r/>
            <w:r>
              <w:rPr>
                <w:sz w:val="17"/>
              </w:rPr>
              <w:t>3</w:t>
            </w:r>
          </w:p>
        </w:tc>
        <w:tc>
          <w:tcPr>
            <w:tcW w:type="dxa" w:w="1584"/>
          </w:tcPr>
          <w:p>
            <w:r/>
            <w:r>
              <w:rPr>
                <w:sz w:val="17"/>
              </w:rPr>
              <w:t>Agent user</w:t>
            </w:r>
          </w:p>
        </w:tc>
        <w:tc>
          <w:tcPr>
            <w:tcW w:type="dxa" w:w="5040"/>
          </w:tcPr>
          <w:p>
            <w:r/>
            <w:r>
              <w:rPr>
                <w:sz w:val="17"/>
              </w:rPr>
              <w:t>A real directory user of type agentUser, bound to the agent identity. Can hold a licence and a mailbox.</w:t>
            </w:r>
          </w:p>
        </w:tc>
        <w:tc>
          <w:tcPr>
            <w:tcW w:type="dxa" w:w="2736"/>
          </w:tcPr>
          <w:p>
            <w:r/>
            <w:r>
              <w:rPr>
                <w:rFonts w:ascii="Cascadia Mono" w:hAnsi="Cascadia Mono"/>
                <w:sz w:val="17"/>
                <w:rFonts w:ascii="Cascadia Mono" w:hAnsi="Cascadia Mono" w:cs="Cascadia Mono"/>
              </w:rPr>
              <w:t>New-A365AgentUser.ps1</w:t>
            </w:r>
          </w:p>
        </w:tc>
      </w:tr>
      <w:tr>
        <w:tc>
          <w:tcPr>
            <w:tcW w:type="dxa" w:w="432"/>
          </w:tcPr>
          <w:p>
            <w:r/>
            <w:r>
              <w:rPr>
                <w:sz w:val="17"/>
              </w:rPr>
              <w:t>4</w:t>
            </w:r>
          </w:p>
        </w:tc>
        <w:tc>
          <w:tcPr>
            <w:tcW w:type="dxa" w:w="1584"/>
          </w:tcPr>
          <w:p>
            <w:r/>
            <w:r>
              <w:rPr>
                <w:sz w:val="17"/>
              </w:rPr>
              <w:t>Registration</w:t>
            </w:r>
          </w:p>
        </w:tc>
        <w:tc>
          <w:tcPr>
            <w:tcW w:type="dxa" w:w="5040"/>
          </w:tcPr>
          <w:p>
            <w:r/>
            <w:r>
              <w:rPr>
                <w:sz w:val="17"/>
              </w:rPr>
              <w:t>The Microsoft 365 admin center inventory entry plus the agent registry instance.</w:t>
            </w:r>
          </w:p>
        </w:tc>
        <w:tc>
          <w:tcPr>
            <w:tcW w:type="dxa" w:w="2736"/>
          </w:tcPr>
          <w:p>
            <w:r/>
            <w:r>
              <w:rPr>
                <w:rFonts w:ascii="Cascadia Mono" w:hAnsi="Cascadia Mono"/>
                <w:sz w:val="17"/>
                <w:rFonts w:ascii="Cascadia Mono" w:hAnsi="Cascadia Mono" w:cs="Cascadia Mono"/>
              </w:rPr>
              <w:t>New-A365AgentRegistration.ps1</w:t>
            </w:r>
          </w:p>
        </w:tc>
      </w:tr>
    </w:tbl>
    <w:p/>
    <w:tbl>
      <w:tblPr>
        <w:tblW w:type="auto" w:w="0"/>
        <w:jc w:val="left"/>
        <w:tblLook w:firstColumn="1" w:firstRow="1" w:lastColumn="0" w:lastRow="0" w:noHBand="0" w:noVBand="1" w:val="04A0"/>
      </w:tblPr>
      <w:tblGrid>
        <w:gridCol w:w="9648"/>
      </w:tblGrid>
      <w:tr>
        <w:tc>
          <w:tcPr>
            <w:tcW w:type="dxa" w:w="9648"/>
            <w:shd w:val="clear" w:fill="E8F1FB"/>
          </w:tcPr>
          <w:p>
            <w:r>
              <w:rPr>
                <w:b/>
                <w:sz w:val="19"/>
              </w:rPr>
              <w:t>Agent user and registration are siblings, not a chain</w:t>
            </w:r>
          </w:p>
          <w:p>
            <w:r>
              <w:rPr>
                <w:sz w:val="19"/>
              </w:rPr>
              <w:t>Both depend only on the agent identity. If the agent user phase fails, the registration phase still runs. That is deliberate — a licensing problem should not prevent the agent from being registered.</w:t>
            </w:r>
          </w:p>
        </w:tc>
      </w:tr>
    </w:tbl>
    <w:p/>
    <w:p>
      <w:pPr>
        <w:pStyle w:val="Heading2"/>
      </w:pPr>
      <w:r>
        <w:t>1.2 Three modes of operation</w:t>
      </w:r>
    </w:p>
    <w:tbl>
      <w:tblPr>
        <w:tblStyle w:val="LightGrid-Accent1"/>
        <w:tblW w:type="auto" w:w="0"/>
        <w:jc w:val="left"/>
        <w:tblLook w:firstColumn="1" w:firstRow="1" w:lastColumn="0" w:lastRow="0" w:noHBand="0" w:noVBand="1" w:val="04A0"/>
      </w:tblPr>
      <w:tblGrid>
        <w:gridCol w:w="3216"/>
        <w:gridCol w:w="3216"/>
        <w:gridCol w:w="3216"/>
      </w:tblGrid>
      <w:tr>
        <w:tc>
          <w:tcPr>
            <w:tcW w:type="dxa" w:w="1152"/>
          </w:tcPr>
          <w:p>
            <w:r/>
            <w:r>
              <w:rPr>
                <w:b/>
                <w:sz w:val="18"/>
              </w:rPr>
              <w:t>Mode</w:t>
            </w:r>
          </w:p>
        </w:tc>
        <w:tc>
          <w:tcPr>
            <w:tcW w:type="dxa" w:w="3888"/>
          </w:tcPr>
          <w:p>
            <w:r/>
            <w:r>
              <w:rPr>
                <w:b/>
                <w:sz w:val="18"/>
              </w:rPr>
              <w:t>Switches</w:t>
            </w:r>
          </w:p>
        </w:tc>
        <w:tc>
          <w:tcPr>
            <w:tcW w:type="dxa" w:w="4752"/>
          </w:tcPr>
          <w:p>
            <w:r/>
            <w:r>
              <w:rPr>
                <w:b/>
                <w:sz w:val="18"/>
              </w:rPr>
              <w:t>Behaviour</w:t>
            </w:r>
          </w:p>
        </w:tc>
      </w:tr>
      <w:tr>
        <w:tc>
          <w:tcPr>
            <w:tcW w:type="dxa" w:w="1152"/>
          </w:tcPr>
          <w:p>
            <w:r/>
            <w:r>
              <w:rPr>
                <w:sz w:val="17"/>
              </w:rPr>
              <w:t>Create</w:t>
            </w:r>
          </w:p>
        </w:tc>
        <w:tc>
          <w:tcPr>
            <w:tcW w:type="dxa" w:w="3888"/>
          </w:tcPr>
          <w:p>
            <w:r/>
            <w:r>
              <w:rPr>
                <w:rFonts w:ascii="Cascadia Mono" w:hAnsi="Cascadia Mono"/>
                <w:sz w:val="17"/>
                <w:rFonts w:ascii="Cascadia Mono" w:hAnsi="Cascadia Mono" w:cs="Cascadia Mono"/>
              </w:rPr>
              <w:t>-NewBlueprint, -NewAgentIdentity, -NewAgentUser, -NewAgentRegistration</w:t>
            </w:r>
          </w:p>
        </w:tc>
        <w:tc>
          <w:tcPr>
            <w:tcW w:type="dxa" w:w="4752"/>
          </w:tcPr>
          <w:p>
            <w:r/>
            <w:r>
              <w:rPr>
                <w:sz w:val="17"/>
              </w:rPr>
              <w:t>Creates the selected objects. Phases run in dependency order 1→2→3→4.</w:t>
            </w:r>
          </w:p>
        </w:tc>
      </w:tr>
      <w:tr>
        <w:tc>
          <w:tcPr>
            <w:tcW w:type="dxa" w:w="1152"/>
          </w:tcPr>
          <w:p>
            <w:r/>
            <w:r>
              <w:rPr>
                <w:sz w:val="17"/>
              </w:rPr>
              <w:t>Update</w:t>
            </w:r>
          </w:p>
        </w:tc>
        <w:tc>
          <w:tcPr>
            <w:tcW w:type="dxa" w:w="3888"/>
          </w:tcPr>
          <w:p>
            <w:r/>
            <w:r>
              <w:rPr>
                <w:rFonts w:ascii="Cascadia Mono" w:hAnsi="Cascadia Mono"/>
                <w:sz w:val="17"/>
                <w:rFonts w:ascii="Cascadia Mono" w:hAnsi="Cascadia Mono" w:cs="Cascadia Mono"/>
              </w:rPr>
              <w:t>-UpdateBlueprint, -UpdateAgentIdentity, -UpdateAgentUser, -UpdateAgentRegistration</w:t>
            </w:r>
          </w:p>
        </w:tc>
        <w:tc>
          <w:tcPr>
            <w:tcW w:type="dxa" w:w="4752"/>
          </w:tcPr>
          <w:p>
            <w:r/>
            <w:r>
              <w:rPr>
                <w:sz w:val="17"/>
              </w:rPr>
              <w:t>Each takes the id of the object to change and writes ONLY the attributes you supply.</w:t>
            </w:r>
          </w:p>
        </w:tc>
      </w:tr>
      <w:tr>
        <w:tc>
          <w:tcPr>
            <w:tcW w:type="dxa" w:w="1152"/>
          </w:tcPr>
          <w:p>
            <w:r/>
            <w:r>
              <w:rPr>
                <w:sz w:val="17"/>
              </w:rPr>
              <w:t>Remove</w:t>
            </w:r>
          </w:p>
        </w:tc>
        <w:tc>
          <w:tcPr>
            <w:tcW w:type="dxa" w:w="3888"/>
          </w:tcPr>
          <w:p>
            <w:r/>
            <w:r>
              <w:rPr>
                <w:rFonts w:ascii="Cascadia Mono" w:hAnsi="Cascadia Mono"/>
                <w:sz w:val="17"/>
                <w:rFonts w:ascii="Cascadia Mono" w:hAnsi="Cascadia Mono" w:cs="Cascadia Mono"/>
              </w:rPr>
              <w:t>-RemoveBlueprint, -RemoveAgentIdentity, -RemoveAgentUser, -RemoveAgentRegistration</w:t>
            </w:r>
          </w:p>
        </w:tc>
        <w:tc>
          <w:tcPr>
            <w:tcW w:type="dxa" w:w="4752"/>
          </w:tcPr>
          <w:p>
            <w:r/>
            <w:r>
              <w:rPr>
                <w:sz w:val="17"/>
              </w:rPr>
              <w:t>Each takes the id of the object to delete. Runs AFTER all create/update phases, in reverse dependency order.</w:t>
            </w:r>
          </w:p>
        </w:tc>
      </w:tr>
    </w:tbl>
    <w:p/>
    <w:p>
      <w:r>
        <w:rPr>
          <w:b w:val="0"/>
          <w:i w:val="0"/>
        </w:rPr>
        <w:t>Create, update and remove can be combined in a single run. Removal always runs last, and in reverse dependency order (registration → agent user → agent identity → blueprint) so a parent is never deleted before the children discovered through it.</w:t>
      </w:r>
    </w:p>
    <w:p>
      <w:pPr>
        <w:pStyle w:val="Heading2"/>
      </w:pPr>
      <w:r>
        <w:t>1.3 Full capability list</w:t>
      </w:r>
    </w:p>
    <w:p>
      <w:pPr>
        <w:pStyle w:val="ListBullet"/>
        <w:spacing w:after="60"/>
        <w:ind w:left="360"/>
      </w:pPr>
      <w:r>
        <w:t>Create a blueprint with sponsors, owners, description, and declared API permissions.</w:t>
      </w:r>
    </w:p>
    <w:p>
      <w:pPr>
        <w:pStyle w:val="ListBullet"/>
        <w:spacing w:after="60"/>
        <w:ind w:left="360"/>
      </w:pPr>
      <w:r>
        <w:t>Grant tenant admin consent on the blueprint principal and make permissions inheritable.</w:t>
      </w:r>
    </w:p>
    <w:p>
      <w:pPr>
        <w:pStyle w:val="ListBullet"/>
        <w:spacing w:after="60"/>
        <w:ind w:left="360"/>
      </w:pPr>
      <w:r>
        <w:t>Create a client secret on the blueprint, and optionally store it in Azure Key Vault.</w:t>
      </w:r>
    </w:p>
    <w:p>
      <w:pPr>
        <w:pStyle w:val="ListBullet"/>
        <w:spacing w:after="60"/>
        <w:ind w:left="360"/>
      </w:pPr>
      <w:r>
        <w:t>Federate a managed identity to the blueprint (preferred over a client secret in production).</w:t>
      </w:r>
    </w:p>
    <w:p>
      <w:pPr>
        <w:pStyle w:val="ListBullet"/>
        <w:spacing w:after="60"/>
        <w:ind w:left="360"/>
      </w:pPr>
      <w:r>
        <w:t>Create an agent identity on a new or existing blueprint, with sponsors, owners and tags.</w:t>
      </w:r>
    </w:p>
    <w:p>
      <w:pPr>
        <w:pStyle w:val="ListBullet"/>
        <w:spacing w:after="60"/>
        <w:ind w:left="360"/>
      </w:pPr>
      <w:r>
        <w:t>Assign custom security attributes to the agent identity, with pre-flight validation.</w:t>
      </w:r>
    </w:p>
    <w:p>
      <w:pPr>
        <w:pStyle w:val="ListBullet"/>
        <w:spacing w:after="60"/>
        <w:ind w:left="360"/>
      </w:pPr>
      <w:r>
        <w:t>Create an agent user with manager, usage location, and an assigned licence.</w:t>
      </w:r>
    </w:p>
    <w:p>
      <w:pPr>
        <w:pStyle w:val="ListBullet"/>
        <w:spacing w:after="60"/>
        <w:ind w:left="360"/>
      </w:pPr>
      <w:r>
        <w:t>Register the agent in the Microsoft 365 admin center and the agent registry.</w:t>
      </w:r>
    </w:p>
    <w:p>
      <w:pPr>
        <w:pStyle w:val="ListBullet"/>
        <w:spacing w:after="60"/>
        <w:ind w:left="360"/>
      </w:pPr>
      <w:r>
        <w:t>Update any of the four objects, writing only the attributes supplied.</w:t>
      </w:r>
    </w:p>
    <w:p>
      <w:pPr>
        <w:pStyle w:val="ListBullet"/>
        <w:spacing w:after="60"/>
        <w:ind w:left="360"/>
      </w:pPr>
      <w:r>
        <w:t>Remove any of the four objects, with an inspect-only dry run and an optional recycle-bin purge.</w:t>
      </w:r>
    </w:p>
    <w:p>
      <w:pPr>
        <w:pStyle w:val="ListBullet"/>
        <w:spacing w:after="60"/>
        <w:ind w:left="360"/>
      </w:pPr>
      <w:r>
        <w:t>Write a per-run log for the orchestrator and every script it invokes, with credential redaction on by default.</w:t>
      </w:r>
    </w:p>
    <w:p>
      <w:pPr>
        <w:pStyle w:val="ListBullet"/>
        <w:spacing w:after="60"/>
        <w:ind w:left="360"/>
      </w:pPr>
      <w:r>
        <w:t>Emit a machine-readable JSON report of everything created, changed, or left outstanding.</w:t>
      </w:r>
    </w:p>
    <w:p>
      <w:r>
        <w:br w:type="page"/>
      </w:r>
    </w:p>
    <w:p>
      <w:pPr>
        <w:pStyle w:val="Heading1"/>
      </w:pPr>
      <w:r>
        <w:t>2. Software prerequisites</w:t>
      </w:r>
    </w:p>
    <w:p>
      <w:pPr>
        <w:pStyle w:val="Heading2"/>
      </w:pPr>
      <w:r>
        <w:t>2.1 Required</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736"/>
          </w:tcPr>
          <w:p>
            <w:r/>
            <w:r>
              <w:rPr>
                <w:b/>
                <w:sz w:val="18"/>
              </w:rPr>
              <w:t>Component</w:t>
            </w:r>
          </w:p>
        </w:tc>
        <w:tc>
          <w:tcPr>
            <w:tcW w:type="dxa" w:w="1152"/>
          </w:tcPr>
          <w:p>
            <w:r/>
            <w:r>
              <w:rPr>
                <w:b/>
                <w:sz w:val="18"/>
              </w:rPr>
              <w:t>Minimum</w:t>
            </w:r>
          </w:p>
        </w:tc>
        <w:tc>
          <w:tcPr>
            <w:tcW w:type="dxa" w:w="1584"/>
          </w:tcPr>
          <w:p>
            <w:r/>
            <w:r>
              <w:rPr>
                <w:b/>
                <w:sz w:val="18"/>
              </w:rPr>
              <w:t>Verified with</w:t>
            </w:r>
          </w:p>
        </w:tc>
        <w:tc>
          <w:tcPr>
            <w:tcW w:type="dxa" w:w="4320"/>
          </w:tcPr>
          <w:p>
            <w:r/>
            <w:r>
              <w:rPr>
                <w:b/>
                <w:sz w:val="18"/>
              </w:rPr>
              <w:t>Why</w:t>
            </w:r>
          </w:p>
        </w:tc>
      </w:tr>
      <w:tr>
        <w:tc>
          <w:tcPr>
            <w:tcW w:type="dxa" w:w="2736"/>
          </w:tcPr>
          <w:p>
            <w:r/>
            <w:r>
              <w:rPr>
                <w:sz w:val="17"/>
              </w:rPr>
              <w:t>PowerShell</w:t>
            </w:r>
          </w:p>
        </w:tc>
        <w:tc>
          <w:tcPr>
            <w:tcW w:type="dxa" w:w="1152"/>
          </w:tcPr>
          <w:p>
            <w:r/>
            <w:r>
              <w:rPr>
                <w:rFonts w:ascii="Cascadia Mono" w:hAnsi="Cascadia Mono"/>
                <w:sz w:val="17"/>
                <w:rFonts w:ascii="Cascadia Mono" w:hAnsi="Cascadia Mono" w:cs="Cascadia Mono"/>
              </w:rPr>
              <w:t>7.0</w:t>
            </w:r>
          </w:p>
        </w:tc>
        <w:tc>
          <w:tcPr>
            <w:tcW w:type="dxa" w:w="1584"/>
          </w:tcPr>
          <w:p>
            <w:r/>
            <w:r>
              <w:rPr>
                <w:rFonts w:ascii="Cascadia Mono" w:hAnsi="Cascadia Mono"/>
                <w:sz w:val="17"/>
                <w:rFonts w:ascii="Cascadia Mono" w:hAnsi="Cascadia Mono" w:cs="Cascadia Mono"/>
              </w:rPr>
              <w:t>7.6.5 (Core)</w:t>
            </w:r>
          </w:p>
        </w:tc>
        <w:tc>
          <w:tcPr>
            <w:tcW w:type="dxa" w:w="4320"/>
          </w:tcPr>
          <w:p>
            <w:r/>
            <w:r>
              <w:rPr>
                <w:sz w:val="17"/>
              </w:rPr>
              <w:t>The scripts declare #requires -Version 7 and use PowerShell 7 syntax throughout.</w:t>
            </w:r>
          </w:p>
        </w:tc>
      </w:tr>
      <w:tr>
        <w:tc>
          <w:tcPr>
            <w:tcW w:type="dxa" w:w="2736"/>
          </w:tcPr>
          <w:p>
            <w:r/>
            <w:r>
              <w:rPr>
                <w:sz w:val="17"/>
              </w:rPr>
              <w:t>Microsoft.Graph.Authentication</w:t>
            </w:r>
          </w:p>
        </w:tc>
        <w:tc>
          <w:tcPr>
            <w:tcW w:type="dxa" w:w="1152"/>
          </w:tcPr>
          <w:p>
            <w:r/>
            <w:r>
              <w:rPr>
                <w:rFonts w:ascii="Cascadia Mono" w:hAnsi="Cascadia Mono"/>
                <w:sz w:val="17"/>
                <w:rFonts w:ascii="Cascadia Mono" w:hAnsi="Cascadia Mono" w:cs="Cascadia Mono"/>
              </w:rPr>
              <w:t>2.x</w:t>
            </w:r>
          </w:p>
        </w:tc>
        <w:tc>
          <w:tcPr>
            <w:tcW w:type="dxa" w:w="1584"/>
          </w:tcPr>
          <w:p>
            <w:r/>
            <w:r>
              <w:rPr>
                <w:rFonts w:ascii="Cascadia Mono" w:hAnsi="Cascadia Mono"/>
                <w:sz w:val="17"/>
                <w:rFonts w:ascii="Cascadia Mono" w:hAnsi="Cascadia Mono" w:cs="Cascadia Mono"/>
              </w:rPr>
              <w:t>2.30.0</w:t>
            </w:r>
          </w:p>
        </w:tc>
        <w:tc>
          <w:tcPr>
            <w:tcW w:type="dxa" w:w="4320"/>
          </w:tcPr>
          <w:p>
            <w:r/>
            <w:r>
              <w:rPr>
                <w:sz w:val="17"/>
              </w:rPr>
              <w:t>The only module the scripts import. Supplies Connect-MgGraph and the authenticated Graph session.</w:t>
            </w:r>
          </w:p>
        </w:tc>
      </w:tr>
    </w:tbl>
    <w:p/>
    <w:p>
      <w:r>
        <w:rPr>
          <w:b w:val="0"/>
          <w:i w:val="0"/>
        </w:rPr>
        <w:t>Install the Graph module (this one module only — the full Microsoft.Graph meta-module is not needed):</w:t>
      </w:r>
    </w:p>
    <w:p>
      <w:pPr>
        <w:spacing w:before="80" w:after="160"/>
        <w:ind w:left="259"/>
        <w:shd w:val="clear" w:fill="F2F4F8"/>
      </w:pPr>
      <w:r>
        <w:rPr>
          <w:rFonts w:ascii="Cascadia Mono" w:hAnsi="Cascadia Mono"/>
          <w:sz w:val="17"/>
          <w:rFonts w:ascii="Cascadia Mono" w:hAnsi="Cascadia Mono" w:cs="Cascadia Mono"/>
        </w:rPr>
        <w:t>Install-Module Microsoft.Graph.Authentication -Scope CurrentUser</w:t>
      </w:r>
    </w:p>
    <w:tbl>
      <w:tblPr>
        <w:tblW w:type="auto" w:w="0"/>
        <w:jc w:val="left"/>
        <w:tblLook w:firstColumn="1" w:firstRow="1" w:lastColumn="0" w:lastRow="0" w:noHBand="0" w:noVBand="1" w:val="04A0"/>
      </w:tblPr>
      <w:tblGrid>
        <w:gridCol w:w="9648"/>
      </w:tblGrid>
      <w:tr>
        <w:tc>
          <w:tcPr>
            <w:tcW w:type="dxa" w:w="9648"/>
            <w:shd w:val="clear" w:fill="FFF4CE"/>
          </w:tcPr>
          <w:p>
            <w:r>
              <w:rPr>
                <w:b/>
                <w:sz w:val="19"/>
              </w:rPr>
              <w:t>Do not install the full Microsoft.Graph module</w:t>
            </w:r>
          </w:p>
          <w:p>
            <w:r>
              <w:rPr>
                <w:sz w:val="19"/>
              </w:rPr>
              <w:t>The suite calls Graph through Invoke-MgGraphRequest, so only Microsoft.Graph.Authentication is required. Installing the complete meta-module pulls in dozens of sub-modules and slows every session start.</w:t>
            </w:r>
          </w:p>
        </w:tc>
      </w:tr>
    </w:tbl>
    <w:p/>
    <w:p>
      <w:pPr>
        <w:pStyle w:val="Heading2"/>
      </w:pPr>
      <w:r>
        <w:t>2.2 Optional — only for Azure Key Vault</w:t>
      </w:r>
    </w:p>
    <w:p>
      <w:r>
        <w:rPr>
          <w:b w:val="0"/>
          <w:i w:val="0"/>
        </w:rPr>
        <w:t>These are needed only if you use -BlueprintKeyVaultName to store a client secret in Azure Key Vault, AND you authenticate interactively. App-only runs (client secret, certificate, managed identity) need neither.</w:t>
      </w:r>
    </w:p>
    <w:tbl>
      <w:tblPr>
        <w:tblStyle w:val="LightGrid-Accent1"/>
        <w:tblW w:type="auto" w:w="0"/>
        <w:jc w:val="left"/>
        <w:tblLook w:firstColumn="1" w:firstRow="1" w:lastColumn="0" w:lastRow="0" w:noHBand="0" w:noVBand="1" w:val="04A0"/>
      </w:tblPr>
      <w:tblGrid>
        <w:gridCol w:w="3216"/>
        <w:gridCol w:w="3216"/>
        <w:gridCol w:w="3216"/>
      </w:tblGrid>
      <w:tr>
        <w:tc>
          <w:tcPr>
            <w:tcW w:type="dxa" w:w="2016"/>
          </w:tcPr>
          <w:p>
            <w:r/>
            <w:r>
              <w:rPr>
                <w:b/>
                <w:sz w:val="18"/>
              </w:rPr>
              <w:t>Component</w:t>
            </w:r>
          </w:p>
        </w:tc>
        <w:tc>
          <w:tcPr>
            <w:tcW w:type="dxa" w:w="1584"/>
          </w:tcPr>
          <w:p>
            <w:r/>
            <w:r>
              <w:rPr>
                <w:b/>
                <w:sz w:val="18"/>
              </w:rPr>
              <w:t>Verified with</w:t>
            </w:r>
          </w:p>
        </w:tc>
        <w:tc>
          <w:tcPr>
            <w:tcW w:type="dxa" w:w="6048"/>
          </w:tcPr>
          <w:p>
            <w:r/>
            <w:r>
              <w:rPr>
                <w:b/>
                <w:sz w:val="18"/>
              </w:rPr>
              <w:t>When it is needed</w:t>
            </w:r>
          </w:p>
        </w:tc>
      </w:tr>
      <w:tr>
        <w:tc>
          <w:tcPr>
            <w:tcW w:type="dxa" w:w="2016"/>
          </w:tcPr>
          <w:p>
            <w:r/>
            <w:r>
              <w:rPr>
                <w:sz w:val="17"/>
              </w:rPr>
              <w:t>Azure CLI</w:t>
            </w:r>
          </w:p>
        </w:tc>
        <w:tc>
          <w:tcPr>
            <w:tcW w:type="dxa" w:w="1584"/>
          </w:tcPr>
          <w:p>
            <w:r/>
            <w:r>
              <w:rPr>
                <w:rFonts w:ascii="Cascadia Mono" w:hAnsi="Cascadia Mono"/>
                <w:sz w:val="17"/>
                <w:rFonts w:ascii="Cascadia Mono" w:hAnsi="Cascadia Mono" w:cs="Cascadia Mono"/>
              </w:rPr>
              <w:t>2.80.0</w:t>
            </w:r>
          </w:p>
        </w:tc>
        <w:tc>
          <w:tcPr>
            <w:tcW w:type="dxa" w:w="6048"/>
          </w:tcPr>
          <w:p>
            <w:r/>
            <w:r>
              <w:rPr>
                <w:sz w:val="17"/>
              </w:rPr>
              <w:t>Interactive runs that write to Key Vault: supplies the vault-audience token from your az login session.</w:t>
            </w:r>
          </w:p>
        </w:tc>
      </w:tr>
      <w:tr>
        <w:tc>
          <w:tcPr>
            <w:tcW w:type="dxa" w:w="2016"/>
          </w:tcPr>
          <w:p>
            <w:r/>
            <w:r>
              <w:rPr>
                <w:sz w:val="17"/>
              </w:rPr>
              <w:t>Az.Accounts</w:t>
            </w:r>
          </w:p>
        </w:tc>
        <w:tc>
          <w:tcPr>
            <w:tcW w:type="dxa" w:w="1584"/>
          </w:tcPr>
          <w:p>
            <w:r/>
            <w:r>
              <w:rPr>
                <w:rFonts w:ascii="Cascadia Mono" w:hAnsi="Cascadia Mono"/>
                <w:sz w:val="17"/>
                <w:rFonts w:ascii="Cascadia Mono" w:hAnsi="Cascadia Mono" w:cs="Cascadia Mono"/>
              </w:rPr>
              <w:t>5.4.0</w:t>
            </w:r>
          </w:p>
        </w:tc>
        <w:tc>
          <w:tcPr>
            <w:tcW w:type="dxa" w:w="6048"/>
          </w:tcPr>
          <w:p>
            <w:r/>
            <w:r>
              <w:rPr>
                <w:sz w:val="17"/>
              </w:rPr>
              <w:t>Alternative to the Azure CLI for the same purpose (Connect-AzAccount session).</w:t>
            </w:r>
          </w:p>
        </w:tc>
      </w:tr>
    </w:tbl>
    <w:p/>
    <w:p>
      <w:pPr>
        <w:pStyle w:val="Heading2"/>
      </w:pPr>
      <w:r>
        <w:t>2.3 Verify your environment</w:t>
      </w:r>
    </w:p>
    <w:p>
      <w:pPr>
        <w:spacing w:before="80" w:after="160"/>
        <w:ind w:left="259"/>
        <w:shd w:val="clear" w:fill="F2F4F8"/>
      </w:pPr>
      <w:r>
        <w:rPr>
          <w:rFonts w:ascii="Cascadia Mono" w:hAnsi="Cascadia Mono"/>
          <w:sz w:val="17"/>
          <w:rFonts w:ascii="Cascadia Mono" w:hAnsi="Cascadia Mono" w:cs="Cascadia Mono"/>
        </w:rPr>
        <w:t>$PSVersionTable.PSVersion                                   # expect 7.0 or higher</w:t>
        <w:br/>
        <w:t>Get-Module -ListAvailable Microsoft.Graph.Authentication    # expect 2.x</w:t>
        <w:br/>
        <w:br/>
        <w:t># Optional, only for interactive Key Vault writes:</w:t>
        <w:br/>
        <w:t>az version</w:t>
        <w:br/>
        <w:t>Get-Module -ListAvailable Az.Accounts</w:t>
      </w:r>
    </w:p>
    <w:p>
      <w:pPr>
        <w:pStyle w:val="Heading2"/>
      </w:pPr>
      <w:r>
        <w:t>2.4 Keep the suite together</w:t>
      </w:r>
    </w:p>
    <w:p>
      <w:r>
        <w:rPr>
          <w:b w:val="0"/>
          <w:i w:val="0"/>
        </w:rPr>
        <w:t>The orchestrator resolves the step scripts from its own directory. Keep all files in one folder, or pass -ScriptRoot to point at it explicitly. If a required script is missing the run fails immediately, naming the file and the phase that needs it.</w:t>
      </w:r>
    </w:p>
    <w:p>
      <w:r>
        <w:br w:type="page"/>
      </w:r>
    </w:p>
    <w:p>
      <w:pPr>
        <w:pStyle w:val="Heading1"/>
      </w:pPr>
      <w:r>
        <w:t>3. The automation application</w:t>
      </w:r>
    </w:p>
    <w:p>
      <w:r>
        <w:rPr>
          <w:b w:val="0"/>
          <w:i w:val="0"/>
        </w:rPr>
        <w:t>Unattended runs authenticate as an Entra application. New-A365AutomationApp.ps1 creates that application, adds the Microsoft Graph application roles for the scenarios you select, and can grant admin consent in the same run.</w:t>
      </w:r>
    </w:p>
    <w:p>
      <w:pPr>
        <w:pStyle w:val="Heading2"/>
      </w:pPr>
      <w:r>
        <w:t>3.1 Create it</w:t>
      </w:r>
    </w:p>
    <w:p>
      <w:pPr>
        <w:spacing w:before="80" w:after="160"/>
        <w:ind w:left="259"/>
        <w:shd w:val="clear" w:fill="F2F4F8"/>
      </w:pPr>
      <w:r>
        <w:rPr>
          <w:rFonts w:ascii="Cascadia Mono" w:hAnsi="Cascadia Mono"/>
          <w:sz w:val="17"/>
          <w:rFonts w:ascii="Cascadia Mono" w:hAnsi="Cascadia Mono" w:cs="Cascadia Mono"/>
        </w:rPr>
        <w:t>.\New-A365AutomationApp.ps1 `</w:t>
        <w:br/>
        <w:t xml:space="preserve">    -TenantId &lt;tenant-id&gt; `</w:t>
        <w:br/>
        <w:t xml:space="preserve">    -DisplayName 'A365 Provisioning Automation' `</w:t>
        <w:br/>
        <w:t xml:space="preserve">    -Scenario All `</w:t>
        <w:br/>
        <w:t xml:space="preserve">    -NewClientSecret</w:t>
      </w:r>
    </w:p>
    <w:tbl>
      <w:tblPr>
        <w:tblW w:type="auto" w:w="0"/>
        <w:jc w:val="left"/>
        <w:tblLook w:firstColumn="1" w:firstRow="1" w:lastColumn="0" w:lastRow="0" w:noHBand="0" w:noVBand="1" w:val="04A0"/>
      </w:tblPr>
      <w:tblGrid>
        <w:gridCol w:w="9648"/>
      </w:tblGrid>
      <w:tr>
        <w:tc>
          <w:tcPr>
            <w:tcW w:type="dxa" w:w="9648"/>
            <w:shd w:val="clear" w:fill="E8F1FB"/>
          </w:tcPr>
          <w:p>
            <w:r>
              <w:rPr>
                <w:b/>
                <w:sz w:val="19"/>
              </w:rPr>
              <w:t>App roles are granted by default</w:t>
            </w:r>
          </w:p>
          <w:p>
            <w:r>
              <w:rPr>
                <w:sz w:val="19"/>
              </w:rPr>
              <w:t>New-A365AutomationApp.ps1 grants the app roles as part of the run — there is no -GrantAdminConsent switch. Use -SkipGrant to create the application and its credentials WITHOUT granting them. If the caller lacks the directory role needed to consent, the script reports what is outstanding and prints a consent link.</w:t>
            </w:r>
          </w:p>
        </w:tc>
      </w:tr>
    </w:tbl>
    <w:p/>
    <w:p>
      <w:r>
        <w:rPr>
          <w:b w:val="0"/>
          <w:i w:val="0"/>
        </w:rPr>
        <w:t>Scenarios are additive — run the script once per scenario, or use All:</w:t>
      </w:r>
    </w:p>
    <w:tbl>
      <w:tblPr>
        <w:tblStyle w:val="LightGrid-Accent1"/>
        <w:tblW w:type="auto" w:w="0"/>
        <w:jc w:val="left"/>
        <w:tblLook w:firstColumn="1" w:firstRow="1" w:lastColumn="0" w:lastRow="0" w:noHBand="0" w:noVBand="1" w:val="04A0"/>
      </w:tblPr>
      <w:tblGrid>
        <w:gridCol w:w="4824"/>
        <w:gridCol w:w="4824"/>
      </w:tblGrid>
      <w:tr>
        <w:tc>
          <w:tcPr>
            <w:tcW w:type="dxa" w:w="1872"/>
          </w:tcPr>
          <w:p>
            <w:r/>
            <w:r>
              <w:rPr>
                <w:b/>
                <w:sz w:val="18"/>
              </w:rPr>
              <w:t>Scenario</w:t>
            </w:r>
          </w:p>
        </w:tc>
        <w:tc>
          <w:tcPr>
            <w:tcW w:type="dxa" w:w="7776"/>
          </w:tcPr>
          <w:p>
            <w:r/>
            <w:r>
              <w:rPr>
                <w:b/>
                <w:sz w:val="18"/>
              </w:rPr>
              <w:t>Covers</w:t>
            </w:r>
          </w:p>
        </w:tc>
      </w:tr>
      <w:tr>
        <w:tc>
          <w:tcPr>
            <w:tcW w:type="dxa" w:w="1872"/>
          </w:tcPr>
          <w:p>
            <w:r/>
            <w:r>
              <w:rPr>
                <w:rFonts w:ascii="Cascadia Mono" w:hAnsi="Cascadia Mono"/>
                <w:sz w:val="17"/>
                <w:rFonts w:ascii="Cascadia Mono" w:hAnsi="Cascadia Mono" w:cs="Cascadia Mono"/>
              </w:rPr>
              <w:t>Blueprint</w:t>
            </w:r>
          </w:p>
        </w:tc>
        <w:tc>
          <w:tcPr>
            <w:tcW w:type="dxa" w:w="7776"/>
          </w:tcPr>
          <w:p>
            <w:r/>
            <w:r>
              <w:rPr>
                <w:sz w:val="17"/>
              </w:rPr>
              <w:t>Creating and configuring blueprints and blueprint principals</w:t>
            </w:r>
          </w:p>
        </w:tc>
      </w:tr>
      <w:tr>
        <w:tc>
          <w:tcPr>
            <w:tcW w:type="dxa" w:w="1872"/>
          </w:tcPr>
          <w:p>
            <w:r/>
            <w:r>
              <w:rPr>
                <w:rFonts w:ascii="Cascadia Mono" w:hAnsi="Cascadia Mono"/>
                <w:sz w:val="17"/>
                <w:rFonts w:ascii="Cascadia Mono" w:hAnsi="Cascadia Mono" w:cs="Cascadia Mono"/>
              </w:rPr>
              <w:t>AgentIdentity</w:t>
            </w:r>
          </w:p>
        </w:tc>
        <w:tc>
          <w:tcPr>
            <w:tcW w:type="dxa" w:w="7776"/>
          </w:tcPr>
          <w:p>
            <w:r/>
            <w:r>
              <w:rPr>
                <w:sz w:val="17"/>
              </w:rPr>
              <w:t>Creating agent identities, including tags and custom security attributes</w:t>
            </w:r>
          </w:p>
        </w:tc>
      </w:tr>
      <w:tr>
        <w:tc>
          <w:tcPr>
            <w:tcW w:type="dxa" w:w="1872"/>
          </w:tcPr>
          <w:p>
            <w:r/>
            <w:r>
              <w:rPr>
                <w:rFonts w:ascii="Cascadia Mono" w:hAnsi="Cascadia Mono"/>
                <w:sz w:val="17"/>
                <w:rFonts w:ascii="Cascadia Mono" w:hAnsi="Cascadia Mono" w:cs="Cascadia Mono"/>
              </w:rPr>
              <w:t>Registration</w:t>
            </w:r>
          </w:p>
        </w:tc>
        <w:tc>
          <w:tcPr>
            <w:tcW w:type="dxa" w:w="7776"/>
          </w:tcPr>
          <w:p>
            <w:r/>
            <w:r>
              <w:rPr>
                <w:sz w:val="17"/>
              </w:rPr>
              <w:t>Registering agents in the admin center and the agent registry</w:t>
            </w:r>
          </w:p>
        </w:tc>
      </w:tr>
      <w:tr>
        <w:tc>
          <w:tcPr>
            <w:tcW w:type="dxa" w:w="1872"/>
          </w:tcPr>
          <w:p>
            <w:r>
              <w:t>AgentUser</w:t>
            </w:r>
          </w:p>
        </w:tc>
        <w:tc>
          <w:tcPr>
            <w:tcW w:type="dxa" w:w="7776"/>
          </w:tcPr>
          <w:p>
            <w:r/>
            <w:r>
              <w:rPr>
                <w:sz w:val="17"/>
              </w:rPr>
              <w:t>Agent users, licensing, and per-identity permission consent</w:t>
            </w:r>
          </w:p>
        </w:tc>
      </w:tr>
      <w:tr>
        <w:tc>
          <w:tcPr>
            <w:tcW w:type="dxa" w:w="1872"/>
          </w:tcPr>
          <w:p>
            <w:r/>
            <w:r>
              <w:rPr>
                <w:rFonts w:ascii="Cascadia Mono" w:hAnsi="Cascadia Mono"/>
                <w:sz w:val="17"/>
                <w:rFonts w:ascii="Cascadia Mono" w:hAnsi="Cascadia Mono" w:cs="Cascadia Mono"/>
              </w:rPr>
              <w:t>All</w:t>
            </w:r>
          </w:p>
        </w:tc>
        <w:tc>
          <w:tcPr>
            <w:tcW w:type="dxa" w:w="7776"/>
          </w:tcPr>
          <w:p>
            <w:r/>
            <w:r>
              <w:rPr>
                <w:sz w:val="17"/>
              </w:rPr>
              <w:t>Every role in the four scenarios above</w:t>
            </w:r>
          </w:p>
        </w:tc>
      </w:tr>
    </w:tbl>
    <w:p/>
    <w:p>
      <w:pPr>
        <w:pStyle w:val="Heading2"/>
      </w:pPr>
      <w:r>
        <w:t>3.2 Microsoft Graph application permissions</w:t>
      </w:r>
    </w:p>
    <w:p>
      <w:r>
        <w:rPr>
          <w:b w:val="0"/>
          <w:i w:val="0"/>
        </w:rPr>
        <w:t>The following are Microsoft Graph APPLICATION roles (not delegated scopes). They must be granted to the automation application's service principal and admin-consented.</w:t>
      </w:r>
    </w:p>
    <w:p>
      <w:pPr>
        <w:pStyle w:val="Heading3"/>
      </w:pPr>
      <w:r>
        <w:t>Scenario: Blueprint</w:t>
      </w:r>
    </w:p>
    <w:tbl>
      <w:tblPr>
        <w:tblStyle w:val="LightGrid-Accent1"/>
        <w:tblW w:type="auto" w:w="0"/>
        <w:jc w:val="left"/>
        <w:tblLook w:firstColumn="1" w:firstRow="1" w:lastColumn="0" w:lastRow="0" w:noHBand="0" w:noVBand="1" w:val="04A0"/>
      </w:tblPr>
      <w:tblGrid>
        <w:gridCol w:w="4824"/>
        <w:gridCol w:w="4824"/>
      </w:tblGrid>
      <w:tr>
        <w:tc>
          <w:tcPr>
            <w:tcW w:type="dxa" w:w="3744"/>
          </w:tcPr>
          <w:p>
            <w:r/>
            <w:r>
              <w:rPr>
                <w:b/>
                <w:sz w:val="18"/>
              </w:rPr>
              <w:t>Permission</w:t>
            </w:r>
          </w:p>
        </w:tc>
        <w:tc>
          <w:tcPr>
            <w:tcW w:type="dxa" w:w="5904"/>
          </w:tcPr>
          <w:p>
            <w:r/>
            <w:r>
              <w:rPr>
                <w:b/>
                <w:sz w:val="18"/>
              </w:rPr>
              <w:t>Why it is needed</w:t>
            </w:r>
          </w:p>
        </w:tc>
      </w:tr>
      <w:tr>
        <w:tc>
          <w:tcPr>
            <w:tcW w:type="dxa" w:w="3744"/>
          </w:tcPr>
          <w:p>
            <w:r/>
            <w:r>
              <w:rPr>
                <w:rFonts w:ascii="Cascadia Mono" w:hAnsi="Cascadia Mono"/>
                <w:sz w:val="17"/>
                <w:rFonts w:ascii="Cascadia Mono" w:hAnsi="Cascadia Mono" w:cs="Cascadia Mono"/>
              </w:rPr>
              <w:t>AgentIdentityBlueprint.Create</w:t>
            </w:r>
          </w:p>
        </w:tc>
        <w:tc>
          <w:tcPr>
            <w:tcW w:type="dxa" w:w="5904"/>
          </w:tcPr>
          <w:p>
            <w:r/>
            <w:r>
              <w:rPr>
                <w:sz w:val="17"/>
              </w:rPr>
              <w:t>Create the blueprint application</w:t>
            </w:r>
          </w:p>
        </w:tc>
      </w:tr>
      <w:tr>
        <w:tc>
          <w:tcPr>
            <w:tcW w:type="dxa" w:w="3744"/>
          </w:tcPr>
          <w:p>
            <w:r/>
            <w:r>
              <w:rPr>
                <w:rFonts w:ascii="Cascadia Mono" w:hAnsi="Cascadia Mono"/>
                <w:sz w:val="17"/>
                <w:rFonts w:ascii="Cascadia Mono" w:hAnsi="Cascadia Mono" w:cs="Cascadia Mono"/>
              </w:rPr>
              <w:t>AgentIdentityBlueprint.Read.All</w:t>
            </w:r>
          </w:p>
        </w:tc>
        <w:tc>
          <w:tcPr>
            <w:tcW w:type="dxa" w:w="5904"/>
          </w:tcPr>
          <w:p>
            <w:r/>
            <w:r>
              <w:rPr>
                <w:sz w:val="17"/>
              </w:rPr>
              <w:t>Read blueprints, resolve one by appId or objectId</w:t>
            </w:r>
          </w:p>
        </w:tc>
      </w:tr>
      <w:tr>
        <w:tc>
          <w:tcPr>
            <w:tcW w:type="dxa" w:w="3744"/>
          </w:tcPr>
          <w:p>
            <w:r/>
            <w:r>
              <w:rPr>
                <w:rFonts w:ascii="Cascadia Mono" w:hAnsi="Cascadia Mono"/>
                <w:sz w:val="17"/>
                <w:rFonts w:ascii="Cascadia Mono" w:hAnsi="Cascadia Mono" w:cs="Cascadia Mono"/>
              </w:rPr>
              <w:t>AgentIdentityBlueprint.ReadWrite.All</w:t>
            </w:r>
          </w:p>
        </w:tc>
        <w:tc>
          <w:tcPr>
            <w:tcW w:type="dxa" w:w="5904"/>
          </w:tcPr>
          <w:p>
            <w:r/>
            <w:r>
              <w:rPr>
                <w:sz w:val="17"/>
              </w:rPr>
              <w:t>Update the blueprint, declare required permissions, set inheritance</w:t>
            </w:r>
          </w:p>
        </w:tc>
      </w:tr>
      <w:tr>
        <w:tc>
          <w:tcPr>
            <w:tcW w:type="dxa" w:w="3744"/>
          </w:tcPr>
          <w:p>
            <w:r/>
            <w:r>
              <w:rPr>
                <w:rFonts w:ascii="Cascadia Mono" w:hAnsi="Cascadia Mono"/>
                <w:sz w:val="17"/>
                <w:rFonts w:ascii="Cascadia Mono" w:hAnsi="Cascadia Mono" w:cs="Cascadia Mono"/>
              </w:rPr>
              <w:t>AgentIdentityBlueprint.AddRemoveCreds.All</w:t>
            </w:r>
          </w:p>
        </w:tc>
        <w:tc>
          <w:tcPr>
            <w:tcW w:type="dxa" w:w="5904"/>
          </w:tcPr>
          <w:p>
            <w:r/>
            <w:r>
              <w:rPr>
                <w:sz w:val="17"/>
              </w:rPr>
              <w:t>addPassword (client secret) and federated identity credentials</w:t>
            </w:r>
          </w:p>
        </w:tc>
      </w:tr>
      <w:tr>
        <w:tc>
          <w:tcPr>
            <w:tcW w:type="dxa" w:w="3744"/>
          </w:tcPr>
          <w:p>
            <w:r/>
            <w:r>
              <w:rPr>
                <w:rFonts w:ascii="Cascadia Mono" w:hAnsi="Cascadia Mono"/>
                <w:sz w:val="17"/>
                <w:rFonts w:ascii="Cascadia Mono" w:hAnsi="Cascadia Mono" w:cs="Cascadia Mono"/>
              </w:rPr>
              <w:t>AgentIdentityBlueprintPrincipal.Create</w:t>
            </w:r>
          </w:p>
        </w:tc>
        <w:tc>
          <w:tcPr>
            <w:tcW w:type="dxa" w:w="5904"/>
          </w:tcPr>
          <w:p>
            <w:r/>
            <w:r>
              <w:rPr>
                <w:sz w:val="17"/>
              </w:rPr>
              <w:t>Create the blueprint principal</w:t>
            </w:r>
          </w:p>
        </w:tc>
      </w:tr>
      <w:tr>
        <w:tc>
          <w:tcPr>
            <w:tcW w:type="dxa" w:w="3744"/>
          </w:tcPr>
          <w:p>
            <w:r/>
            <w:r>
              <w:rPr>
                <w:rFonts w:ascii="Cascadia Mono" w:hAnsi="Cascadia Mono"/>
                <w:sz w:val="17"/>
                <w:rFonts w:ascii="Cascadia Mono" w:hAnsi="Cascadia Mono" w:cs="Cascadia Mono"/>
              </w:rPr>
              <w:t>AgentIdentityBlueprintPrincipal.Read.All</w:t>
            </w:r>
          </w:p>
        </w:tc>
        <w:tc>
          <w:tcPr>
            <w:tcW w:type="dxa" w:w="5904"/>
          </w:tcPr>
          <w:p>
            <w:r/>
            <w:r>
              <w:rPr>
                <w:sz w:val="17"/>
              </w:rPr>
              <w:t>Read the blueprint principal</w:t>
            </w:r>
          </w:p>
        </w:tc>
      </w:tr>
      <w:tr>
        <w:tc>
          <w:tcPr>
            <w:tcW w:type="dxa" w:w="3744"/>
          </w:tcPr>
          <w:p>
            <w:r/>
            <w:r>
              <w:rPr>
                <w:rFonts w:ascii="Cascadia Mono" w:hAnsi="Cascadia Mono"/>
                <w:sz w:val="17"/>
                <w:rFonts w:ascii="Cascadia Mono" w:hAnsi="Cascadia Mono" w:cs="Cascadia Mono"/>
              </w:rPr>
              <w:t>AgentIdentityBlueprintPrincipal.ReadWrite.All</w:t>
            </w:r>
          </w:p>
        </w:tc>
        <w:tc>
          <w:tcPr>
            <w:tcW w:type="dxa" w:w="5904"/>
          </w:tcPr>
          <w:p>
            <w:r/>
            <w:r>
              <w:rPr>
                <w:sz w:val="17"/>
              </w:rPr>
              <w:t>Assign owners on the blueprint PRINCIPAL</w:t>
            </w:r>
          </w:p>
        </w:tc>
      </w:tr>
      <w:tr>
        <w:tc>
          <w:tcPr>
            <w:tcW w:type="dxa" w:w="3744"/>
          </w:tcPr>
          <w:p>
            <w:r/>
            <w:r>
              <w:rPr>
                <w:rFonts w:ascii="Cascadia Mono" w:hAnsi="Cascadia Mono"/>
                <w:sz w:val="17"/>
                <w:rFonts w:ascii="Cascadia Mono" w:hAnsi="Cascadia Mono" w:cs="Cascadia Mono"/>
              </w:rPr>
              <w:t>Application.Read.All</w:t>
            </w:r>
          </w:p>
        </w:tc>
        <w:tc>
          <w:tcPr>
            <w:tcW w:type="dxa" w:w="5904"/>
          </w:tcPr>
          <w:p>
            <w:r/>
            <w:r>
              <w:rPr>
                <w:sz w:val="17"/>
              </w:rPr>
              <w:t>Resolve resource service principals when declaring permissions</w:t>
            </w:r>
          </w:p>
        </w:tc>
      </w:tr>
      <w:tr>
        <w:tc>
          <w:tcPr>
            <w:tcW w:type="dxa" w:w="3744"/>
          </w:tcPr>
          <w:p>
            <w:r/>
            <w:r>
              <w:rPr>
                <w:rFonts w:ascii="Cascadia Mono" w:hAnsi="Cascadia Mono"/>
                <w:sz w:val="17"/>
                <w:rFonts w:ascii="Cascadia Mono" w:hAnsi="Cascadia Mono" w:cs="Cascadia Mono"/>
              </w:rPr>
              <w:t>Application.ReadWrite.All</w:t>
            </w:r>
          </w:p>
        </w:tc>
        <w:tc>
          <w:tcPr>
            <w:tcW w:type="dxa" w:w="5904"/>
          </w:tcPr>
          <w:p>
            <w:r/>
            <w:r>
              <w:rPr>
                <w:sz w:val="17"/>
              </w:rPr>
              <w:t>Assign owners on the blueprint APPLICATION</w:t>
            </w:r>
          </w:p>
        </w:tc>
      </w:tr>
      <w:tr>
        <w:tc>
          <w:tcPr>
            <w:tcW w:type="dxa" w:w="3744"/>
          </w:tcPr>
          <w:p>
            <w:r/>
            <w:r>
              <w:rPr>
                <w:rFonts w:ascii="Cascadia Mono" w:hAnsi="Cascadia Mono"/>
                <w:sz w:val="17"/>
                <w:rFonts w:ascii="Cascadia Mono" w:hAnsi="Cascadia Mono" w:cs="Cascadia Mono"/>
              </w:rPr>
              <w:t>Directory.Read.All</w:t>
            </w:r>
          </w:p>
        </w:tc>
        <w:tc>
          <w:tcPr>
            <w:tcW w:type="dxa" w:w="5904"/>
          </w:tcPr>
          <w:p>
            <w:r/>
            <w:r>
              <w:rPr>
                <w:sz w:val="17"/>
              </w:rPr>
              <w:t>Resolve directory objects for owner assignment</w:t>
            </w:r>
          </w:p>
        </w:tc>
      </w:tr>
      <w:tr>
        <w:tc>
          <w:tcPr>
            <w:tcW w:type="dxa" w:w="3744"/>
          </w:tcPr>
          <w:p>
            <w:r/>
            <w:r>
              <w:rPr>
                <w:rFonts w:ascii="Cascadia Mono" w:hAnsi="Cascadia Mono"/>
                <w:sz w:val="17"/>
                <w:rFonts w:ascii="Cascadia Mono" w:hAnsi="Cascadia Mono" w:cs="Cascadia Mono"/>
              </w:rPr>
              <w:t>User.Read.All</w:t>
            </w:r>
          </w:p>
        </w:tc>
        <w:tc>
          <w:tcPr>
            <w:tcW w:type="dxa" w:w="5904"/>
          </w:tcPr>
          <w:p>
            <w:r/>
            <w:r>
              <w:rPr>
                <w:sz w:val="17"/>
              </w:rPr>
              <w:t>Resolve sponsors and owners given as UPN, mail or display name</w:t>
            </w:r>
          </w:p>
        </w:tc>
      </w:tr>
      <w:tr>
        <w:tc>
          <w:tcPr>
            <w:tcW w:type="dxa" w:w="3744"/>
          </w:tcPr>
          <w:p>
            <w:r/>
            <w:r>
              <w:rPr>
                <w:rFonts w:ascii="Cascadia Mono" w:hAnsi="Cascadia Mono"/>
                <w:sz w:val="17"/>
                <w:rFonts w:ascii="Cascadia Mono" w:hAnsi="Cascadia Mono" w:cs="Cascadia Mono"/>
              </w:rPr>
              <w:t>Group.Read.All</w:t>
            </w:r>
          </w:p>
        </w:tc>
        <w:tc>
          <w:tcPr>
            <w:tcW w:type="dxa" w:w="5904"/>
          </w:tcPr>
          <w:p>
            <w:r/>
            <w:r>
              <w:rPr>
                <w:sz w:val="17"/>
              </w:rPr>
              <w:t>Resolve group sponsors</w:t>
            </w:r>
          </w:p>
        </w:tc>
      </w:tr>
    </w:tbl>
    <w:p/>
    <w:p>
      <w:pPr>
        <w:pStyle w:val="Heading3"/>
      </w:pPr>
      <w:r>
        <w:t>Scenario: AgentIdentity</w:t>
      </w:r>
    </w:p>
    <w:tbl>
      <w:tblPr>
        <w:tblStyle w:val="LightGrid-Accent1"/>
        <w:tblW w:type="auto" w:w="0"/>
        <w:jc w:val="left"/>
        <w:tblLook w:firstColumn="1" w:firstRow="1" w:lastColumn="0" w:lastRow="0" w:noHBand="0" w:noVBand="1" w:val="04A0"/>
      </w:tblPr>
      <w:tblGrid>
        <w:gridCol w:w="4824"/>
        <w:gridCol w:w="4824"/>
      </w:tblGrid>
      <w:tr>
        <w:tc>
          <w:tcPr>
            <w:tcW w:type="dxa" w:w="3744"/>
          </w:tcPr>
          <w:p>
            <w:r/>
            <w:r>
              <w:rPr>
                <w:b/>
                <w:sz w:val="18"/>
              </w:rPr>
              <w:t>Permission</w:t>
            </w:r>
          </w:p>
        </w:tc>
        <w:tc>
          <w:tcPr>
            <w:tcW w:type="dxa" w:w="5904"/>
          </w:tcPr>
          <w:p>
            <w:r/>
            <w:r>
              <w:rPr>
                <w:b/>
                <w:sz w:val="18"/>
              </w:rPr>
              <w:t>Why it is needed</w:t>
            </w:r>
          </w:p>
        </w:tc>
      </w:tr>
      <w:tr>
        <w:tc>
          <w:tcPr>
            <w:tcW w:type="dxa" w:w="3744"/>
          </w:tcPr>
          <w:p>
            <w:r/>
            <w:r>
              <w:rPr>
                <w:rFonts w:ascii="Cascadia Mono" w:hAnsi="Cascadia Mono"/>
                <w:sz w:val="17"/>
                <w:rFonts w:ascii="Cascadia Mono" w:hAnsi="Cascadia Mono" w:cs="Cascadia Mono"/>
              </w:rPr>
              <w:t>AgentIdentity.Create.All</w:t>
            </w:r>
          </w:p>
        </w:tc>
        <w:tc>
          <w:tcPr>
            <w:tcW w:type="dxa" w:w="5904"/>
          </w:tcPr>
          <w:p>
            <w:r/>
            <w:r>
              <w:rPr>
                <w:sz w:val="17"/>
              </w:rPr>
              <w:t>Create the agent identity</w:t>
            </w:r>
          </w:p>
        </w:tc>
      </w:tr>
      <w:tr>
        <w:tc>
          <w:tcPr>
            <w:tcW w:type="dxa" w:w="3744"/>
          </w:tcPr>
          <w:p>
            <w:r/>
            <w:r>
              <w:rPr>
                <w:rFonts w:ascii="Cascadia Mono" w:hAnsi="Cascadia Mono"/>
                <w:sz w:val="17"/>
                <w:rFonts w:ascii="Cascadia Mono" w:hAnsi="Cascadia Mono" w:cs="Cascadia Mono"/>
              </w:rPr>
              <w:t>AgentIdentity.Read.All</w:t>
            </w:r>
          </w:p>
        </w:tc>
        <w:tc>
          <w:tcPr>
            <w:tcW w:type="dxa" w:w="5904"/>
          </w:tcPr>
          <w:p>
            <w:r/>
            <w:r>
              <w:rPr>
                <w:sz w:val="17"/>
              </w:rPr>
              <w:t>Read agent identities and verify the created object</w:t>
            </w:r>
          </w:p>
        </w:tc>
      </w:tr>
      <w:tr>
        <w:tc>
          <w:tcPr>
            <w:tcW w:type="dxa" w:w="3744"/>
          </w:tcPr>
          <w:p>
            <w:r/>
            <w:r>
              <w:rPr>
                <w:rFonts w:ascii="Cascadia Mono" w:hAnsi="Cascadia Mono"/>
                <w:sz w:val="17"/>
                <w:rFonts w:ascii="Cascadia Mono" w:hAnsi="Cascadia Mono" w:cs="Cascadia Mono"/>
              </w:rPr>
              <w:t>AgentIdentity.ReadWrite.All</w:t>
            </w:r>
          </w:p>
        </w:tc>
        <w:tc>
          <w:tcPr>
            <w:tcW w:type="dxa" w:w="5904"/>
          </w:tcPr>
          <w:p>
            <w:r/>
            <w:r>
              <w:rPr>
                <w:sz w:val="17"/>
              </w:rPr>
              <w:t>Update tags, display name, sponsors and owners</w:t>
            </w:r>
          </w:p>
        </w:tc>
      </w:tr>
      <w:tr>
        <w:tc>
          <w:tcPr>
            <w:tcW w:type="dxa" w:w="3744"/>
          </w:tcPr>
          <w:p>
            <w:r/>
            <w:r>
              <w:rPr>
                <w:rFonts w:ascii="Cascadia Mono" w:hAnsi="Cascadia Mono"/>
                <w:sz w:val="17"/>
                <w:rFonts w:ascii="Cascadia Mono" w:hAnsi="Cascadia Mono" w:cs="Cascadia Mono"/>
              </w:rPr>
              <w:t>AgentIdentityBlueprint.Read.All</w:t>
            </w:r>
          </w:p>
        </w:tc>
        <w:tc>
          <w:tcPr>
            <w:tcW w:type="dxa" w:w="5904"/>
          </w:tcPr>
          <w:p>
            <w:r/>
            <w:r>
              <w:rPr>
                <w:sz w:val="17"/>
              </w:rPr>
              <w:t>Validate the blueprint the identity is built on</w:t>
            </w:r>
          </w:p>
        </w:tc>
      </w:tr>
      <w:tr>
        <w:tc>
          <w:tcPr>
            <w:tcW w:type="dxa" w:w="3744"/>
          </w:tcPr>
          <w:p>
            <w:r/>
            <w:r>
              <w:rPr>
                <w:rFonts w:ascii="Cascadia Mono" w:hAnsi="Cascadia Mono"/>
                <w:sz w:val="17"/>
                <w:rFonts w:ascii="Cascadia Mono" w:hAnsi="Cascadia Mono" w:cs="Cascadia Mono"/>
              </w:rPr>
              <w:t>Application.Read.All</w:t>
            </w:r>
          </w:p>
        </w:tc>
        <w:tc>
          <w:tcPr>
            <w:tcW w:type="dxa" w:w="5904"/>
          </w:tcPr>
          <w:p>
            <w:r/>
            <w:r>
              <w:rPr>
                <w:sz w:val="17"/>
              </w:rPr>
              <w:t>Resolve resource service principals</w:t>
            </w:r>
          </w:p>
        </w:tc>
      </w:tr>
      <w:tr>
        <w:tc>
          <w:tcPr>
            <w:tcW w:type="dxa" w:w="3744"/>
          </w:tcPr>
          <w:p>
            <w:r/>
            <w:r>
              <w:rPr>
                <w:rFonts w:ascii="Cascadia Mono" w:hAnsi="Cascadia Mono"/>
                <w:sz w:val="17"/>
                <w:rFonts w:ascii="Cascadia Mono" w:hAnsi="Cascadia Mono" w:cs="Cascadia Mono"/>
              </w:rPr>
              <w:t>Application.ReadWrite.All</w:t>
            </w:r>
          </w:p>
        </w:tc>
        <w:tc>
          <w:tcPr>
            <w:tcW w:type="dxa" w:w="5904"/>
          </w:tcPr>
          <w:p>
            <w:r/>
            <w:r>
              <w:rPr>
                <w:sz w:val="17"/>
              </w:rPr>
              <w:t>Assign owners on the agent identity</w:t>
            </w:r>
          </w:p>
        </w:tc>
      </w:tr>
      <w:tr>
        <w:tc>
          <w:tcPr>
            <w:tcW w:type="dxa" w:w="3744"/>
          </w:tcPr>
          <w:p>
            <w:r/>
            <w:r>
              <w:rPr>
                <w:rFonts w:ascii="Cascadia Mono" w:hAnsi="Cascadia Mono"/>
                <w:sz w:val="17"/>
                <w:rFonts w:ascii="Cascadia Mono" w:hAnsi="Cascadia Mono" w:cs="Cascadia Mono"/>
              </w:rPr>
              <w:t>Directory.Read.All</w:t>
            </w:r>
          </w:p>
        </w:tc>
        <w:tc>
          <w:tcPr>
            <w:tcW w:type="dxa" w:w="5904"/>
          </w:tcPr>
          <w:p>
            <w:r/>
            <w:r>
              <w:rPr>
                <w:sz w:val="17"/>
              </w:rPr>
              <w:t>Resolve directory objects</w:t>
            </w:r>
          </w:p>
        </w:tc>
      </w:tr>
      <w:tr>
        <w:tc>
          <w:tcPr>
            <w:tcW w:type="dxa" w:w="3744"/>
          </w:tcPr>
          <w:p>
            <w:r/>
            <w:r>
              <w:rPr>
                <w:rFonts w:ascii="Cascadia Mono" w:hAnsi="Cascadia Mono"/>
                <w:sz w:val="17"/>
                <w:rFonts w:ascii="Cascadia Mono" w:hAnsi="Cascadia Mono" w:cs="Cascadia Mono"/>
              </w:rPr>
              <w:t>User.Read.All</w:t>
            </w:r>
          </w:p>
        </w:tc>
        <w:tc>
          <w:tcPr>
            <w:tcW w:type="dxa" w:w="5904"/>
          </w:tcPr>
          <w:p>
            <w:r/>
            <w:r>
              <w:rPr>
                <w:sz w:val="17"/>
              </w:rPr>
              <w:t>Resolve sponsors and owners</w:t>
            </w:r>
          </w:p>
        </w:tc>
      </w:tr>
      <w:tr>
        <w:tc>
          <w:tcPr>
            <w:tcW w:type="dxa" w:w="3744"/>
          </w:tcPr>
          <w:p>
            <w:r/>
            <w:r>
              <w:rPr>
                <w:rFonts w:ascii="Cascadia Mono" w:hAnsi="Cascadia Mono"/>
                <w:sz w:val="17"/>
                <w:rFonts w:ascii="Cascadia Mono" w:hAnsi="Cascadia Mono" w:cs="Cascadia Mono"/>
              </w:rPr>
              <w:t>Group.Read.All</w:t>
            </w:r>
          </w:p>
        </w:tc>
        <w:tc>
          <w:tcPr>
            <w:tcW w:type="dxa" w:w="5904"/>
          </w:tcPr>
          <w:p>
            <w:r/>
            <w:r>
              <w:rPr>
                <w:sz w:val="17"/>
              </w:rPr>
              <w:t>Resolve group sponsors</w:t>
            </w:r>
          </w:p>
        </w:tc>
      </w:tr>
      <w:tr>
        <w:tc>
          <w:tcPr>
            <w:tcW w:type="dxa" w:w="3744"/>
          </w:tcPr>
          <w:p>
            <w:r/>
            <w:r>
              <w:rPr>
                <w:rFonts w:ascii="Cascadia Mono" w:hAnsi="Cascadia Mono"/>
                <w:sz w:val="17"/>
                <w:rFonts w:ascii="Cascadia Mono" w:hAnsi="Cascadia Mono" w:cs="Cascadia Mono"/>
              </w:rPr>
              <w:t>CustomSecAttributeAssignment.ReadWrite.All</w:t>
            </w:r>
          </w:p>
        </w:tc>
        <w:tc>
          <w:tcPr>
            <w:tcW w:type="dxa" w:w="5904"/>
          </w:tcPr>
          <w:p>
            <w:r/>
            <w:r>
              <w:rPr>
                <w:sz w:val="17"/>
              </w:rPr>
              <w:t>Assign custom security attributes</w:t>
            </w:r>
          </w:p>
        </w:tc>
      </w:tr>
      <w:tr>
        <w:tc>
          <w:tcPr>
            <w:tcW w:type="dxa" w:w="3744"/>
          </w:tcPr>
          <w:p>
            <w:r/>
            <w:r>
              <w:rPr>
                <w:rFonts w:ascii="Cascadia Mono" w:hAnsi="Cascadia Mono"/>
                <w:sz w:val="17"/>
                <w:rFonts w:ascii="Cascadia Mono" w:hAnsi="Cascadia Mono" w:cs="Cascadia Mono"/>
              </w:rPr>
              <w:t>CustomSecAttributeDefinition.Read.All</w:t>
            </w:r>
          </w:p>
        </w:tc>
        <w:tc>
          <w:tcPr>
            <w:tcW w:type="dxa" w:w="5904"/>
          </w:tcPr>
          <w:p>
            <w:r/>
            <w:r>
              <w:rPr>
                <w:sz w:val="17"/>
              </w:rPr>
              <w:t>Validate attribute sets and allowed values before assigning</w:t>
            </w:r>
          </w:p>
        </w:tc>
      </w:tr>
    </w:tbl>
    <w:p/>
    <w:p>
      <w:r>
        <w:rPr>
          <w:b w:val="0"/>
          <w:i/>
        </w:rPr>
        <w:t>The last two rows are requested twice over: as application roles (shown here) and, for -Scenario AgentIdentity and -Scenario All, as delegated scopes as well. An unattended app-only run needs only the application roles. An interactive run needs the delegated scopes AND the Attribute Assignment Administrator directory role, which no application permission grants.</w:t>
      </w:r>
    </w:p>
    <w:p>
      <w:pPr>
        <w:pStyle w:val="Heading3"/>
      </w:pPr>
      <w:r>
        <w:t>Scenario: Registration</w:t>
      </w:r>
    </w:p>
    <w:tbl>
      <w:tblPr>
        <w:tblStyle w:val="LightGrid-Accent1"/>
        <w:tblW w:type="auto" w:w="0"/>
        <w:jc w:val="left"/>
        <w:tblLook w:firstColumn="1" w:firstRow="1" w:lastColumn="0" w:lastRow="0" w:noHBand="0" w:noVBand="1" w:val="04A0"/>
      </w:tblPr>
      <w:tblGrid>
        <w:gridCol w:w="4824"/>
        <w:gridCol w:w="4824"/>
      </w:tblGrid>
      <w:tr>
        <w:tc>
          <w:tcPr>
            <w:tcW w:type="dxa" w:w="3744"/>
          </w:tcPr>
          <w:p>
            <w:r/>
            <w:r>
              <w:rPr>
                <w:b/>
                <w:sz w:val="18"/>
              </w:rPr>
              <w:t>Permission</w:t>
            </w:r>
          </w:p>
        </w:tc>
        <w:tc>
          <w:tcPr>
            <w:tcW w:type="dxa" w:w="5904"/>
          </w:tcPr>
          <w:p>
            <w:r/>
            <w:r>
              <w:rPr>
                <w:b/>
                <w:sz w:val="18"/>
              </w:rPr>
              <w:t>Why it is needed</w:t>
            </w:r>
          </w:p>
        </w:tc>
      </w:tr>
      <w:tr>
        <w:tc>
          <w:tcPr>
            <w:tcW w:type="dxa" w:w="3744"/>
          </w:tcPr>
          <w:p>
            <w:r/>
            <w:r>
              <w:rPr>
                <w:rFonts w:ascii="Cascadia Mono" w:hAnsi="Cascadia Mono"/>
                <w:sz w:val="17"/>
                <w:rFonts w:ascii="Cascadia Mono" w:hAnsi="Cascadia Mono" w:cs="Cascadia Mono"/>
              </w:rPr>
              <w:t>AgentRegistration.ReadWrite.All</w:t>
            </w:r>
          </w:p>
        </w:tc>
        <w:tc>
          <w:tcPr>
            <w:tcW w:type="dxa" w:w="5904"/>
          </w:tcPr>
          <w:p>
            <w:r/>
            <w:r>
              <w:rPr>
                <w:sz w:val="17"/>
              </w:rPr>
              <w:t>POST /beta/copilot/agentRegistrations</w:t>
            </w:r>
          </w:p>
        </w:tc>
      </w:tr>
      <w:tr>
        <w:tc>
          <w:tcPr>
            <w:tcW w:type="dxa" w:w="3744"/>
          </w:tcPr>
          <w:p>
            <w:r/>
            <w:r>
              <w:rPr>
                <w:rFonts w:ascii="Cascadia Mono" w:hAnsi="Cascadia Mono"/>
                <w:sz w:val="17"/>
                <w:rFonts w:ascii="Cascadia Mono" w:hAnsi="Cascadia Mono" w:cs="Cascadia Mono"/>
              </w:rPr>
              <w:t>AgentInstance.ReadWrite.All</w:t>
            </w:r>
          </w:p>
        </w:tc>
        <w:tc>
          <w:tcPr>
            <w:tcW w:type="dxa" w:w="5904"/>
          </w:tcPr>
          <w:p>
            <w:r/>
            <w:r>
              <w:rPr>
                <w:sz w:val="17"/>
              </w:rPr>
              <w:t>POST /beta/agentRegistry/agentInstances</w:t>
            </w:r>
          </w:p>
        </w:tc>
      </w:tr>
      <w:tr>
        <w:tc>
          <w:tcPr>
            <w:tcW w:type="dxa" w:w="3744"/>
          </w:tcPr>
          <w:p>
            <w:r/>
            <w:r>
              <w:rPr>
                <w:rFonts w:ascii="Cascadia Mono" w:hAnsi="Cascadia Mono"/>
                <w:sz w:val="17"/>
                <w:rFonts w:ascii="Cascadia Mono" w:hAnsi="Cascadia Mono" w:cs="Cascadia Mono"/>
              </w:rPr>
              <w:t>AgentIdentity.Read.All</w:t>
            </w:r>
          </w:p>
        </w:tc>
        <w:tc>
          <w:tcPr>
            <w:tcW w:type="dxa" w:w="5904"/>
          </w:tcPr>
          <w:p>
            <w:r/>
            <w:r>
              <w:rPr>
                <w:sz w:val="17"/>
              </w:rPr>
              <w:t>Validate the agent identity being registered</w:t>
            </w:r>
          </w:p>
        </w:tc>
      </w:tr>
      <w:tr>
        <w:tc>
          <w:tcPr>
            <w:tcW w:type="dxa" w:w="3744"/>
          </w:tcPr>
          <w:p>
            <w:r/>
            <w:r>
              <w:rPr>
                <w:rFonts w:ascii="Cascadia Mono" w:hAnsi="Cascadia Mono"/>
                <w:sz w:val="17"/>
                <w:rFonts w:ascii="Cascadia Mono" w:hAnsi="Cascadia Mono" w:cs="Cascadia Mono"/>
              </w:rPr>
              <w:t>User.Read.All</w:t>
            </w:r>
          </w:p>
        </w:tc>
        <w:tc>
          <w:tcPr>
            <w:tcW w:type="dxa" w:w="5904"/>
          </w:tcPr>
          <w:p>
            <w:r/>
            <w:r>
              <w:rPr>
                <w:sz w:val="17"/>
              </w:rPr>
              <w:t>Resolve -AgentRegistrationOwner to object ids (app-only cannot use /me)</w:t>
            </w:r>
          </w:p>
        </w:tc>
      </w:tr>
    </w:tbl>
    <w:p/>
    <w:p>
      <w:pPr>
        <w:pStyle w:val="Heading3"/>
      </w:pPr>
      <w:r>
        <w:t>Scenario: AgentUser</w:t>
      </w:r>
    </w:p>
    <w:p>
      <w:r>
        <w:rPr>
          <w:i/>
          <w:sz w:val="18"/>
        </w:rPr>
        <w:t>This set covers the agent user phase of the orchestrator. It holds the only copy of AgentIdUser.ReadWrite.All, which is the role that authorizes creating an agent user, so it is also required by -Scenario All.</w:t>
      </w:r>
    </w:p>
    <w:tbl>
      <w:tblPr>
        <w:tblStyle w:val="LightGrid-Accent1"/>
        <w:tblW w:type="auto" w:w="0"/>
        <w:jc w:val="left"/>
        <w:tblLook w:firstColumn="1" w:firstRow="1" w:lastColumn="0" w:lastRow="0" w:noHBand="0" w:noVBand="1" w:val="04A0"/>
      </w:tblPr>
      <w:tblGrid>
        <w:gridCol w:w="4824"/>
        <w:gridCol w:w="4824"/>
      </w:tblGrid>
      <w:tr>
        <w:tc>
          <w:tcPr>
            <w:tcW w:type="dxa" w:w="3744"/>
          </w:tcPr>
          <w:p>
            <w:r/>
            <w:r>
              <w:rPr>
                <w:b/>
                <w:sz w:val="18"/>
              </w:rPr>
              <w:t>Permission</w:t>
            </w:r>
          </w:p>
        </w:tc>
        <w:tc>
          <w:tcPr>
            <w:tcW w:type="dxa" w:w="5904"/>
          </w:tcPr>
          <w:p>
            <w:r/>
            <w:r>
              <w:rPr>
                <w:b/>
                <w:sz w:val="18"/>
              </w:rPr>
              <w:t>Why it is needed</w:t>
            </w:r>
          </w:p>
        </w:tc>
      </w:tr>
      <w:tr>
        <w:tc>
          <w:tcPr>
            <w:tcW w:type="dxa" w:w="3744"/>
          </w:tcPr>
          <w:p>
            <w:r/>
            <w:r>
              <w:rPr>
                <w:rFonts w:ascii="Cascadia Mono" w:hAnsi="Cascadia Mono"/>
                <w:sz w:val="17"/>
                <w:rFonts w:ascii="Cascadia Mono" w:hAnsi="Cascadia Mono" w:cs="Cascadia Mono"/>
              </w:rPr>
              <w:t>AgentIdUser.ReadWrite.All</w:t>
            </w:r>
          </w:p>
        </w:tc>
        <w:tc>
          <w:tcPr>
            <w:tcW w:type="dxa" w:w="5904"/>
          </w:tcPr>
          <w:p>
            <w:r/>
            <w:r>
              <w:rPr>
                <w:sz w:val="17"/>
              </w:rPr>
              <w:t>Create the agent user. This is the specific role the call is authorized by.</w:t>
            </w:r>
          </w:p>
        </w:tc>
      </w:tr>
      <w:tr>
        <w:tc>
          <w:tcPr>
            <w:tcW w:type="dxa" w:w="3744"/>
          </w:tcPr>
          <w:p>
            <w:r/>
            <w:r>
              <w:rPr>
                <w:rFonts w:ascii="Cascadia Mono" w:hAnsi="Cascadia Mono"/>
                <w:sz w:val="17"/>
                <w:rFonts w:ascii="Cascadia Mono" w:hAnsi="Cascadia Mono" w:cs="Cascadia Mono"/>
              </w:rPr>
              <w:t>User.ReadWrite.All</w:t>
            </w:r>
          </w:p>
        </w:tc>
        <w:tc>
          <w:tcPr>
            <w:tcW w:type="dxa" w:w="5904"/>
          </w:tcPr>
          <w:p>
            <w:r/>
            <w:r>
              <w:rPr>
                <w:sz w:val="17"/>
              </w:rPr>
              <w:t>Set manager and usage location, assign the licence</w:t>
            </w:r>
          </w:p>
        </w:tc>
      </w:tr>
      <w:tr>
        <w:tc>
          <w:tcPr>
            <w:tcW w:type="dxa" w:w="3744"/>
          </w:tcPr>
          <w:p>
            <w:r/>
            <w:r>
              <w:rPr>
                <w:rFonts w:ascii="Cascadia Mono" w:hAnsi="Cascadia Mono"/>
                <w:sz w:val="17"/>
                <w:rFonts w:ascii="Cascadia Mono" w:hAnsi="Cascadia Mono" w:cs="Cascadia Mono"/>
              </w:rPr>
              <w:t>User.Read.All</w:t>
            </w:r>
          </w:p>
        </w:tc>
        <w:tc>
          <w:tcPr>
            <w:tcW w:type="dxa" w:w="5904"/>
          </w:tcPr>
          <w:p>
            <w:r/>
            <w:r>
              <w:rPr>
                <w:sz w:val="17"/>
              </w:rPr>
              <w:t>Resolve the manager and check for an existing account</w:t>
            </w:r>
          </w:p>
        </w:tc>
      </w:tr>
      <w:tr>
        <w:tc>
          <w:tcPr>
            <w:tcW w:type="dxa" w:w="3744"/>
          </w:tcPr>
          <w:p>
            <w:r/>
            <w:r>
              <w:rPr>
                <w:rFonts w:ascii="Cascadia Mono" w:hAnsi="Cascadia Mono"/>
                <w:sz w:val="17"/>
                <w:rFonts w:ascii="Cascadia Mono" w:hAnsi="Cascadia Mono" w:cs="Cascadia Mono"/>
              </w:rPr>
              <w:t>Directory.Read.All</w:t>
            </w:r>
          </w:p>
        </w:tc>
        <w:tc>
          <w:tcPr>
            <w:tcW w:type="dxa" w:w="5904"/>
          </w:tcPr>
          <w:p>
            <w:r/>
            <w:r>
              <w:rPr>
                <w:sz w:val="17"/>
              </w:rPr>
              <w:t>Read verified domains, resolve the manager</w:t>
            </w:r>
          </w:p>
        </w:tc>
      </w:tr>
      <w:tr>
        <w:tc>
          <w:tcPr>
            <w:tcW w:type="dxa" w:w="3744"/>
          </w:tcPr>
          <w:p>
            <w:r/>
            <w:r>
              <w:rPr>
                <w:rFonts w:ascii="Cascadia Mono" w:hAnsi="Cascadia Mono"/>
                <w:sz w:val="17"/>
                <w:rFonts w:ascii="Cascadia Mono" w:hAnsi="Cascadia Mono" w:cs="Cascadia Mono"/>
              </w:rPr>
              <w:t>Organization.Read.All</w:t>
            </w:r>
          </w:p>
        </w:tc>
        <w:tc>
          <w:tcPr>
            <w:tcW w:type="dxa" w:w="5904"/>
          </w:tcPr>
          <w:p>
            <w:r/>
            <w:r>
              <w:rPr>
                <w:sz w:val="17"/>
              </w:rPr>
              <w:t>Read /subscribedSkus for the licence pre-flight check</w:t>
            </w:r>
          </w:p>
        </w:tc>
      </w:tr>
      <w:tr>
        <w:tc>
          <w:tcPr>
            <w:tcW w:type="dxa" w:w="3744"/>
          </w:tcPr>
          <w:p>
            <w:r/>
            <w:r>
              <w:rPr>
                <w:rFonts w:ascii="Cascadia Mono" w:hAnsi="Cascadia Mono"/>
                <w:sz w:val="17"/>
                <w:rFonts w:ascii="Cascadia Mono" w:hAnsi="Cascadia Mono" w:cs="Cascadia Mono"/>
              </w:rPr>
              <w:t>DelegatedPermissionGrant.ReadWrite.All</w:t>
            </w:r>
          </w:p>
        </w:tc>
        <w:tc>
          <w:tcPr>
            <w:tcW w:type="dxa" w:w="5904"/>
          </w:tcPr>
          <w:p>
            <w:r/>
            <w:r>
              <w:rPr>
                <w:sz w:val="17"/>
              </w:rPr>
              <w:t>Per-identity delegated consent</w:t>
            </w:r>
          </w:p>
        </w:tc>
      </w:tr>
      <w:tr>
        <w:tc>
          <w:tcPr>
            <w:tcW w:type="dxa" w:w="3744"/>
          </w:tcPr>
          <w:p>
            <w:r/>
            <w:r>
              <w:rPr>
                <w:rFonts w:ascii="Cascadia Mono" w:hAnsi="Cascadia Mono"/>
                <w:sz w:val="17"/>
                <w:rFonts w:ascii="Cascadia Mono" w:hAnsi="Cascadia Mono" w:cs="Cascadia Mono"/>
              </w:rPr>
              <w:t>AppRoleAssignment.ReadWrite.All</w:t>
            </w:r>
          </w:p>
        </w:tc>
        <w:tc>
          <w:tcPr>
            <w:tcW w:type="dxa" w:w="5904"/>
          </w:tcPr>
          <w:p>
            <w:r/>
            <w:r>
              <w:rPr>
                <w:sz w:val="17"/>
              </w:rPr>
              <w:t>Per-identity application role assignment</w:t>
            </w:r>
          </w:p>
        </w:tc>
      </w:tr>
      <w:tr>
        <w:tc>
          <w:tcPr>
            <w:tcW w:type="dxa" w:w="3744"/>
          </w:tcPr>
          <w:p>
            <w:r/>
            <w:r>
              <w:rPr>
                <w:rFonts w:ascii="Cascadia Mono" w:hAnsi="Cascadia Mono"/>
                <w:sz w:val="17"/>
                <w:rFonts w:ascii="Cascadia Mono" w:hAnsi="Cascadia Mono" w:cs="Cascadia Mono"/>
              </w:rPr>
              <w:t>Application.Read.All</w:t>
            </w:r>
          </w:p>
        </w:tc>
        <w:tc>
          <w:tcPr>
            <w:tcW w:type="dxa" w:w="5904"/>
          </w:tcPr>
          <w:p>
            <w:r/>
            <w:r>
              <w:rPr>
                <w:sz w:val="17"/>
              </w:rPr>
              <w:t>Resolve resource service principals</w:t>
            </w:r>
          </w:p>
        </w:tc>
      </w:tr>
      <w:tr>
        <w:tc>
          <w:tcPr>
            <w:tcW w:type="dxa" w:w="3744"/>
          </w:tcPr>
          <w:p>
            <w:r/>
            <w:r>
              <w:rPr>
                <w:rFonts w:ascii="Cascadia Mono" w:hAnsi="Cascadia Mono"/>
                <w:sz w:val="17"/>
                <w:rFonts w:ascii="Cascadia Mono" w:hAnsi="Cascadia Mono" w:cs="Cascadia Mono"/>
              </w:rPr>
              <w:t>AgentIdentity.Read.All</w:t>
            </w:r>
          </w:p>
        </w:tc>
        <w:tc>
          <w:tcPr>
            <w:tcW w:type="dxa" w:w="5904"/>
          </w:tcPr>
          <w:p>
            <w:r/>
            <w:r>
              <w:rPr>
                <w:sz w:val="17"/>
              </w:rPr>
              <w:t>Validate the identity the user is bound to</w:t>
            </w:r>
          </w:p>
        </w:tc>
      </w:tr>
    </w:tbl>
    <w:p/>
    <w:p>
      <w:pPr>
        <w:pStyle w:val="Heading2"/>
      </w:pPr>
      <w:r>
        <w:t>3.3 Three permissions that are commonly missed</w:t>
      </w:r>
    </w:p>
    <w:p>
      <w:r>
        <w:rPr>
          <w:b w:val="0"/>
          <w:i w:val="0"/>
        </w:rPr>
        <w:t>Each of these fails with a bare 403 that names no permission, so the cause is not obvious from the error:</w:t>
      </w:r>
    </w:p>
    <w:tbl>
      <w:tblPr>
        <w:tblStyle w:val="LightGrid-Accent1"/>
        <w:tblW w:type="auto" w:w="0"/>
        <w:jc w:val="left"/>
        <w:tblLook w:firstColumn="1" w:firstRow="1" w:lastColumn="0" w:lastRow="0" w:noHBand="0" w:noVBand="1" w:val="04A0"/>
      </w:tblPr>
      <w:tblGrid>
        <w:gridCol w:w="4824"/>
        <w:gridCol w:w="4824"/>
      </w:tblGrid>
      <w:tr>
        <w:tc>
          <w:tcPr>
            <w:tcW w:type="dxa" w:w="3744"/>
          </w:tcPr>
          <w:p>
            <w:r/>
            <w:r>
              <w:rPr>
                <w:b/>
                <w:sz w:val="18"/>
              </w:rPr>
              <w:t>Permission</w:t>
            </w:r>
          </w:p>
        </w:tc>
        <w:tc>
          <w:tcPr>
            <w:tcW w:type="dxa" w:w="5904"/>
          </w:tcPr>
          <w:p>
            <w:r/>
            <w:r>
              <w:rPr>
                <w:b/>
                <w:sz w:val="18"/>
              </w:rPr>
              <w:t>The trap</w:t>
            </w:r>
          </w:p>
        </w:tc>
      </w:tr>
      <w:tr>
        <w:tc>
          <w:tcPr>
            <w:tcW w:type="dxa" w:w="3744"/>
          </w:tcPr>
          <w:p>
            <w:r/>
            <w:r>
              <w:rPr>
                <w:rFonts w:ascii="Cascadia Mono" w:hAnsi="Cascadia Mono"/>
                <w:sz w:val="17"/>
                <w:rFonts w:ascii="Cascadia Mono" w:hAnsi="Cascadia Mono" w:cs="Cascadia Mono"/>
              </w:rPr>
              <w:t>AgentIdentityBlueprintPrincipal.ReadWrite.All</w:t>
            </w:r>
          </w:p>
        </w:tc>
        <w:tc>
          <w:tcPr>
            <w:tcW w:type="dxa" w:w="5904"/>
          </w:tcPr>
          <w:p>
            <w:r/>
            <w:r>
              <w:rPr>
                <w:sz w:val="17"/>
              </w:rPr>
              <w:t>Required to set owners on the blueprint PRINCIPAL. Application.ReadWrite.All does NOT authorize it — granting more Application.* permissions will not fix a principal owner denial.</w:t>
            </w:r>
          </w:p>
        </w:tc>
      </w:tr>
      <w:tr>
        <w:tc>
          <w:tcPr>
            <w:tcW w:type="dxa" w:w="3744"/>
          </w:tcPr>
          <w:p>
            <w:r/>
            <w:r>
              <w:rPr>
                <w:rFonts w:ascii="Cascadia Mono" w:hAnsi="Cascadia Mono"/>
                <w:sz w:val="17"/>
                <w:rFonts w:ascii="Cascadia Mono" w:hAnsi="Cascadia Mono" w:cs="Cascadia Mono"/>
              </w:rPr>
              <w:t>AgentIdUser.ReadWrite.All</w:t>
            </w:r>
          </w:p>
        </w:tc>
        <w:tc>
          <w:tcPr>
            <w:tcW w:type="dxa" w:w="5904"/>
          </w:tcPr>
          <w:p>
            <w:r/>
            <w:r>
              <w:rPr>
                <w:sz w:val="17"/>
              </w:rPr>
              <w:t>Required to create an agent user. User.ReadWrite.All is NOT enough.</w:t>
            </w:r>
          </w:p>
        </w:tc>
      </w:tr>
      <w:tr>
        <w:tc>
          <w:tcPr>
            <w:tcW w:type="dxa" w:w="3744"/>
          </w:tcPr>
          <w:p>
            <w:r/>
            <w:r>
              <w:rPr>
                <w:rFonts w:ascii="Cascadia Mono" w:hAnsi="Cascadia Mono"/>
                <w:sz w:val="17"/>
                <w:rFonts w:ascii="Cascadia Mono" w:hAnsi="Cascadia Mono" w:cs="Cascadia Mono"/>
              </w:rPr>
              <w:t>CustomSecAttributeAssignment.ReadWrite.All</w:t>
            </w:r>
          </w:p>
        </w:tc>
        <w:tc>
          <w:tcPr>
            <w:tcW w:type="dxa" w:w="5904"/>
          </w:tcPr>
          <w:p>
            <w:r>
              <w:t>Custom security attributes are gated separately from every other directory permission. No Application.* or Directory.* role reaches them, and Global Administrator does not hold them by default. New-A365AutomationApp.ps1 -Scenario AgentIdentity (or All) requests them in BOTH shapes: as application roles for an unattended run, and as delegated scopes for an interactive one. An interactive run needs one more thing that no application permission can grant - the signed-in user must also hold the Attribute Assignment Administrator directory role.</w:t>
            </w:r>
          </w:p>
        </w:tc>
      </w:tr>
    </w:tbl>
    <w:p/>
    <w:p>
      <w:r>
        <w:br w:type="page"/>
      </w:r>
    </w:p>
    <w:p>
      <w:pPr>
        <w:pStyle w:val="Heading1"/>
      </w:pPr>
      <w:r>
        <w:t>4. Granting admin consent</w:t>
      </w:r>
    </w:p>
    <w:p>
      <w:r>
        <w:rPr>
          <w:b w:val="0"/>
          <w:i w:val="0"/>
        </w:rPr>
        <w:t>Application permissions do nothing until an administrator consents to them. Which administrator can do that depends on what is being consented, and getting this wrong sends the request to someone who will find the consent button greyed out.</w:t>
      </w:r>
    </w:p>
    <w:tbl>
      <w:tblPr>
        <w:tblStyle w:val="LightGrid-Accent1"/>
        <w:tblW w:type="auto" w:w="0"/>
        <w:jc w:val="left"/>
        <w:tblLook w:firstColumn="1" w:firstRow="1" w:lastColumn="0" w:lastRow="0" w:noHBand="0" w:noVBand="1" w:val="04A0"/>
      </w:tblPr>
      <w:tblGrid>
        <w:gridCol w:w="4824"/>
        <w:gridCol w:w="4824"/>
      </w:tblGrid>
      <w:tr>
        <w:tc>
          <w:tcPr>
            <w:tcW w:type="dxa" w:w="5616"/>
          </w:tcPr>
          <w:p>
            <w:r/>
            <w:r>
              <w:rPr>
                <w:b/>
                <w:sz w:val="18"/>
              </w:rPr>
              <w:t>What you are consenting</w:t>
            </w:r>
          </w:p>
        </w:tc>
        <w:tc>
          <w:tcPr>
            <w:tcW w:type="dxa" w:w="4032"/>
          </w:tcPr>
          <w:p>
            <w:r/>
            <w:r>
              <w:rPr>
                <w:b/>
                <w:sz w:val="18"/>
              </w:rPr>
              <w:t>Directory role required</w:t>
            </w:r>
          </w:p>
        </w:tc>
      </w:tr>
      <w:tr>
        <w:tc>
          <w:tcPr>
            <w:tcW w:type="dxa" w:w="5616"/>
          </w:tcPr>
          <w:p>
            <w:r/>
            <w:r>
              <w:rPr>
                <w:sz w:val="17"/>
              </w:rPr>
              <w:t>Microsoft Graph APPLICATION roles (application permissions) — this is most of the table in section 3</w:t>
            </w:r>
          </w:p>
        </w:tc>
        <w:tc>
          <w:tcPr>
            <w:tcW w:type="dxa" w:w="4032"/>
          </w:tcPr>
          <w:p>
            <w:r/>
            <w:r>
              <w:rPr>
                <w:sz w:val="17"/>
              </w:rPr>
              <w:t>Privileged Role Administrator, or Global Administrator</w:t>
            </w:r>
          </w:p>
        </w:tc>
      </w:tr>
      <w:tr>
        <w:tc>
          <w:tcPr>
            <w:tcW w:type="dxa" w:w="5616"/>
          </w:tcPr>
          <w:p>
            <w:r/>
            <w:r>
              <w:rPr>
                <w:sz w:val="17"/>
              </w:rPr>
              <w:t>Anything else: delegated scopes, or application roles on a non-Graph API</w:t>
            </w:r>
          </w:p>
        </w:tc>
        <w:tc>
          <w:tcPr>
            <w:tcW w:type="dxa" w:w="4032"/>
          </w:tcPr>
          <w:p>
            <w:r/>
            <w:r>
              <w:rPr>
                <w:sz w:val="17"/>
              </w:rPr>
              <w:t>Application Administrator, Cloud Application Administrator, Privileged Role Administrator, or Global Administrator</w:t>
            </w:r>
          </w:p>
        </w:tc>
      </w:tr>
    </w:tbl>
    <w:p/>
    <w:tbl>
      <w:tblPr>
        <w:tblW w:type="auto" w:w="0"/>
        <w:jc w:val="left"/>
        <w:tblLook w:firstColumn="1" w:firstRow="1" w:lastColumn="0" w:lastRow="0" w:noHBand="0" w:noVBand="1" w:val="04A0"/>
      </w:tblPr>
      <w:tblGrid>
        <w:gridCol w:w="9648"/>
      </w:tblGrid>
      <w:tr>
        <w:tc>
          <w:tcPr>
            <w:tcW w:type="dxa" w:w="9648"/>
            <w:shd w:val="clear" w:fill="FFF4CE"/>
          </w:tcPr>
          <w:p>
            <w:r>
              <w:rPr>
                <w:b/>
                <w:sz w:val="19"/>
              </w:rPr>
              <w:t>Application Administrator cannot consent Microsoft Graph app roles</w:t>
            </w:r>
          </w:p>
          <w:p>
            <w:r>
              <w:rPr>
                <w:sz w:val="19"/>
              </w:rPr>
              <w:t>Application Administrator and Cloud Application Administrator may consent any permission for any API EXCEPT Microsoft Graph application permissions. Because the A365 roles are Graph application permissions, consenting them needs Privileged Role Administrator or Global Administrator.</w:t>
            </w:r>
          </w:p>
        </w:tc>
      </w:tr>
    </w:tbl>
    <w:p/>
    <w:p>
      <w:pPr>
        <w:pStyle w:val="Heading2"/>
      </w:pPr>
      <w:r>
        <w:t>4.1 If a grant fails at run time</w:t>
      </w:r>
    </w:p>
    <w:p>
      <w:r>
        <w:rPr>
          <w:b w:val="0"/>
          <w:i w:val="0"/>
        </w:rPr>
        <w:t>When a consent or app-role assignment is refused, the scripts do not abort — the object has usually already been created. Instead the run finishes and prints exactly what an administrator must do, including a one-click consent link:</w:t>
      </w:r>
    </w:p>
    <w:p>
      <w:pPr>
        <w:spacing w:before="80" w:after="160"/>
        <w:ind w:left="259"/>
        <w:shd w:val="clear" w:fill="F2F4F8"/>
      </w:pPr>
      <w:r>
        <w:rPr>
          <w:rFonts w:ascii="Cascadia Mono" w:hAnsi="Cascadia Mono"/>
          <w:sz w:val="17"/>
          <w:rFonts w:ascii="Cascadia Mono" w:hAnsi="Cascadia Mono" w:cs="Cascadia Mono"/>
        </w:rPr>
        <w:t>ACTION REQUIRED - an administrator must finish granting these permissions.</w:t>
        <w:br/>
        <w:t xml:space="preserve">    app role  User.Read.All on Microsoft Graph</w:t>
        <w:br/>
        <w:t xml:space="preserve">              Insufficient privileges to complete the operation</w:t>
        <w:br/>
        <w:t xml:space="preserve">  They are declared on the app but grant no claims until consent succeeds.</w:t>
        <w:br/>
        <w:br/>
        <w:t xml:space="preserve">  Send this link to an administrator...</w:t>
        <w:br/>
        <w:t xml:space="preserve">    https://login.microsoftonline.com/&lt;tenant&gt;/adminconsent?client_id=&lt;appId&gt;</w:t>
        <w:br/>
        <w:br/>
        <w:t xml:space="preserve">  Or grant it in the Microsoft Entra admin center:</w:t>
        <w:br/>
        <w:t xml:space="preserve">    https://entra.microsoft.com/#view/Microsoft_AAD_IAM/ManagedAppMenuBlade/~/Permissions/...</w:t>
        <w:br/>
        <w:br/>
        <w:t xml:space="preserve">  Required role: Privileged Role Administrator, or Global Administrator.</w:t>
      </w:r>
    </w:p>
    <w:p>
      <w:r>
        <w:rPr>
          <w:b w:val="0"/>
          <w:i w:val="0"/>
        </w:rPr>
        <w:t>The same information appears in the JSON report as adminConsentUrl, portalPermissionsUrl and consentFailures, and the orchestrator repeats it once at the end of a multi-phase run under summary.consentActionRequired.</w:t>
      </w:r>
    </w:p>
    <w:p>
      <w:r>
        <w:br w:type="page"/>
      </w:r>
    </w:p>
    <w:p>
      <w:pPr>
        <w:pStyle w:val="Heading1"/>
      </w:pPr>
      <w:r>
        <w:t>5. Authentication</w:t>
      </w:r>
    </w:p>
    <w:p>
      <w:r>
        <w:rPr>
          <w:b w:val="0"/>
          <w:i w:val="0"/>
        </w:rPr>
        <w:t>Exactly one authentication method must be supplied. Supplying two is refused up front.</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1584"/>
          </w:tcPr>
          <w:p>
            <w:r/>
            <w:r>
              <w:rPr>
                <w:b/>
                <w:sz w:val="18"/>
              </w:rPr>
              <w:t>Method</w:t>
            </w:r>
          </w:p>
        </w:tc>
        <w:tc>
          <w:tcPr>
            <w:tcW w:type="dxa" w:w="3312"/>
          </w:tcPr>
          <w:p>
            <w:r/>
            <w:r>
              <w:rPr>
                <w:b/>
                <w:sz w:val="18"/>
              </w:rPr>
              <w:t>Parameters</w:t>
            </w:r>
          </w:p>
        </w:tc>
        <w:tc>
          <w:tcPr>
            <w:tcW w:type="dxa" w:w="1008"/>
          </w:tcPr>
          <w:p>
            <w:r/>
            <w:r>
              <w:rPr>
                <w:b/>
                <w:sz w:val="18"/>
              </w:rPr>
              <w:t>App-only?</w:t>
            </w:r>
          </w:p>
        </w:tc>
        <w:tc>
          <w:tcPr>
            <w:tcW w:type="dxa" w:w="3744"/>
          </w:tcPr>
          <w:p>
            <w:r/>
            <w:r>
              <w:rPr>
                <w:b/>
                <w:sz w:val="18"/>
              </w:rPr>
              <w:t>Notes</w:t>
            </w:r>
          </w:p>
        </w:tc>
      </w:tr>
      <w:tr>
        <w:tc>
          <w:tcPr>
            <w:tcW w:type="dxa" w:w="1584"/>
          </w:tcPr>
          <w:p>
            <w:r/>
            <w:r>
              <w:rPr>
                <w:sz w:val="17"/>
              </w:rPr>
              <w:t>Client secret</w:t>
            </w:r>
          </w:p>
        </w:tc>
        <w:tc>
          <w:tcPr>
            <w:tcW w:type="dxa" w:w="3312"/>
          </w:tcPr>
          <w:p>
            <w:r/>
            <w:r>
              <w:rPr>
                <w:rFonts w:ascii="Cascadia Mono" w:hAnsi="Cascadia Mono"/>
                <w:sz w:val="17"/>
                <w:rFonts w:ascii="Cascadia Mono" w:hAnsi="Cascadia Mono" w:cs="Cascadia Mono"/>
              </w:rPr>
              <w:t>-ClientId -ClientSecret</w:t>
            </w:r>
          </w:p>
        </w:tc>
        <w:tc>
          <w:tcPr>
            <w:tcW w:type="dxa" w:w="1008"/>
          </w:tcPr>
          <w:p>
            <w:r/>
            <w:r>
              <w:rPr>
                <w:sz w:val="17"/>
              </w:rPr>
              <w:t>Yes</w:t>
            </w:r>
          </w:p>
        </w:tc>
        <w:tc>
          <w:tcPr>
            <w:tcW w:type="dxa" w:w="3744"/>
          </w:tcPr>
          <w:p>
            <w:r/>
            <w:r>
              <w:rPr>
                <w:sz w:val="17"/>
              </w:rPr>
              <w:t>Prefer $env:A365_CLIENT_SECRET over passing the value on the command line.</w:t>
            </w:r>
          </w:p>
        </w:tc>
      </w:tr>
      <w:tr>
        <w:tc>
          <w:tcPr>
            <w:tcW w:type="dxa" w:w="1584"/>
          </w:tcPr>
          <w:p>
            <w:r/>
            <w:r>
              <w:rPr>
                <w:sz w:val="17"/>
              </w:rPr>
              <w:t>Certificate</w:t>
            </w:r>
          </w:p>
        </w:tc>
        <w:tc>
          <w:tcPr>
            <w:tcW w:type="dxa" w:w="3312"/>
          </w:tcPr>
          <w:p>
            <w:r/>
            <w:r>
              <w:rPr>
                <w:rFonts w:ascii="Cascadia Mono" w:hAnsi="Cascadia Mono"/>
                <w:sz w:val="17"/>
                <w:rFonts w:ascii="Cascadia Mono" w:hAnsi="Cascadia Mono" w:cs="Cascadia Mono"/>
              </w:rPr>
              <w:t>-ClientId -CertificateThumbprint</w:t>
              <w:br/>
              <w:t>-Certificate | -CertificatePath</w:t>
            </w:r>
          </w:p>
        </w:tc>
        <w:tc>
          <w:tcPr>
            <w:tcW w:type="dxa" w:w="1008"/>
          </w:tcPr>
          <w:p>
            <w:r/>
            <w:r>
              <w:rPr>
                <w:sz w:val="17"/>
              </w:rPr>
              <w:t>Yes</w:t>
            </w:r>
          </w:p>
        </w:tc>
        <w:tc>
          <w:tcPr>
            <w:tcW w:type="dxa" w:w="3744"/>
          </w:tcPr>
          <w:p>
            <w:r/>
            <w:r>
              <w:rPr>
                <w:sz w:val="17"/>
              </w:rPr>
              <w:t>Recommended for production. -CertificatePath also accepts -CertificatePassword.</w:t>
            </w:r>
          </w:p>
        </w:tc>
      </w:tr>
      <w:tr>
        <w:tc>
          <w:tcPr>
            <w:tcW w:type="dxa" w:w="1584"/>
          </w:tcPr>
          <w:p>
            <w:r/>
            <w:r>
              <w:rPr>
                <w:sz w:val="17"/>
              </w:rPr>
              <w:t>Managed identity</w:t>
            </w:r>
          </w:p>
        </w:tc>
        <w:tc>
          <w:tcPr>
            <w:tcW w:type="dxa" w:w="3312"/>
          </w:tcPr>
          <w:p>
            <w:r/>
            <w:r>
              <w:rPr>
                <w:rFonts w:ascii="Cascadia Mono" w:hAnsi="Cascadia Mono"/>
                <w:sz w:val="17"/>
                <w:rFonts w:ascii="Cascadia Mono" w:hAnsi="Cascadia Mono" w:cs="Cascadia Mono"/>
              </w:rPr>
              <w:t>-UseManagedIdentity</w:t>
            </w:r>
          </w:p>
        </w:tc>
        <w:tc>
          <w:tcPr>
            <w:tcW w:type="dxa" w:w="1008"/>
          </w:tcPr>
          <w:p>
            <w:r/>
            <w:r>
              <w:rPr>
                <w:sz w:val="17"/>
              </w:rPr>
              <w:t>Yes</w:t>
            </w:r>
          </w:p>
        </w:tc>
        <w:tc>
          <w:tcPr>
            <w:tcW w:type="dxa" w:w="3744"/>
          </w:tcPr>
          <w:p>
            <w:r/>
            <w:r>
              <w:rPr>
                <w:sz w:val="17"/>
              </w:rPr>
              <w:t>For Azure-hosted automation. -ClientId selects a user-assigned identity.</w:t>
            </w:r>
          </w:p>
        </w:tc>
      </w:tr>
      <w:tr>
        <w:tc>
          <w:tcPr>
            <w:tcW w:type="dxa" w:w="1584"/>
          </w:tcPr>
          <w:p>
            <w:r/>
            <w:r>
              <w:rPr>
                <w:sz w:val="17"/>
              </w:rPr>
              <w:t>Access token</w:t>
            </w:r>
          </w:p>
        </w:tc>
        <w:tc>
          <w:tcPr>
            <w:tcW w:type="dxa" w:w="3312"/>
          </w:tcPr>
          <w:p>
            <w:r/>
            <w:r>
              <w:rPr>
                <w:rFonts w:ascii="Cascadia Mono" w:hAnsi="Cascadia Mono"/>
                <w:sz w:val="17"/>
                <w:rFonts w:ascii="Cascadia Mono" w:hAnsi="Cascadia Mono" w:cs="Cascadia Mono"/>
              </w:rPr>
              <w:t>-AccessToken</w:t>
            </w:r>
          </w:p>
        </w:tc>
        <w:tc>
          <w:tcPr>
            <w:tcW w:type="dxa" w:w="1008"/>
          </w:tcPr>
          <w:p>
            <w:r/>
            <w:r>
              <w:rPr>
                <w:sz w:val="17"/>
              </w:rPr>
              <w:t>Depends</w:t>
            </w:r>
          </w:p>
        </w:tc>
        <w:tc>
          <w:tcPr>
            <w:tcW w:type="dxa" w:w="3744"/>
          </w:tcPr>
          <w:p>
            <w:r/>
            <w:r>
              <w:rPr>
                <w:sz w:val="17"/>
              </w:rPr>
              <w:t>A pre-obtained Microsoft Graph token.</w:t>
            </w:r>
          </w:p>
        </w:tc>
      </w:tr>
      <w:tr>
        <w:tc>
          <w:tcPr>
            <w:tcW w:type="dxa" w:w="1584"/>
          </w:tcPr>
          <w:p>
            <w:r/>
            <w:r>
              <w:rPr>
                <w:sz w:val="17"/>
              </w:rPr>
              <w:t>Interactive</w:t>
            </w:r>
          </w:p>
        </w:tc>
        <w:tc>
          <w:tcPr>
            <w:tcW w:type="dxa" w:w="3312"/>
          </w:tcPr>
          <w:p>
            <w:r/>
            <w:r>
              <w:rPr>
                <w:rFonts w:ascii="Cascadia Mono" w:hAnsi="Cascadia Mono"/>
                <w:sz w:val="17"/>
                <w:rFonts w:ascii="Cascadia Mono" w:hAnsi="Cascadia Mono" w:cs="Cascadia Mono"/>
              </w:rPr>
              <w:t>-Interactive</w:t>
            </w:r>
          </w:p>
        </w:tc>
        <w:tc>
          <w:tcPr>
            <w:tcW w:type="dxa" w:w="1008"/>
          </w:tcPr>
          <w:p>
            <w:r/>
            <w:r>
              <w:rPr>
                <w:sz w:val="17"/>
              </w:rPr>
              <w:t>No</w:t>
            </w:r>
          </w:p>
        </w:tc>
        <w:tc>
          <w:tcPr>
            <w:tcW w:type="dxa" w:w="3744"/>
          </w:tcPr>
          <w:p>
            <w:r/>
            <w:r>
              <w:rPr>
                <w:sz w:val="17"/>
              </w:rPr>
              <w:t>Signs in as a user. Cannot be used with -NewAgentUser.</w:t>
            </w:r>
          </w:p>
        </w:tc>
      </w:tr>
    </w:tbl>
    <w:p/>
    <w:tbl>
      <w:tblPr>
        <w:tblW w:type="auto" w:w="0"/>
        <w:jc w:val="left"/>
        <w:tblLook w:firstColumn="1" w:firstRow="1" w:lastColumn="0" w:lastRow="0" w:noHBand="0" w:noVBand="1" w:val="04A0"/>
      </w:tblPr>
      <w:tblGrid>
        <w:gridCol w:w="9648"/>
      </w:tblGrid>
      <w:tr>
        <w:tc>
          <w:tcPr>
            <w:tcW w:type="dxa" w:w="9648"/>
            <w:shd w:val="clear" w:fill="FFF4CE"/>
          </w:tcPr>
          <w:p>
            <w:r>
              <w:rPr>
                <w:b/>
                <w:sz w:val="19"/>
              </w:rPr>
              <w:t>-NewAgentUser requires app-only authentication</w:t>
            </w:r>
          </w:p>
          <w:p>
            <w:r>
              <w:rPr>
                <w:sz w:val="19"/>
              </w:rPr>
              <w:t>New-A365AgentUser.ps1 supports client secret, certificate and managed identity only — it has no interactive mode. The orchestrator refuses the combination before any phase runs, rather than failing after the blueprint and identity have already been created.</w:t>
            </w:r>
          </w:p>
        </w:tc>
      </w:tr>
    </w:tbl>
    <w:p/>
    <w:p>
      <w:pPr>
        <w:pStyle w:val="Heading2"/>
      </w:pPr>
      <w:r>
        <w:t>5.1 Mixed authentication for the registration phase</w:t>
      </w:r>
    </w:p>
    <w:p>
      <w:r>
        <w:rPr>
          <w:b w:val="0"/>
          <w:i w:val="0"/>
        </w:rPr>
        <w:t>The registration API is delegated-first. If your application cannot be granted the registration roles, run the earlier phases app-only and sign in interactively for phase 4 only:</w:t>
      </w:r>
    </w:p>
    <w:p>
      <w:pPr>
        <w:spacing w:before="80" w:after="160"/>
        <w:ind w:left="259"/>
        <w:shd w:val="clear" w:fill="F2F4F8"/>
      </w:pPr>
      <w:r>
        <w:rPr>
          <w:rFonts w:ascii="Cascadia Mono" w:hAnsi="Cascadia Mono"/>
          <w:sz w:val="17"/>
          <w:rFonts w:ascii="Cascadia Mono" w:hAnsi="Cascadia Mono" w:cs="Cascadia Mono"/>
        </w:rPr>
        <w:t>-AgentRegistrationAuth Interactive</w:t>
      </w:r>
    </w:p>
    <w:p>
      <w:r>
        <w:rPr>
          <w:b w:val="0"/>
          <w:i w:val="0"/>
        </w:rPr>
        <w:t>Allowed values are Same (default — reuse the run's authentication) and Interactive.</w:t>
      </w:r>
    </w:p>
    <w:p>
      <w:pPr>
        <w:pStyle w:val="Heading2"/>
      </w:pPr>
      <w:r>
        <w:t>5.2 Keeping the secret out of your shell history</w:t>
      </w:r>
    </w:p>
    <w:p>
      <w:pPr>
        <w:spacing w:before="80" w:after="160"/>
        <w:ind w:left="259"/>
        <w:shd w:val="clear" w:fill="F2F4F8"/>
      </w:pPr>
      <w:r>
        <w:rPr>
          <w:rFonts w:ascii="Cascadia Mono" w:hAnsi="Cascadia Mono"/>
          <w:sz w:val="17"/>
          <w:rFonts w:ascii="Cascadia Mono" w:hAnsi="Cascadia Mono" w:cs="Cascadia Mono"/>
        </w:rPr>
        <w:t>$env:A365_CLIENT_SECRET = '&lt;secret&gt;'</w:t>
        <w:br/>
        <w:t>.\A365-AutomationOrchestrator.ps1 -TenantId &lt;tid&gt; -ClientId &lt;appId&gt; `</w:t>
        <w:br/>
        <w:t xml:space="preserve">    -ClientSecret $env:A365_CLIENT_SECRET ...</w:t>
      </w:r>
    </w:p>
    <w:p>
      <w:r>
        <w:rPr>
          <w:b w:val="0"/>
          <w:i w:val="0"/>
        </w:rPr>
        <w:t>If -ClientSecret is omitted entirely, the scripts read $env:A365_CLIENT_SECRET automatically. Passing a plain-text secret on the command line produces a warning, because it is visible to shell history and transcripts.</w:t>
      </w:r>
    </w:p>
    <w:p>
      <w:r>
        <w:br w:type="page"/>
      </w:r>
    </w:p>
    <w:p>
      <w:pPr>
        <w:pStyle w:val="Heading1"/>
      </w:pPr>
      <w:r>
        <w:t>6. Azure Key Vault (optional)</w:t>
      </w:r>
    </w:p>
    <w:p>
      <w:r>
        <w:rPr>
          <w:b w:val="0"/>
          <w:i w:val="0"/>
        </w:rPr>
        <w:t>-BlueprintKeyVaultName stores a newly created blueprint client secret in Azure Key Vault instead of printing it once to the console. This is the only capability in the suite that does not run on Microsoft Graph.</w:t>
      </w:r>
    </w:p>
    <w:p>
      <w:pPr>
        <w:pStyle w:val="Heading2"/>
      </w:pPr>
      <w:r>
        <w:t>6.1 Why this one is not a Graph operation</w:t>
      </w:r>
    </w:p>
    <w:p>
      <w:r>
        <w:rPr>
          <w:b w:val="0"/>
          <w:i w:val="0"/>
        </w:rPr>
        <w:t>Key Vault is a separate service with its own data plane and its own token audience. This was verified against a live tenant rather than assumed:</w:t>
      </w:r>
    </w:p>
    <w:tbl>
      <w:tblPr>
        <w:tblStyle w:val="LightGrid-Accent1"/>
        <w:tblW w:type="auto" w:w="0"/>
        <w:jc w:val="left"/>
        <w:tblLook w:firstColumn="1" w:firstRow="1" w:lastColumn="0" w:lastRow="0" w:noHBand="0" w:noVBand="1" w:val="04A0"/>
      </w:tblPr>
      <w:tblGrid>
        <w:gridCol w:w="3216"/>
        <w:gridCol w:w="3216"/>
        <w:gridCol w:w="3216"/>
      </w:tblGrid>
      <w:tr>
        <w:tc>
          <w:tcPr>
            <w:tcW w:type="dxa" w:w="3888"/>
          </w:tcPr>
          <w:p>
            <w:r/>
            <w:r>
              <w:rPr>
                <w:b/>
                <w:sz w:val="18"/>
              </w:rPr>
              <w:t>Probe</w:t>
            </w:r>
          </w:p>
        </w:tc>
        <w:tc>
          <w:tcPr>
            <w:tcW w:type="dxa" w:w="864"/>
          </w:tcPr>
          <w:p>
            <w:r/>
            <w:r>
              <w:rPr>
                <w:b/>
                <w:sz w:val="18"/>
              </w:rPr>
              <w:t>Result</w:t>
            </w:r>
          </w:p>
        </w:tc>
        <w:tc>
          <w:tcPr>
            <w:tcW w:type="dxa" w:w="4896"/>
          </w:tcPr>
          <w:p>
            <w:r/>
            <w:r>
              <w:rPr>
                <w:b/>
                <w:sz w:val="18"/>
              </w:rPr>
              <w:t>Conclusion</w:t>
            </w:r>
          </w:p>
        </w:tc>
      </w:tr>
      <w:tr>
        <w:tc>
          <w:tcPr>
            <w:tcW w:type="dxa" w:w="3888"/>
          </w:tcPr>
          <w:p>
            <w:r/>
            <w:r>
              <w:rPr>
                <w:rFonts w:ascii="Cascadia Mono" w:hAnsi="Cascadia Mono"/>
                <w:sz w:val="17"/>
                <w:rFonts w:ascii="Cascadia Mono" w:hAnsi="Cascadia Mono" w:cs="Cascadia Mono"/>
              </w:rPr>
              <w:t>GET /beta/keyVaults, /v1.0/keyVaults, /beta/secrets</w:t>
            </w:r>
          </w:p>
        </w:tc>
        <w:tc>
          <w:tcPr>
            <w:tcW w:type="dxa" w:w="864"/>
          </w:tcPr>
          <w:p>
            <w:r/>
            <w:r>
              <w:rPr>
                <w:rFonts w:ascii="Cascadia Mono" w:hAnsi="Cascadia Mono"/>
                <w:sz w:val="17"/>
                <w:rFonts w:ascii="Cascadia Mono" w:hAnsi="Cascadia Mono" w:cs="Cascadia Mono"/>
              </w:rPr>
              <w:t>400</w:t>
            </w:r>
          </w:p>
        </w:tc>
        <w:tc>
          <w:tcPr>
            <w:tcW w:type="dxa" w:w="4896"/>
          </w:tcPr>
          <w:p>
            <w:r/>
            <w:r>
              <w:rPr>
                <w:sz w:val="17"/>
              </w:rPr>
              <w:t>Microsoft Graph exposes no Key Vault surface at all</w:t>
            </w:r>
          </w:p>
        </w:tc>
      </w:tr>
      <w:tr>
        <w:tc>
          <w:tcPr>
            <w:tcW w:type="dxa" w:w="3888"/>
          </w:tcPr>
          <w:p>
            <w:r/>
            <w:r>
              <w:rPr>
                <w:sz w:val="17"/>
              </w:rPr>
              <w:t>Graph token → vault data plane</w:t>
            </w:r>
          </w:p>
        </w:tc>
        <w:tc>
          <w:tcPr>
            <w:tcW w:type="dxa" w:w="864"/>
          </w:tcPr>
          <w:p>
            <w:r/>
            <w:r>
              <w:rPr>
                <w:rFonts w:ascii="Cascadia Mono" w:hAnsi="Cascadia Mono"/>
                <w:sz w:val="17"/>
                <w:rFonts w:ascii="Cascadia Mono" w:hAnsi="Cascadia Mono" w:cs="Cascadia Mono"/>
              </w:rPr>
              <w:t>401</w:t>
            </w:r>
          </w:p>
        </w:tc>
        <w:tc>
          <w:tcPr>
            <w:tcW w:type="dxa" w:w="4896"/>
          </w:tcPr>
          <w:p>
            <w:r/>
            <w:r>
              <w:rPr>
                <w:sz w:val="17"/>
              </w:rPr>
              <w:t>The vault rejects a Graph token outright</w:t>
            </w:r>
          </w:p>
        </w:tc>
      </w:tr>
      <w:tr>
        <w:tc>
          <w:tcPr>
            <w:tcW w:type="dxa" w:w="3888"/>
          </w:tcPr>
          <w:p>
            <w:r/>
            <w:r>
              <w:rPr>
                <w:sz w:val="17"/>
              </w:rPr>
              <w:t>Vault-audience token → the same request</w:t>
            </w:r>
          </w:p>
        </w:tc>
        <w:tc>
          <w:tcPr>
            <w:tcW w:type="dxa" w:w="864"/>
          </w:tcPr>
          <w:p>
            <w:r/>
            <w:r>
              <w:rPr>
                <w:rFonts w:ascii="Cascadia Mono" w:hAnsi="Cascadia Mono"/>
                <w:sz w:val="17"/>
                <w:rFonts w:ascii="Cascadia Mono" w:hAnsi="Cascadia Mono" w:cs="Cascadia Mono"/>
              </w:rPr>
              <w:t>403</w:t>
            </w:r>
          </w:p>
        </w:tc>
        <w:tc>
          <w:tcPr>
            <w:tcW w:type="dxa" w:w="4896"/>
          </w:tcPr>
          <w:p>
            <w:r/>
            <w:r>
              <w:rPr>
                <w:sz w:val="17"/>
              </w:rPr>
              <w:t>Authenticated; only the RBAC role was missing</w:t>
            </w:r>
          </w:p>
        </w:tc>
      </w:tr>
      <w:tr>
        <w:tc>
          <w:tcPr>
            <w:tcW w:type="dxa" w:w="3888"/>
          </w:tcPr>
          <w:p>
            <w:r/>
            <w:r>
              <w:rPr>
                <w:sz w:val="17"/>
              </w:rPr>
              <w:t>The same Graph token → ~/v1.0/organization</w:t>
            </w:r>
          </w:p>
        </w:tc>
        <w:tc>
          <w:tcPr>
            <w:tcW w:type="dxa" w:w="864"/>
          </w:tcPr>
          <w:p>
            <w:r/>
            <w:r>
              <w:rPr>
                <w:rFonts w:ascii="Cascadia Mono" w:hAnsi="Cascadia Mono"/>
                <w:sz w:val="17"/>
                <w:rFonts w:ascii="Cascadia Mono" w:hAnsi="Cascadia Mono" w:cs="Cascadia Mono"/>
              </w:rPr>
              <w:t>200</w:t>
            </w:r>
          </w:p>
        </w:tc>
        <w:tc>
          <w:tcPr>
            <w:tcW w:type="dxa" w:w="4896"/>
          </w:tcPr>
          <w:p>
            <w:r/>
            <w:r>
              <w:rPr>
                <w:sz w:val="17"/>
              </w:rPr>
              <w:t>Control: the Graph token was valid</w:t>
            </w:r>
          </w:p>
        </w:tc>
      </w:tr>
    </w:tbl>
    <w:p/>
    <w:p>
      <w:r>
        <w:rPr>
          <w:b w:val="0"/>
          <w:i w:val="0"/>
        </w:rPr>
        <w:t>The 401/403 split is what makes this conclusive. Because the vault answered an authorization question when given a vault-audience token, the 401 was purely about audience. A token is bound to its audience and cannot be exchanged.</w:t>
      </w:r>
    </w:p>
    <w:p>
      <w:pPr>
        <w:pStyle w:val="Heading2"/>
      </w:pPr>
      <w:r>
        <w:t>6.2 Azure RBAC role required</w:t>
      </w:r>
    </w:p>
    <w:tbl>
      <w:tblPr>
        <w:tblW w:type="auto" w:w="0"/>
        <w:jc w:val="left"/>
        <w:tblLook w:firstColumn="1" w:firstRow="1" w:lastColumn="0" w:lastRow="0" w:noHBand="0" w:noVBand="1" w:val="04A0"/>
      </w:tblPr>
      <w:tblGrid>
        <w:gridCol w:w="9648"/>
      </w:tblGrid>
      <w:tr>
        <w:tc>
          <w:tcPr>
            <w:tcW w:type="dxa" w:w="9648"/>
            <w:shd w:val="clear" w:fill="FDE7E9"/>
          </w:tcPr>
          <w:p>
            <w:r>
              <w:rPr>
                <w:b/>
                <w:sz w:val="19"/>
              </w:rPr>
              <w:t>Owner and Contributor cannot read or write secrets</w:t>
            </w:r>
          </w:p>
          <w:p>
            <w:r>
              <w:rPr>
                <w:sz w:val="19"/>
              </w:rPr>
              <w:t>Key Vault separates its management plane (create and configure vaults) from its data plane (read and write secrets). Owner and Contributor grant the former and have NO dataActions at all. This was confirmed live: a caller holding Contributor on the vault still received 403 on a secret write.</w:t>
            </w:r>
          </w:p>
        </w:tc>
      </w:tr>
    </w:tbl>
    <w:p/>
    <w:tbl>
      <w:tblPr>
        <w:tblStyle w:val="LightGrid-Accent1"/>
        <w:tblW w:type="auto" w:w="0"/>
        <w:jc w:val="left"/>
        <w:tblLook w:firstColumn="1" w:firstRow="1" w:lastColumn="0" w:lastRow="0" w:noHBand="0" w:noVBand="1" w:val="04A0"/>
      </w:tblPr>
      <w:tblGrid>
        <w:gridCol w:w="3216"/>
        <w:gridCol w:w="3216"/>
        <w:gridCol w:w="3216"/>
      </w:tblGrid>
      <w:tr>
        <w:tc>
          <w:tcPr>
            <w:tcW w:type="dxa" w:w="2304"/>
          </w:tcPr>
          <w:p>
            <w:r/>
            <w:r>
              <w:rPr>
                <w:b/>
                <w:sz w:val="18"/>
              </w:rPr>
              <w:t>Role</w:t>
            </w:r>
          </w:p>
        </w:tc>
        <w:tc>
          <w:tcPr>
            <w:tcW w:type="dxa" w:w="3456"/>
          </w:tcPr>
          <w:p>
            <w:r/>
            <w:r>
              <w:rPr>
                <w:b/>
                <w:sz w:val="18"/>
              </w:rPr>
              <w:t>Role definition id</w:t>
            </w:r>
          </w:p>
        </w:tc>
        <w:tc>
          <w:tcPr>
            <w:tcW w:type="dxa" w:w="3888"/>
          </w:tcPr>
          <w:p>
            <w:r/>
            <w:r>
              <w:rPr>
                <w:b/>
                <w:sz w:val="18"/>
              </w:rPr>
              <w:t>Grants</w:t>
            </w:r>
          </w:p>
        </w:tc>
      </w:tr>
      <w:tr>
        <w:tc>
          <w:tcPr>
            <w:tcW w:type="dxa" w:w="2304"/>
          </w:tcPr>
          <w:p>
            <w:r/>
            <w:r>
              <w:rPr>
                <w:sz w:val="17"/>
              </w:rPr>
              <w:t>Key Vault Secrets Officer</w:t>
            </w:r>
          </w:p>
        </w:tc>
        <w:tc>
          <w:tcPr>
            <w:tcW w:type="dxa" w:w="3456"/>
          </w:tcPr>
          <w:p>
            <w:r/>
            <w:r>
              <w:rPr>
                <w:rFonts w:ascii="Cascadia Mono" w:hAnsi="Cascadia Mono"/>
                <w:sz w:val="17"/>
                <w:rFonts w:ascii="Cascadia Mono" w:hAnsi="Cascadia Mono" w:cs="Cascadia Mono"/>
              </w:rPr>
              <w:t>b86a8fe4-44ce-4948-aee5-eccb2c155cd7</w:t>
            </w:r>
          </w:p>
        </w:tc>
        <w:tc>
          <w:tcPr>
            <w:tcW w:type="dxa" w:w="3888"/>
          </w:tcPr>
          <w:p>
            <w:r/>
            <w:r>
              <w:rPr>
                <w:rFonts w:ascii="Cascadia Mono" w:hAnsi="Cascadia Mono"/>
                <w:sz w:val="17"/>
                <w:rFonts w:ascii="Cascadia Mono" w:hAnsi="Cascadia Mono" w:cs="Cascadia Mono"/>
              </w:rPr>
              <w:t>Microsoft.KeyVault/vaults/secrets/*  — required to WRITE</w:t>
            </w:r>
          </w:p>
        </w:tc>
      </w:tr>
      <w:tr>
        <w:tc>
          <w:tcPr>
            <w:tcW w:type="dxa" w:w="2304"/>
          </w:tcPr>
          <w:p>
            <w:r/>
            <w:r>
              <w:rPr>
                <w:sz w:val="17"/>
              </w:rPr>
              <w:t>Key Vault Secrets User</w:t>
            </w:r>
          </w:p>
        </w:tc>
        <w:tc>
          <w:tcPr>
            <w:tcW w:type="dxa" w:w="3456"/>
          </w:tcPr>
          <w:p>
            <w:r/>
            <w:r>
              <w:rPr>
                <w:rFonts w:ascii="Cascadia Mono" w:hAnsi="Cascadia Mono"/>
                <w:sz w:val="17"/>
                <w:rFonts w:ascii="Cascadia Mono" w:hAnsi="Cascadia Mono" w:cs="Cascadia Mono"/>
              </w:rPr>
              <w:t>4633458b-17de-408a-b874-0445c86b69e6</w:t>
            </w:r>
          </w:p>
        </w:tc>
        <w:tc>
          <w:tcPr>
            <w:tcW w:type="dxa" w:w="3888"/>
          </w:tcPr>
          <w:p>
            <w:r/>
            <w:r>
              <w:rPr>
                <w:sz w:val="17"/>
              </w:rPr>
              <w:t>getSecret + readMetadata — read secret values</w:t>
            </w:r>
          </w:p>
        </w:tc>
      </w:tr>
      <w:tr>
        <w:tc>
          <w:tcPr>
            <w:tcW w:type="dxa" w:w="2304"/>
          </w:tcPr>
          <w:p>
            <w:r/>
            <w:r>
              <w:rPr>
                <w:sz w:val="17"/>
              </w:rPr>
              <w:t>Key Vault Reader</w:t>
            </w:r>
          </w:p>
        </w:tc>
        <w:tc>
          <w:tcPr>
            <w:tcW w:type="dxa" w:w="3456"/>
          </w:tcPr>
          <w:p>
            <w:r/>
            <w:r>
              <w:rPr>
                <w:rFonts w:ascii="Cascadia Mono" w:hAnsi="Cascadia Mono"/>
                <w:sz w:val="17"/>
                <w:rFonts w:ascii="Cascadia Mono" w:hAnsi="Cascadia Mono" w:cs="Cascadia Mono"/>
              </w:rPr>
              <w:t>21090545-7ca7-4776-b22c-e363652d74d2</w:t>
            </w:r>
          </w:p>
        </w:tc>
        <w:tc>
          <w:tcPr>
            <w:tcW w:type="dxa" w:w="3888"/>
          </w:tcPr>
          <w:p>
            <w:r/>
            <w:r>
              <w:rPr>
                <w:sz w:val="17"/>
              </w:rPr>
              <w:t>List keys and secrets, but NOT read secret values</w:t>
            </w:r>
          </w:p>
        </w:tc>
      </w:tr>
      <w:tr>
        <w:tc>
          <w:tcPr>
            <w:tcW w:type="dxa" w:w="2304"/>
          </w:tcPr>
          <w:p>
            <w:r/>
            <w:r>
              <w:rPr>
                <w:sz w:val="17"/>
              </w:rPr>
              <w:t>Key Vault Crypto Officer</w:t>
            </w:r>
          </w:p>
        </w:tc>
        <w:tc>
          <w:tcPr>
            <w:tcW w:type="dxa" w:w="3456"/>
          </w:tcPr>
          <w:p>
            <w:r/>
            <w:r>
              <w:rPr>
                <w:rFonts w:ascii="Cascadia Mono" w:hAnsi="Cascadia Mono"/>
                <w:sz w:val="17"/>
                <w:rFonts w:ascii="Cascadia Mono" w:hAnsi="Cascadia Mono" w:cs="Cascadia Mono"/>
              </w:rPr>
              <w:t>14b46e9e-c2b7-41b4-b07b-48a6ebf60603</w:t>
            </w:r>
          </w:p>
        </w:tc>
        <w:tc>
          <w:tcPr>
            <w:tcW w:type="dxa" w:w="3888"/>
          </w:tcPr>
          <w:p>
            <w:r/>
            <w:r>
              <w:rPr>
                <w:rFonts w:ascii="Cascadia Mono" w:hAnsi="Cascadia Mono"/>
                <w:sz w:val="17"/>
                <w:rFonts w:ascii="Cascadia Mono" w:hAnsi="Cascadia Mono" w:cs="Cascadia Mono"/>
              </w:rPr>
              <w:t>Microsoft.KeyVault/vaults/keys/*  — manage keys</w:t>
            </w:r>
          </w:p>
        </w:tc>
      </w:tr>
      <w:tr>
        <w:tc>
          <w:tcPr>
            <w:tcW w:type="dxa" w:w="2304"/>
          </w:tcPr>
          <w:p>
            <w:r/>
            <w:r>
              <w:rPr>
                <w:sz w:val="17"/>
              </w:rPr>
              <w:t>Key Vault Administrator</w:t>
            </w:r>
          </w:p>
        </w:tc>
        <w:tc>
          <w:tcPr>
            <w:tcW w:type="dxa" w:w="3456"/>
          </w:tcPr>
          <w:p>
            <w:r/>
            <w:r>
              <w:rPr>
                <w:rFonts w:ascii="Cascadia Mono" w:hAnsi="Cascadia Mono"/>
                <w:sz w:val="17"/>
                <w:rFonts w:ascii="Cascadia Mono" w:hAnsi="Cascadia Mono" w:cs="Cascadia Mono"/>
              </w:rPr>
              <w:t>00482a5a-887f-4fb3-b363-3b7fe8e74483</w:t>
            </w:r>
          </w:p>
        </w:tc>
        <w:tc>
          <w:tcPr>
            <w:tcW w:type="dxa" w:w="3888"/>
          </w:tcPr>
          <w:p>
            <w:r/>
            <w:r>
              <w:rPr>
                <w:sz w:val="17"/>
              </w:rPr>
              <w:t>All data actions: keys, secrets and certificates</w:t>
            </w:r>
          </w:p>
        </w:tc>
      </w:tr>
    </w:tbl>
    <w:p/>
    <w:p>
      <w:r>
        <w:rPr>
          <w:b w:val="0"/>
          <w:i w:val="0"/>
        </w:rPr>
        <w:t>Grant the automation application's SERVICE PRINCIPAL object id (not the application object id):</w:t>
      </w:r>
    </w:p>
    <w:p>
      <w:pPr>
        <w:spacing w:before="80" w:after="160"/>
        <w:ind w:left="259"/>
        <w:shd w:val="clear" w:fill="F2F4F8"/>
      </w:pPr>
      <w:r>
        <w:rPr>
          <w:rFonts w:ascii="Cascadia Mono" w:hAnsi="Cascadia Mono"/>
          <w:sz w:val="17"/>
          <w:rFonts w:ascii="Cascadia Mono" w:hAnsi="Cascadia Mono" w:cs="Cascadia Mono"/>
        </w:rPr>
        <w:t>az role assignment create `</w:t>
        <w:br/>
        <w:t xml:space="preserve">    --role 'Key Vault Secrets Officer' `</w:t>
        <w:br/>
        <w:t xml:space="preserve">    --assignee-object-id &lt;automation-app-SP-object-id&gt; `</w:t>
        <w:br/>
        <w:t xml:space="preserve">    --assignee-principal-type ServicePrincipal `</w:t>
        <w:br/>
        <w:t xml:space="preserve">    --scope /subscriptions/&lt;sub&gt;/resourceGroups/&lt;rg&gt;/providers/Microsoft.KeyVault/vaults/&lt;vault&gt;</w:t>
      </w:r>
    </w:p>
    <w:tbl>
      <w:tblPr>
        <w:tblW w:type="auto" w:w="0"/>
        <w:jc w:val="left"/>
        <w:tblLook w:firstColumn="1" w:firstRow="1" w:lastColumn="0" w:lastRow="0" w:noHBand="0" w:noVBand="1" w:val="04A0"/>
      </w:tblPr>
      <w:tblGrid>
        <w:gridCol w:w="9648"/>
      </w:tblGrid>
      <w:tr>
        <w:tc>
          <w:tcPr>
            <w:tcW w:type="dxa" w:w="9648"/>
            <w:shd w:val="clear" w:fill="E8F1FB"/>
          </w:tcPr>
          <w:p>
            <w:r>
              <w:rPr>
                <w:b/>
                <w:sz w:val="19"/>
              </w:rPr>
              <w:t>This is an Azure RBAC assignment, not a Graph permission</w:t>
            </w:r>
          </w:p>
          <w:p>
            <w:r>
              <w:rPr>
                <w:sz w:val="19"/>
              </w:rPr>
              <w:t>New-A365AutomationApp.ps1 cannot grant it — that script grants Microsoft Graph roles. Creating a role assignment requires Owner, User Access Administrator, or Role Based Access Control Administrator. Contributor explicitly cannot: it carries notActions Microsoft.Authorization/*/Write.</w:t>
            </w:r>
          </w:p>
        </w:tc>
      </w:tr>
    </w:tbl>
    <w:p/>
    <w:p>
      <w:r>
        <w:rPr>
          <w:b w:val="0"/>
          <w:i w:val="0"/>
        </w:rPr>
        <w:t>If the vault still uses access policies rather than RBAC, grant secret set and get there instead. The script reports which model it encountered.</w:t>
      </w:r>
    </w:p>
    <w:p>
      <w:pPr>
        <w:pStyle w:val="Heading2"/>
      </w:pPr>
      <w:r>
        <w:t>6.3 How the vault token is obtained</w:t>
      </w:r>
    </w:p>
    <w:tbl>
      <w:tblPr>
        <w:tblStyle w:val="LightGrid-Accent1"/>
        <w:tblW w:type="auto" w:w="0"/>
        <w:jc w:val="left"/>
        <w:tblLook w:firstColumn="1" w:firstRow="1" w:lastColumn="0" w:lastRow="0" w:noHBand="0" w:noVBand="1" w:val="04A0"/>
      </w:tblPr>
      <w:tblGrid>
        <w:gridCol w:w="4824"/>
        <w:gridCol w:w="4824"/>
      </w:tblGrid>
      <w:tr>
        <w:tc>
          <w:tcPr>
            <w:tcW w:type="dxa" w:w="3168"/>
          </w:tcPr>
          <w:p>
            <w:r/>
            <w:r>
              <w:rPr>
                <w:b/>
                <w:sz w:val="18"/>
              </w:rPr>
              <w:t>Graph authentication</w:t>
            </w:r>
          </w:p>
        </w:tc>
        <w:tc>
          <w:tcPr>
            <w:tcW w:type="dxa" w:w="6480"/>
          </w:tcPr>
          <w:p>
            <w:r/>
            <w:r>
              <w:rPr>
                <w:b/>
                <w:sz w:val="18"/>
              </w:rPr>
              <w:t>Key Vault token</w:t>
            </w:r>
          </w:p>
        </w:tc>
      </w:tr>
      <w:tr>
        <w:tc>
          <w:tcPr>
            <w:tcW w:type="dxa" w:w="3168"/>
          </w:tcPr>
          <w:p>
            <w:r/>
            <w:r>
              <w:rPr>
                <w:rFonts w:ascii="Cascadia Mono" w:hAnsi="Cascadia Mono"/>
                <w:sz w:val="17"/>
                <w:rFonts w:ascii="Cascadia Mono" w:hAnsi="Cascadia Mono" w:cs="Cascadia Mono"/>
              </w:rPr>
              <w:t>-ClientSecret</w:t>
            </w:r>
          </w:p>
        </w:tc>
        <w:tc>
          <w:tcPr>
            <w:tcW w:type="dxa" w:w="6480"/>
          </w:tcPr>
          <w:p>
            <w:r/>
            <w:r>
              <w:rPr>
                <w:sz w:val="17"/>
              </w:rPr>
              <w:t>Client credentials against the token endpoint, with the vault scope</w:t>
            </w:r>
          </w:p>
        </w:tc>
      </w:tr>
      <w:tr>
        <w:tc>
          <w:tcPr>
            <w:tcW w:type="dxa" w:w="3168"/>
          </w:tcPr>
          <w:p>
            <w:r/>
            <w:r>
              <w:rPr>
                <w:rFonts w:ascii="Cascadia Mono" w:hAnsi="Cascadia Mono"/>
                <w:sz w:val="17"/>
                <w:rFonts w:ascii="Cascadia Mono" w:hAnsi="Cascadia Mono" w:cs="Cascadia Mono"/>
              </w:rPr>
              <w:t>-Certificate / -CertificateThumbprint</w:t>
            </w:r>
          </w:p>
        </w:tc>
        <w:tc>
          <w:tcPr>
            <w:tcW w:type="dxa" w:w="6480"/>
          </w:tcPr>
          <w:p>
            <w:r/>
            <w:r>
              <w:rPr>
                <w:sz w:val="17"/>
              </w:rPr>
              <w:t>A signed RS256 client assertion — the Graph SDK will not mint a token for another audience</w:t>
            </w:r>
          </w:p>
        </w:tc>
      </w:tr>
      <w:tr>
        <w:tc>
          <w:tcPr>
            <w:tcW w:type="dxa" w:w="3168"/>
          </w:tcPr>
          <w:p>
            <w:r/>
            <w:r>
              <w:rPr>
                <w:rFonts w:ascii="Cascadia Mono" w:hAnsi="Cascadia Mono"/>
                <w:sz w:val="17"/>
                <w:rFonts w:ascii="Cascadia Mono" w:hAnsi="Cascadia Mono" w:cs="Cascadia Mono"/>
              </w:rPr>
              <w:t>-UseManagedIdentity</w:t>
            </w:r>
          </w:p>
        </w:tc>
        <w:tc>
          <w:tcPr>
            <w:tcW w:type="dxa" w:w="6480"/>
          </w:tcPr>
          <w:p>
            <w:r/>
            <w:r>
              <w:rPr>
                <w:sz w:val="17"/>
              </w:rPr>
              <w:t>IMDS, or IDENTITY_ENDPOINT on App Service and Functions</w:t>
            </w:r>
          </w:p>
        </w:tc>
      </w:tr>
      <w:tr>
        <w:tc>
          <w:tcPr>
            <w:tcW w:type="dxa" w:w="3168"/>
          </w:tcPr>
          <w:p>
            <w:r/>
            <w:r>
              <w:rPr>
                <w:rFonts w:ascii="Cascadia Mono" w:hAnsi="Cascadia Mono"/>
                <w:sz w:val="17"/>
                <w:rFonts w:ascii="Cascadia Mono" w:hAnsi="Cascadia Mono" w:cs="Cascadia Mono"/>
              </w:rPr>
              <w:t>-Interactive</w:t>
            </w:r>
          </w:p>
        </w:tc>
        <w:tc>
          <w:tcPr>
            <w:tcW w:type="dxa" w:w="6480"/>
          </w:tcPr>
          <w:p>
            <w:r/>
            <w:r>
              <w:rPr>
                <w:sz w:val="17"/>
              </w:rPr>
              <w:t>A signed-in Azure session (az login or Connect-AzAccount)</w:t>
            </w:r>
          </w:p>
        </w:tc>
      </w:tr>
      <w:tr>
        <w:tc>
          <w:tcPr>
            <w:tcW w:type="dxa" w:w="3168"/>
          </w:tcPr>
          <w:p>
            <w:r/>
            <w:r>
              <w:rPr>
                <w:rFonts w:ascii="Cascadia Mono" w:hAnsi="Cascadia Mono"/>
                <w:sz w:val="17"/>
                <w:rFonts w:ascii="Cascadia Mono" w:hAnsi="Cascadia Mono" w:cs="Cascadia Mono"/>
              </w:rPr>
              <w:t>-AccessToken</w:t>
            </w:r>
          </w:p>
        </w:tc>
        <w:tc>
          <w:tcPr>
            <w:tcW w:type="dxa" w:w="6480"/>
          </w:tcPr>
          <w:p>
            <w:r/>
            <w:r>
              <w:rPr>
                <w:sz w:val="17"/>
              </w:rPr>
              <w:t>Not possible — supply ~-KeyVaultAccessToken</w:t>
            </w:r>
          </w:p>
        </w:tc>
      </w:tr>
    </w:tbl>
    <w:p/>
    <w:p>
      <w:pPr>
        <w:pStyle w:val="Heading2"/>
      </w:pPr>
      <w:r>
        <w:t>6.4 What gets stored</w:t>
      </w:r>
    </w:p>
    <w:p>
      <w:r>
        <w:rPr>
          <w:b w:val="0"/>
          <w:i w:val="0"/>
        </w:rPr>
        <w:t>The secret is written as a new VERSION (an existing name is never overwritten, so credential history is preserved), with the vault entry expiring at the same moment as the Entra credential itself:</w:t>
      </w:r>
    </w:p>
    <w:tbl>
      <w:tblPr>
        <w:tblStyle w:val="LightGrid-Accent1"/>
        <w:tblW w:type="auto" w:w="0"/>
        <w:jc w:val="left"/>
        <w:tblLook w:firstColumn="1" w:firstRow="1" w:lastColumn="0" w:lastRow="0" w:noHBand="0" w:noVBand="1" w:val="04A0"/>
      </w:tblPr>
      <w:tblGrid>
        <w:gridCol w:w="4824"/>
        <w:gridCol w:w="4824"/>
      </w:tblGrid>
      <w:tr>
        <w:tc>
          <w:tcPr>
            <w:tcW w:type="dxa" w:w="1872"/>
          </w:tcPr>
          <w:p>
            <w:r/>
            <w:r>
              <w:rPr>
                <w:b/>
                <w:sz w:val="18"/>
              </w:rPr>
              <w:t>Field</w:t>
            </w:r>
          </w:p>
        </w:tc>
        <w:tc>
          <w:tcPr>
            <w:tcW w:type="dxa" w:w="7776"/>
          </w:tcPr>
          <w:p>
            <w:r/>
            <w:r>
              <w:rPr>
                <w:b/>
                <w:sz w:val="18"/>
              </w:rPr>
              <w:t>Value</w:t>
            </w:r>
          </w:p>
        </w:tc>
      </w:tr>
      <w:tr>
        <w:tc>
          <w:tcPr>
            <w:tcW w:type="dxa" w:w="1872"/>
          </w:tcPr>
          <w:p>
            <w:r/>
            <w:r>
              <w:rPr>
                <w:sz w:val="17"/>
              </w:rPr>
              <w:t>Secret name</w:t>
            </w:r>
          </w:p>
        </w:tc>
        <w:tc>
          <w:tcPr>
            <w:tcW w:type="dxa" w:w="7776"/>
          </w:tcPr>
          <w:p>
            <w:r/>
            <w:r>
              <w:rPr>
                <w:sz w:val="17"/>
              </w:rPr>
              <w:t>The display name folded to the characters Key Vault allows, or ~-BlueprintKeyVaultSecretName</w:t>
            </w:r>
          </w:p>
        </w:tc>
      </w:tr>
      <w:tr>
        <w:tc>
          <w:tcPr>
            <w:tcW w:type="dxa" w:w="1872"/>
          </w:tcPr>
          <w:p>
            <w:r/>
            <w:r>
              <w:rPr>
                <w:sz w:val="17"/>
              </w:rPr>
              <w:t>contentType</w:t>
            </w:r>
          </w:p>
        </w:tc>
        <w:tc>
          <w:tcPr>
            <w:tcW w:type="dxa" w:w="7776"/>
          </w:tcPr>
          <w:p>
            <w:r/>
            <w:r>
              <w:rPr>
                <w:rFonts w:ascii="Cascadia Mono" w:hAnsi="Cascadia Mono"/>
                <w:sz w:val="17"/>
                <w:rFonts w:ascii="Cascadia Mono" w:hAnsi="Cascadia Mono" w:cs="Cascadia Mono"/>
              </w:rPr>
              <w:t>application/x-a365-client-secret</w:t>
            </w:r>
          </w:p>
        </w:tc>
      </w:tr>
      <w:tr>
        <w:tc>
          <w:tcPr>
            <w:tcW w:type="dxa" w:w="1872"/>
          </w:tcPr>
          <w:p>
            <w:r/>
            <w:r>
              <w:rPr>
                <w:sz w:val="17"/>
              </w:rPr>
              <w:t>Tags</w:t>
            </w:r>
          </w:p>
        </w:tc>
        <w:tc>
          <w:tcPr>
            <w:tcW w:type="dxa" w:w="7776"/>
          </w:tcPr>
          <w:p>
            <w:r/>
            <w:r>
              <w:rPr>
                <w:rFonts w:ascii="Cascadia Mono" w:hAnsi="Cascadia Mono"/>
                <w:sz w:val="17"/>
                <w:rFonts w:ascii="Cascadia Mono" w:hAnsi="Cascadia Mono" w:cs="Cascadia Mono"/>
              </w:rPr>
              <w:t>a365Object, a365AppId, a365DisplayName</w:t>
            </w:r>
          </w:p>
        </w:tc>
      </w:tr>
      <w:tr>
        <w:tc>
          <w:tcPr>
            <w:tcW w:type="dxa" w:w="1872"/>
          </w:tcPr>
          <w:p>
            <w:r/>
            <w:r>
              <w:rPr>
                <w:sz w:val="17"/>
              </w:rPr>
              <w:t>Expiry</w:t>
            </w:r>
          </w:p>
        </w:tc>
        <w:tc>
          <w:tcPr>
            <w:tcW w:type="dxa" w:w="7776"/>
          </w:tcPr>
          <w:p>
            <w:r/>
            <w:r>
              <w:rPr>
                <w:sz w:val="17"/>
              </w:rPr>
              <w:t>Aligned with the credential lifetime, so a stale secret is not left looking current</w:t>
            </w:r>
          </w:p>
        </w:tc>
      </w:tr>
    </w:tbl>
    <w:p/>
    <w:p>
      <w:r>
        <w:rPr>
          <w:b w:val="0"/>
          <w:i w:val="0"/>
        </w:rPr>
        <w:t>The write is confirmed by reading the version back. If the vault write fails for any reason, the secret is still printed to the console — a credential that exists in Entra but was captured nowhere is unrecoverable.</w:t>
      </w:r>
    </w:p>
    <w:p>
      <w:r>
        <w:br w:type="page"/>
      </w:r>
    </w:p>
    <w:p>
      <w:pPr>
        <w:pStyle w:val="Heading1"/>
      </w:pPr>
      <w:r>
        <w:t>7. Parameter reference</w:t>
      </w:r>
    </w:p>
    <w:p>
      <w:r>
        <w:rPr>
          <w:b w:val="0"/>
          <w:i w:val="0"/>
        </w:rPr>
        <w:t>75 parameters, grouped by the phase they configure. Every setting for a phase carries that phase's prefix, so a parameter that belongs to a phase you did not select is reported as ignored rather than silently doing nothing.</w:t>
      </w:r>
    </w:p>
    <w:p>
      <w:pPr>
        <w:pStyle w:val="Heading2"/>
      </w:pPr>
      <w:r>
        <w:t>7.1 Authentication and connection</w:t>
      </w:r>
    </w:p>
    <w:tbl>
      <w:tblPr>
        <w:tblStyle w:val="LightGrid-Accent1"/>
        <w:tblW w:type="auto" w:w="0"/>
        <w:jc w:val="left"/>
        <w:tblLook w:firstColumn="1" w:firstRow="1" w:lastColumn="0" w:lastRow="0" w:noHBand="0" w:noVBand="1" w:val="04A0"/>
      </w:tblPr>
      <w:tblGrid>
        <w:gridCol w:w="3216"/>
        <w:gridCol w:w="3216"/>
        <w:gridCol w:w="3216"/>
      </w:tblGrid>
      <w:tr>
        <w:tc>
          <w:tcPr>
            <w:tcW w:type="dxa" w:w="2736"/>
          </w:tcPr>
          <w:p>
            <w:r/>
            <w:r>
              <w:rPr>
                <w:b/>
                <w:sz w:val="18"/>
              </w:rPr>
              <w:t>Parameter</w:t>
            </w:r>
          </w:p>
        </w:tc>
        <w:tc>
          <w:tcPr>
            <w:tcW w:type="dxa" w:w="1584"/>
          </w:tcPr>
          <w:p>
            <w:r/>
            <w:r>
              <w:rPr>
                <w:b/>
                <w:sz w:val="18"/>
              </w:rPr>
              <w:t>Type</w:t>
            </w:r>
          </w:p>
        </w:tc>
        <w:tc>
          <w:tcPr>
            <w:tcW w:type="dxa" w:w="5328"/>
          </w:tcPr>
          <w:p>
            <w:r/>
            <w:r>
              <w:rPr>
                <w:b/>
                <w:sz w:val="18"/>
              </w:rPr>
              <w:t>Purpose</w:t>
            </w:r>
          </w:p>
        </w:tc>
      </w:tr>
      <w:tr>
        <w:tc>
          <w:tcPr>
            <w:tcW w:type="dxa" w:w="2736"/>
          </w:tcPr>
          <w:p>
            <w:r/>
            <w:r>
              <w:rPr>
                <w:rFonts w:ascii="Cascadia Mono" w:hAnsi="Cascadia Mono"/>
                <w:sz w:val="17"/>
                <w:rFonts w:ascii="Cascadia Mono" w:hAnsi="Cascadia Mono" w:cs="Cascadia Mono"/>
              </w:rPr>
              <w:t>-TenantId</w:t>
            </w:r>
          </w:p>
        </w:tc>
        <w:tc>
          <w:tcPr>
            <w:tcW w:type="dxa" w:w="1584"/>
          </w:tcPr>
          <w:p>
            <w:r/>
            <w:r>
              <w:rPr>
                <w:sz w:val="17"/>
              </w:rPr>
              <w:t>String</w:t>
            </w:r>
          </w:p>
        </w:tc>
        <w:tc>
          <w:tcPr>
            <w:tcW w:type="dxa" w:w="5328"/>
          </w:tcPr>
          <w:p>
            <w:r/>
            <w:r>
              <w:rPr>
                <w:sz w:val="17"/>
              </w:rPr>
              <w:t>Tenant id or verified domain. Required.</w:t>
            </w:r>
          </w:p>
        </w:tc>
      </w:tr>
      <w:tr>
        <w:tc>
          <w:tcPr>
            <w:tcW w:type="dxa" w:w="2736"/>
          </w:tcPr>
          <w:p>
            <w:r/>
            <w:r>
              <w:rPr>
                <w:rFonts w:ascii="Cascadia Mono" w:hAnsi="Cascadia Mono"/>
                <w:sz w:val="17"/>
                <w:rFonts w:ascii="Cascadia Mono" w:hAnsi="Cascadia Mono" w:cs="Cascadia Mono"/>
              </w:rPr>
              <w:t>-ClientId</w:t>
            </w:r>
          </w:p>
        </w:tc>
        <w:tc>
          <w:tcPr>
            <w:tcW w:type="dxa" w:w="1584"/>
          </w:tcPr>
          <w:p>
            <w:r/>
            <w:r>
              <w:rPr>
                <w:sz w:val="17"/>
              </w:rPr>
              <w:t>String</w:t>
            </w:r>
          </w:p>
        </w:tc>
        <w:tc>
          <w:tcPr>
            <w:tcW w:type="dxa" w:w="5328"/>
          </w:tcPr>
          <w:p>
            <w:r/>
            <w:r>
              <w:rPr>
                <w:sz w:val="17"/>
              </w:rPr>
              <w:t>Application (client) id of the automation app.</w:t>
            </w:r>
          </w:p>
        </w:tc>
      </w:tr>
      <w:tr>
        <w:tc>
          <w:tcPr>
            <w:tcW w:type="dxa" w:w="2736"/>
          </w:tcPr>
          <w:p>
            <w:r/>
            <w:r>
              <w:rPr>
                <w:rFonts w:ascii="Cascadia Mono" w:hAnsi="Cascadia Mono"/>
                <w:sz w:val="17"/>
                <w:rFonts w:ascii="Cascadia Mono" w:hAnsi="Cascadia Mono" w:cs="Cascadia Mono"/>
              </w:rPr>
              <w:t>-ClientSecret</w:t>
            </w:r>
          </w:p>
        </w:tc>
        <w:tc>
          <w:tcPr>
            <w:tcW w:type="dxa" w:w="1584"/>
          </w:tcPr>
          <w:p>
            <w:r/>
            <w:r>
              <w:rPr>
                <w:sz w:val="17"/>
              </w:rPr>
              <w:t>Object</w:t>
            </w:r>
          </w:p>
        </w:tc>
        <w:tc>
          <w:tcPr>
            <w:tcW w:type="dxa" w:w="5328"/>
          </w:tcPr>
          <w:p>
            <w:r/>
            <w:r>
              <w:rPr>
                <w:sz w:val="17"/>
              </w:rPr>
              <w:t>Client secret. Accepts a string or SecureString.</w:t>
            </w:r>
          </w:p>
        </w:tc>
      </w:tr>
      <w:tr>
        <w:tc>
          <w:tcPr>
            <w:tcW w:type="dxa" w:w="2736"/>
          </w:tcPr>
          <w:p>
            <w:r/>
            <w:r>
              <w:rPr>
                <w:rFonts w:ascii="Cascadia Mono" w:hAnsi="Cascadia Mono"/>
                <w:sz w:val="17"/>
                <w:rFonts w:ascii="Cascadia Mono" w:hAnsi="Cascadia Mono" w:cs="Cascadia Mono"/>
              </w:rPr>
              <w:t>-CertificateThumbprint</w:t>
            </w:r>
          </w:p>
        </w:tc>
        <w:tc>
          <w:tcPr>
            <w:tcW w:type="dxa" w:w="1584"/>
          </w:tcPr>
          <w:p>
            <w:r/>
            <w:r>
              <w:rPr>
                <w:sz w:val="17"/>
              </w:rPr>
              <w:t>String</w:t>
            </w:r>
          </w:p>
        </w:tc>
        <w:tc>
          <w:tcPr>
            <w:tcW w:type="dxa" w:w="5328"/>
          </w:tcPr>
          <w:p>
            <w:r/>
            <w:r>
              <w:rPr>
                <w:sz w:val="17"/>
              </w:rPr>
              <w:t>Certificate in the current user or machine store.</w:t>
            </w:r>
          </w:p>
        </w:tc>
      </w:tr>
      <w:tr>
        <w:tc>
          <w:tcPr>
            <w:tcW w:type="dxa" w:w="2736"/>
          </w:tcPr>
          <w:p>
            <w:r/>
            <w:r>
              <w:rPr>
                <w:rFonts w:ascii="Cascadia Mono" w:hAnsi="Cascadia Mono"/>
                <w:sz w:val="17"/>
                <w:rFonts w:ascii="Cascadia Mono" w:hAnsi="Cascadia Mono" w:cs="Cascadia Mono"/>
              </w:rPr>
              <w:t>-Certificate</w:t>
            </w:r>
          </w:p>
        </w:tc>
        <w:tc>
          <w:tcPr>
            <w:tcW w:type="dxa" w:w="1584"/>
          </w:tcPr>
          <w:p>
            <w:r/>
            <w:r>
              <w:rPr>
                <w:sz w:val="17"/>
              </w:rPr>
              <w:t>X509Certificate2</w:t>
            </w:r>
          </w:p>
        </w:tc>
        <w:tc>
          <w:tcPr>
            <w:tcW w:type="dxa" w:w="5328"/>
          </w:tcPr>
          <w:p>
            <w:r/>
            <w:r>
              <w:rPr>
                <w:sz w:val="17"/>
              </w:rPr>
              <w:t>An already-loaded certificate object.</w:t>
            </w:r>
          </w:p>
        </w:tc>
      </w:tr>
      <w:tr>
        <w:tc>
          <w:tcPr>
            <w:tcW w:type="dxa" w:w="2736"/>
          </w:tcPr>
          <w:p>
            <w:r/>
            <w:r>
              <w:rPr>
                <w:rFonts w:ascii="Cascadia Mono" w:hAnsi="Cascadia Mono"/>
                <w:sz w:val="17"/>
                <w:rFonts w:ascii="Cascadia Mono" w:hAnsi="Cascadia Mono" w:cs="Cascadia Mono"/>
              </w:rPr>
              <w:t>-CertificatePath</w:t>
            </w:r>
          </w:p>
        </w:tc>
        <w:tc>
          <w:tcPr>
            <w:tcW w:type="dxa" w:w="1584"/>
          </w:tcPr>
          <w:p>
            <w:r/>
            <w:r>
              <w:rPr>
                <w:sz w:val="17"/>
              </w:rPr>
              <w:t>String</w:t>
            </w:r>
          </w:p>
        </w:tc>
        <w:tc>
          <w:tcPr>
            <w:tcW w:type="dxa" w:w="5328"/>
          </w:tcPr>
          <w:p>
            <w:r/>
            <w:r>
              <w:rPr>
                <w:sz w:val="17"/>
              </w:rPr>
              <w:t>Path to a .pfx file.</w:t>
            </w:r>
          </w:p>
        </w:tc>
      </w:tr>
      <w:tr>
        <w:tc>
          <w:tcPr>
            <w:tcW w:type="dxa" w:w="2736"/>
          </w:tcPr>
          <w:p>
            <w:r/>
            <w:r>
              <w:rPr>
                <w:rFonts w:ascii="Cascadia Mono" w:hAnsi="Cascadia Mono"/>
                <w:sz w:val="17"/>
                <w:rFonts w:ascii="Cascadia Mono" w:hAnsi="Cascadia Mono" w:cs="Cascadia Mono"/>
              </w:rPr>
              <w:t>-CertificatePassword</w:t>
            </w:r>
          </w:p>
        </w:tc>
        <w:tc>
          <w:tcPr>
            <w:tcW w:type="dxa" w:w="1584"/>
          </w:tcPr>
          <w:p>
            <w:r/>
            <w:r>
              <w:rPr>
                <w:sz w:val="17"/>
              </w:rPr>
              <w:t>Object</w:t>
            </w:r>
          </w:p>
        </w:tc>
        <w:tc>
          <w:tcPr>
            <w:tcW w:type="dxa" w:w="5328"/>
          </w:tcPr>
          <w:p>
            <w:r/>
            <w:r>
              <w:rPr>
                <w:sz w:val="17"/>
              </w:rPr>
              <w:t>Password for the .pfx.</w:t>
            </w:r>
          </w:p>
        </w:tc>
      </w:tr>
      <w:tr>
        <w:tc>
          <w:tcPr>
            <w:tcW w:type="dxa" w:w="2736"/>
          </w:tcPr>
          <w:p>
            <w:r/>
            <w:r>
              <w:rPr>
                <w:rFonts w:ascii="Cascadia Mono" w:hAnsi="Cascadia Mono"/>
                <w:sz w:val="17"/>
                <w:rFonts w:ascii="Cascadia Mono" w:hAnsi="Cascadia Mono" w:cs="Cascadia Mono"/>
              </w:rPr>
              <w:t>-UseManagedIdentity</w:t>
            </w:r>
          </w:p>
        </w:tc>
        <w:tc>
          <w:tcPr>
            <w:tcW w:type="dxa" w:w="1584"/>
          </w:tcPr>
          <w:p>
            <w:r/>
            <w:r>
              <w:rPr>
                <w:sz w:val="17"/>
              </w:rPr>
              <w:t>Switch</w:t>
            </w:r>
          </w:p>
        </w:tc>
        <w:tc>
          <w:tcPr>
            <w:tcW w:type="dxa" w:w="5328"/>
          </w:tcPr>
          <w:p>
            <w:r/>
            <w:r>
              <w:rPr>
                <w:sz w:val="17"/>
              </w:rPr>
              <w:t>Authenticate as an Azure managed identity.</w:t>
            </w:r>
          </w:p>
        </w:tc>
      </w:tr>
      <w:tr>
        <w:tc>
          <w:tcPr>
            <w:tcW w:type="dxa" w:w="2736"/>
          </w:tcPr>
          <w:p>
            <w:r/>
            <w:r>
              <w:rPr>
                <w:rFonts w:ascii="Cascadia Mono" w:hAnsi="Cascadia Mono"/>
                <w:sz w:val="17"/>
                <w:rFonts w:ascii="Cascadia Mono" w:hAnsi="Cascadia Mono" w:cs="Cascadia Mono"/>
              </w:rPr>
              <w:t>-AccessToken</w:t>
            </w:r>
          </w:p>
        </w:tc>
        <w:tc>
          <w:tcPr>
            <w:tcW w:type="dxa" w:w="1584"/>
          </w:tcPr>
          <w:p>
            <w:r/>
            <w:r>
              <w:rPr>
                <w:sz w:val="17"/>
              </w:rPr>
              <w:t>Object</w:t>
            </w:r>
          </w:p>
        </w:tc>
        <w:tc>
          <w:tcPr>
            <w:tcW w:type="dxa" w:w="5328"/>
          </w:tcPr>
          <w:p>
            <w:r/>
            <w:r>
              <w:rPr>
                <w:sz w:val="17"/>
              </w:rPr>
              <w:t>A pre-obtained Microsoft Graph bearer token.</w:t>
            </w:r>
          </w:p>
        </w:tc>
      </w:tr>
      <w:tr>
        <w:tc>
          <w:tcPr>
            <w:tcW w:type="dxa" w:w="2736"/>
          </w:tcPr>
          <w:p>
            <w:r/>
            <w:r>
              <w:rPr>
                <w:rFonts w:ascii="Cascadia Mono" w:hAnsi="Cascadia Mono"/>
                <w:sz w:val="17"/>
                <w:rFonts w:ascii="Cascadia Mono" w:hAnsi="Cascadia Mono" w:cs="Cascadia Mono"/>
              </w:rPr>
              <w:t>-Interactive</w:t>
            </w:r>
          </w:p>
        </w:tc>
        <w:tc>
          <w:tcPr>
            <w:tcW w:type="dxa" w:w="1584"/>
          </w:tcPr>
          <w:p>
            <w:r/>
            <w:r>
              <w:rPr>
                <w:sz w:val="17"/>
              </w:rPr>
              <w:t>Switch</w:t>
            </w:r>
          </w:p>
        </w:tc>
        <w:tc>
          <w:tcPr>
            <w:tcW w:type="dxa" w:w="5328"/>
          </w:tcPr>
          <w:p>
            <w:r/>
            <w:r>
              <w:rPr>
                <w:sz w:val="17"/>
              </w:rPr>
              <w:t>Sign in as a user.</w:t>
            </w:r>
          </w:p>
        </w:tc>
      </w:tr>
      <w:tr>
        <w:tc>
          <w:tcPr>
            <w:tcW w:type="dxa" w:w="2736"/>
          </w:tcPr>
          <w:p>
            <w:r/>
            <w:r>
              <w:rPr>
                <w:rFonts w:ascii="Cascadia Mono" w:hAnsi="Cascadia Mono"/>
                <w:sz w:val="17"/>
                <w:rFonts w:ascii="Cascadia Mono" w:hAnsi="Cascadia Mono" w:cs="Cascadia Mono"/>
              </w:rPr>
              <w:t>-SkipPermissionCheck</w:t>
            </w:r>
          </w:p>
        </w:tc>
        <w:tc>
          <w:tcPr>
            <w:tcW w:type="dxa" w:w="1584"/>
          </w:tcPr>
          <w:p>
            <w:r/>
            <w:r>
              <w:rPr>
                <w:sz w:val="17"/>
              </w:rPr>
              <w:t>Switch</w:t>
            </w:r>
          </w:p>
        </w:tc>
        <w:tc>
          <w:tcPr>
            <w:tcW w:type="dxa" w:w="5328"/>
          </w:tcPr>
          <w:p>
            <w:r/>
            <w:r>
              <w:rPr>
                <w:sz w:val="17"/>
              </w:rPr>
              <w:t>Skip the app-role pre-flight check.</w:t>
            </w:r>
          </w:p>
        </w:tc>
      </w:tr>
      <w:tr>
        <w:tc>
          <w:tcPr>
            <w:tcW w:type="dxa" w:w="2736"/>
          </w:tcPr>
          <w:p>
            <w:r/>
            <w:r>
              <w:rPr>
                <w:rFonts w:ascii="Cascadia Mono" w:hAnsi="Cascadia Mono"/>
                <w:sz w:val="17"/>
                <w:rFonts w:ascii="Cascadia Mono" w:hAnsi="Cascadia Mono" w:cs="Cascadia Mono"/>
              </w:rPr>
              <w:t>-ScriptRoot</w:t>
            </w:r>
          </w:p>
        </w:tc>
        <w:tc>
          <w:tcPr>
            <w:tcW w:type="dxa" w:w="1584"/>
          </w:tcPr>
          <w:p>
            <w:r/>
            <w:r>
              <w:rPr>
                <w:sz w:val="17"/>
              </w:rPr>
              <w:t>String</w:t>
            </w:r>
          </w:p>
        </w:tc>
        <w:tc>
          <w:tcPr>
            <w:tcW w:type="dxa" w:w="5328"/>
          </w:tcPr>
          <w:p>
            <w:r/>
            <w:r>
              <w:rPr>
                <w:sz w:val="17"/>
              </w:rPr>
              <w:t>Directory holding the step scripts, if not alongside the orchestrator.</w:t>
            </w:r>
          </w:p>
        </w:tc>
      </w:tr>
    </w:tbl>
    <w:p/>
    <w:p>
      <w:pPr>
        <w:pStyle w:val="Heading2"/>
      </w:pPr>
      <w:r>
        <w:t>7.2 Phase 1 — Blueprint</w:t>
      </w:r>
    </w:p>
    <w:tbl>
      <w:tblPr>
        <w:tblStyle w:val="LightGrid-Accent1"/>
        <w:tblW w:type="auto" w:w="0"/>
        <w:jc w:val="left"/>
        <w:tblLook w:firstColumn="1" w:firstRow="1" w:lastColumn="0" w:lastRow="0" w:noHBand="0" w:noVBand="1" w:val="04A0"/>
      </w:tblPr>
      <w:tblGrid>
        <w:gridCol w:w="4824"/>
        <w:gridCol w:w="4824"/>
      </w:tblGrid>
      <w:tr>
        <w:tc>
          <w:tcPr>
            <w:tcW w:type="dxa" w:w="3744"/>
          </w:tcPr>
          <w:p>
            <w:r/>
            <w:r>
              <w:rPr>
                <w:b/>
                <w:sz w:val="18"/>
              </w:rPr>
              <w:t>Parameter</w:t>
            </w:r>
          </w:p>
        </w:tc>
        <w:tc>
          <w:tcPr>
            <w:tcW w:type="dxa" w:w="5904"/>
          </w:tcPr>
          <w:p>
            <w:r/>
            <w:r>
              <w:rPr>
                <w:b/>
                <w:sz w:val="18"/>
              </w:rPr>
              <w:t>Purpose</w:t>
            </w:r>
          </w:p>
        </w:tc>
      </w:tr>
      <w:tr>
        <w:tc>
          <w:tcPr>
            <w:tcW w:type="dxa" w:w="3744"/>
          </w:tcPr>
          <w:p>
            <w:r/>
            <w:r>
              <w:rPr>
                <w:rFonts w:ascii="Cascadia Mono" w:hAnsi="Cascadia Mono"/>
                <w:sz w:val="17"/>
                <w:rFonts w:ascii="Cascadia Mono" w:hAnsi="Cascadia Mono" w:cs="Cascadia Mono"/>
              </w:rPr>
              <w:t>-NewBlueprint</w:t>
            </w:r>
          </w:p>
        </w:tc>
        <w:tc>
          <w:tcPr>
            <w:tcW w:type="dxa" w:w="5904"/>
          </w:tcPr>
          <w:p>
            <w:r/>
            <w:r>
              <w:rPr>
                <w:sz w:val="17"/>
              </w:rPr>
              <w:t>Create a blueprint. Requires ~-BlueprintDisplayName.</w:t>
            </w:r>
          </w:p>
        </w:tc>
      </w:tr>
      <w:tr>
        <w:tc>
          <w:tcPr>
            <w:tcW w:type="dxa" w:w="3744"/>
          </w:tcPr>
          <w:p>
            <w:r/>
            <w:r>
              <w:rPr>
                <w:rFonts w:ascii="Cascadia Mono" w:hAnsi="Cascadia Mono"/>
                <w:sz w:val="17"/>
                <w:rFonts w:ascii="Cascadia Mono" w:hAnsi="Cascadia Mono" w:cs="Cascadia Mono"/>
              </w:rPr>
              <w:t>-UpdateBlueprint &lt;id&gt;</w:t>
            </w:r>
          </w:p>
        </w:tc>
        <w:tc>
          <w:tcPr>
            <w:tcW w:type="dxa" w:w="5904"/>
          </w:tcPr>
          <w:p>
            <w:r/>
            <w:r>
              <w:rPr>
                <w:sz w:val="17"/>
              </w:rPr>
              <w:t>Update an existing blueprint (appId or objectId).</w:t>
            </w:r>
          </w:p>
        </w:tc>
      </w:tr>
      <w:tr>
        <w:tc>
          <w:tcPr>
            <w:tcW w:type="dxa" w:w="3744"/>
          </w:tcPr>
          <w:p>
            <w:r/>
            <w:r>
              <w:rPr>
                <w:rFonts w:ascii="Cascadia Mono" w:hAnsi="Cascadia Mono"/>
                <w:sz w:val="17"/>
                <w:rFonts w:ascii="Cascadia Mono" w:hAnsi="Cascadia Mono" w:cs="Cascadia Mono"/>
              </w:rPr>
              <w:t>-UseExistingBlueprint &lt;appId&gt;</w:t>
            </w:r>
          </w:p>
        </w:tc>
        <w:tc>
          <w:tcPr>
            <w:tcW w:type="dxa" w:w="5904"/>
          </w:tcPr>
          <w:p>
            <w:r/>
            <w:r>
              <w:rPr>
                <w:sz w:val="17"/>
              </w:rPr>
              <w:t>Build on a blueprint that already exists, without changing it.</w:t>
            </w:r>
          </w:p>
        </w:tc>
      </w:tr>
      <w:tr>
        <w:tc>
          <w:tcPr>
            <w:tcW w:type="dxa" w:w="3744"/>
          </w:tcPr>
          <w:p>
            <w:r/>
            <w:r>
              <w:rPr>
                <w:rFonts w:ascii="Cascadia Mono" w:hAnsi="Cascadia Mono"/>
                <w:sz w:val="17"/>
                <w:rFonts w:ascii="Cascadia Mono" w:hAnsi="Cascadia Mono" w:cs="Cascadia Mono"/>
              </w:rPr>
              <w:t>-BlueprintDisplayName</w:t>
            </w:r>
          </w:p>
        </w:tc>
        <w:tc>
          <w:tcPr>
            <w:tcW w:type="dxa" w:w="5904"/>
          </w:tcPr>
          <w:p>
            <w:r/>
            <w:r>
              <w:rPr>
                <w:sz w:val="17"/>
              </w:rPr>
              <w:t>Display name. Mandatory with ~-NewBlueprint.</w:t>
            </w:r>
          </w:p>
        </w:tc>
      </w:tr>
      <w:tr>
        <w:tc>
          <w:tcPr>
            <w:tcW w:type="dxa" w:w="3744"/>
          </w:tcPr>
          <w:p>
            <w:r/>
            <w:r>
              <w:rPr>
                <w:rFonts w:ascii="Cascadia Mono" w:hAnsi="Cascadia Mono"/>
                <w:sz w:val="17"/>
                <w:rFonts w:ascii="Cascadia Mono" w:hAnsi="Cascadia Mono" w:cs="Cascadia Mono"/>
              </w:rPr>
              <w:t>-BlueprintDescription</w:t>
            </w:r>
          </w:p>
        </w:tc>
        <w:tc>
          <w:tcPr>
            <w:tcW w:type="dxa" w:w="5904"/>
          </w:tcPr>
          <w:p>
            <w:r/>
            <w:r>
              <w:rPr>
                <w:sz w:val="17"/>
              </w:rPr>
              <w:t>Description.</w:t>
            </w:r>
          </w:p>
        </w:tc>
      </w:tr>
      <w:tr>
        <w:tc>
          <w:tcPr>
            <w:tcW w:type="dxa" w:w="3744"/>
          </w:tcPr>
          <w:p>
            <w:r/>
            <w:r>
              <w:rPr>
                <w:rFonts w:ascii="Cascadia Mono" w:hAnsi="Cascadia Mono"/>
                <w:sz w:val="17"/>
                <w:rFonts w:ascii="Cascadia Mono" w:hAnsi="Cascadia Mono" w:cs="Cascadia Mono"/>
              </w:rPr>
              <w:t>-BlueprintSponsor</w:t>
            </w:r>
          </w:p>
        </w:tc>
        <w:tc>
          <w:tcPr>
            <w:tcW w:type="dxa" w:w="5904"/>
          </w:tcPr>
          <w:p>
            <w:r/>
            <w:r>
              <w:rPr>
                <w:sz w:val="17"/>
              </w:rPr>
              <w:t>One or more sponsors (UPN, mail, display name or object id).</w:t>
            </w:r>
          </w:p>
        </w:tc>
      </w:tr>
      <w:tr>
        <w:tc>
          <w:tcPr>
            <w:tcW w:type="dxa" w:w="3744"/>
          </w:tcPr>
          <w:p>
            <w:r/>
            <w:r>
              <w:rPr>
                <w:rFonts w:ascii="Cascadia Mono" w:hAnsi="Cascadia Mono"/>
                <w:sz w:val="17"/>
                <w:rFonts w:ascii="Cascadia Mono" w:hAnsi="Cascadia Mono" w:cs="Cascadia Mono"/>
              </w:rPr>
              <w:t>-BlueprintOwner</w:t>
            </w:r>
          </w:p>
        </w:tc>
        <w:tc>
          <w:tcPr>
            <w:tcW w:type="dxa" w:w="5904"/>
          </w:tcPr>
          <w:p>
            <w:r/>
            <w:r>
              <w:rPr>
                <w:sz w:val="17"/>
              </w:rPr>
              <w:t>One or more owners.</w:t>
            </w:r>
          </w:p>
        </w:tc>
      </w:tr>
      <w:tr>
        <w:tc>
          <w:tcPr>
            <w:tcW w:type="dxa" w:w="3744"/>
          </w:tcPr>
          <w:p>
            <w:r/>
            <w:r>
              <w:rPr>
                <w:rFonts w:ascii="Cascadia Mono" w:hAnsi="Cascadia Mono"/>
                <w:sz w:val="17"/>
                <w:rFonts w:ascii="Cascadia Mono" w:hAnsi="Cascadia Mono" w:cs="Cascadia Mono"/>
              </w:rPr>
              <w:t>-BlueprintRequireOwnerAssignment</w:t>
            </w:r>
          </w:p>
        </w:tc>
        <w:tc>
          <w:tcPr>
            <w:tcW w:type="dxa" w:w="5904"/>
          </w:tcPr>
          <w:p>
            <w:r/>
            <w:r>
              <w:rPr>
                <w:sz w:val="17"/>
              </w:rPr>
              <w:t>Fail the run if an owner cannot be assigned.</w:t>
            </w:r>
          </w:p>
        </w:tc>
      </w:tr>
      <w:tr>
        <w:tc>
          <w:tcPr>
            <w:tcW w:type="dxa" w:w="3744"/>
          </w:tcPr>
          <w:p>
            <w:r/>
            <w:r>
              <w:rPr>
                <w:rFonts w:ascii="Cascadia Mono" w:hAnsi="Cascadia Mono"/>
                <w:sz w:val="17"/>
                <w:rFonts w:ascii="Cascadia Mono" w:hAnsi="Cascadia Mono" w:cs="Cascadia Mono"/>
              </w:rPr>
              <w:t>-BlueprintRequiredPermission</w:t>
            </w:r>
          </w:p>
        </w:tc>
        <w:tc>
          <w:tcPr>
            <w:tcW w:type="dxa" w:w="5904"/>
          </w:tcPr>
          <w:p>
            <w:r/>
            <w:r>
              <w:rPr>
                <w:sz w:val="17"/>
              </w:rPr>
              <w:t>Hashtable array declaring API permissions. Replaces the defaults.</w:t>
            </w:r>
          </w:p>
        </w:tc>
      </w:tr>
      <w:tr>
        <w:tc>
          <w:tcPr>
            <w:tcW w:type="dxa" w:w="3744"/>
          </w:tcPr>
          <w:p>
            <w:r/>
            <w:r>
              <w:rPr>
                <w:rFonts w:ascii="Cascadia Mono" w:hAnsi="Cascadia Mono"/>
                <w:sz w:val="17"/>
                <w:rFonts w:ascii="Cascadia Mono" w:hAnsi="Cascadia Mono" w:cs="Cascadia Mono"/>
              </w:rPr>
              <w:t>-BlueprintGrantAdminConsent</w:t>
            </w:r>
          </w:p>
        </w:tc>
        <w:tc>
          <w:tcPr>
            <w:tcW w:type="dxa" w:w="5904"/>
          </w:tcPr>
          <w:p>
            <w:r/>
            <w:r>
              <w:rPr>
                <w:sz w:val="17"/>
              </w:rPr>
              <w:t>Consent the declared permissions and enable inheritance. Usually wanted.</w:t>
            </w:r>
          </w:p>
        </w:tc>
      </w:tr>
      <w:tr>
        <w:tc>
          <w:tcPr>
            <w:tcW w:type="dxa" w:w="3744"/>
          </w:tcPr>
          <w:p>
            <w:r/>
            <w:r>
              <w:rPr>
                <w:rFonts w:ascii="Cascadia Mono" w:hAnsi="Cascadia Mono"/>
                <w:sz w:val="17"/>
                <w:rFonts w:ascii="Cascadia Mono" w:hAnsi="Cascadia Mono" w:cs="Cascadia Mono"/>
              </w:rPr>
              <w:t>-BlueprintSkipInheritablePermissions</w:t>
            </w:r>
          </w:p>
        </w:tc>
        <w:tc>
          <w:tcPr>
            <w:tcW w:type="dxa" w:w="5904"/>
          </w:tcPr>
          <w:p>
            <w:r/>
            <w:r>
              <w:rPr>
                <w:sz w:val="17"/>
              </w:rPr>
              <w:t>Declare and consent, but do not make permissions inheritable.</w:t>
            </w:r>
          </w:p>
        </w:tc>
      </w:tr>
      <w:tr>
        <w:tc>
          <w:tcPr>
            <w:tcW w:type="dxa" w:w="3744"/>
          </w:tcPr>
          <w:p>
            <w:r/>
            <w:r>
              <w:rPr>
                <w:rFonts w:ascii="Cascadia Mono" w:hAnsi="Cascadia Mono"/>
                <w:sz w:val="17"/>
                <w:rFonts w:ascii="Cascadia Mono" w:hAnsi="Cascadia Mono" w:cs="Cascadia Mono"/>
              </w:rPr>
              <w:t>-BlueprintNewClientSecret</w:t>
            </w:r>
          </w:p>
        </w:tc>
        <w:tc>
          <w:tcPr>
            <w:tcW w:type="dxa" w:w="5904"/>
          </w:tcPr>
          <w:p>
            <w:r/>
            <w:r>
              <w:rPr>
                <w:sz w:val="17"/>
              </w:rPr>
              <w:t>Add a client secret to the blueprint.</w:t>
            </w:r>
          </w:p>
        </w:tc>
      </w:tr>
      <w:tr>
        <w:tc>
          <w:tcPr>
            <w:tcW w:type="dxa" w:w="3744"/>
          </w:tcPr>
          <w:p>
            <w:r/>
            <w:r>
              <w:rPr>
                <w:rFonts w:ascii="Cascadia Mono" w:hAnsi="Cascadia Mono"/>
                <w:sz w:val="17"/>
                <w:rFonts w:ascii="Cascadia Mono" w:hAnsi="Cascadia Mono" w:cs="Cascadia Mono"/>
              </w:rPr>
              <w:t>-BlueprintKeyVaultName</w:t>
            </w:r>
          </w:p>
        </w:tc>
        <w:tc>
          <w:tcPr>
            <w:tcW w:type="dxa" w:w="5904"/>
          </w:tcPr>
          <w:p>
            <w:r/>
            <w:r>
              <w:rPr>
                <w:sz w:val="17"/>
              </w:rPr>
              <w:t>Store that secret in Azure Key Vault (see section 6).</w:t>
            </w:r>
          </w:p>
        </w:tc>
      </w:tr>
      <w:tr>
        <w:tc>
          <w:tcPr>
            <w:tcW w:type="dxa" w:w="3744"/>
          </w:tcPr>
          <w:p>
            <w:r/>
            <w:r>
              <w:rPr>
                <w:rFonts w:ascii="Cascadia Mono" w:hAnsi="Cascadia Mono"/>
                <w:sz w:val="17"/>
                <w:rFonts w:ascii="Cascadia Mono" w:hAnsi="Cascadia Mono" w:cs="Cascadia Mono"/>
              </w:rPr>
              <w:t>-BlueprintKeyVaultSecretName</w:t>
            </w:r>
          </w:p>
        </w:tc>
        <w:tc>
          <w:tcPr>
            <w:tcW w:type="dxa" w:w="5904"/>
          </w:tcPr>
          <w:p>
            <w:r/>
            <w:r>
              <w:rPr>
                <w:sz w:val="17"/>
              </w:rPr>
              <w:t>Override the derived Key Vault secret name.</w:t>
            </w:r>
          </w:p>
        </w:tc>
      </w:tr>
      <w:tr>
        <w:tc>
          <w:tcPr>
            <w:tcW w:type="dxa" w:w="3744"/>
          </w:tcPr>
          <w:p>
            <w:r/>
            <w:r>
              <w:rPr>
                <w:rFonts w:ascii="Cascadia Mono" w:hAnsi="Cascadia Mono"/>
                <w:sz w:val="17"/>
                <w:rFonts w:ascii="Cascadia Mono" w:hAnsi="Cascadia Mono" w:cs="Cascadia Mono"/>
              </w:rPr>
              <w:t>-BlueprintManagedIdentityPrincipalId</w:t>
            </w:r>
          </w:p>
        </w:tc>
        <w:tc>
          <w:tcPr>
            <w:tcW w:type="dxa" w:w="5904"/>
          </w:tcPr>
          <w:p>
            <w:r/>
            <w:r>
              <w:rPr>
                <w:sz w:val="17"/>
              </w:rPr>
              <w:t>Federate a managed identity to the blueprint.</w:t>
            </w:r>
          </w:p>
        </w:tc>
      </w:tr>
      <w:tr>
        <w:tc>
          <w:tcPr>
            <w:tcW w:type="dxa" w:w="3744"/>
          </w:tcPr>
          <w:p>
            <w:r/>
            <w:r>
              <w:rPr>
                <w:rFonts w:ascii="Cascadia Mono" w:hAnsi="Cascadia Mono"/>
                <w:sz w:val="17"/>
                <w:rFonts w:ascii="Cascadia Mono" w:hAnsi="Cascadia Mono" w:cs="Cascadia Mono"/>
              </w:rPr>
              <w:t>-BlueprintParameter</w:t>
            </w:r>
          </w:p>
        </w:tc>
        <w:tc>
          <w:tcPr>
            <w:tcW w:type="dxa" w:w="5904"/>
          </w:tcPr>
          <w:p>
            <w:r/>
            <w:r>
              <w:rPr>
                <w:sz w:val="17"/>
              </w:rPr>
              <w:t>Hashtable of extra arguments passed straight to the blueprint script.</w:t>
            </w:r>
          </w:p>
        </w:tc>
      </w:tr>
    </w:tbl>
    <w:p/>
    <w:p>
      <w:pPr>
        <w:pStyle w:val="Heading2"/>
      </w:pPr>
      <w:r>
        <w:t>7.3 Phase 2 — Agent identity</w:t>
      </w:r>
    </w:p>
    <w:tbl>
      <w:tblPr>
        <w:tblStyle w:val="LightGrid-Accent1"/>
        <w:tblW w:type="auto" w:w="0"/>
        <w:jc w:val="left"/>
        <w:tblLook w:firstColumn="1" w:firstRow="1" w:lastColumn="0" w:lastRow="0" w:noHBand="0" w:noVBand="1" w:val="04A0"/>
      </w:tblPr>
      <w:tblGrid>
        <w:gridCol w:w="4824"/>
        <w:gridCol w:w="4824"/>
      </w:tblGrid>
      <w:tr>
        <w:tc>
          <w:tcPr>
            <w:tcW w:type="dxa" w:w="4176"/>
          </w:tcPr>
          <w:p>
            <w:r/>
            <w:r>
              <w:rPr>
                <w:b/>
                <w:sz w:val="18"/>
              </w:rPr>
              <w:t>Parameter</w:t>
            </w:r>
          </w:p>
        </w:tc>
        <w:tc>
          <w:tcPr>
            <w:tcW w:type="dxa" w:w="5472"/>
          </w:tcPr>
          <w:p>
            <w:r/>
            <w:r>
              <w:rPr>
                <w:b/>
                <w:sz w:val="18"/>
              </w:rPr>
              <w:t>Purpose</w:t>
            </w:r>
          </w:p>
        </w:tc>
      </w:tr>
      <w:tr>
        <w:tc>
          <w:tcPr>
            <w:tcW w:type="dxa" w:w="4176"/>
          </w:tcPr>
          <w:p>
            <w:r/>
            <w:r>
              <w:rPr>
                <w:rFonts w:ascii="Cascadia Mono" w:hAnsi="Cascadia Mono"/>
                <w:sz w:val="17"/>
                <w:rFonts w:ascii="Cascadia Mono" w:hAnsi="Cascadia Mono" w:cs="Cascadia Mono"/>
              </w:rPr>
              <w:t>-NewAgentIdentity</w:t>
            </w:r>
          </w:p>
        </w:tc>
        <w:tc>
          <w:tcPr>
            <w:tcW w:type="dxa" w:w="5472"/>
          </w:tcPr>
          <w:p>
            <w:r/>
            <w:r>
              <w:rPr>
                <w:sz w:val="17"/>
              </w:rPr>
              <w:t>Create an agent identity. Needs a blueprint source.</w:t>
            </w:r>
          </w:p>
        </w:tc>
      </w:tr>
      <w:tr>
        <w:tc>
          <w:tcPr>
            <w:tcW w:type="dxa" w:w="4176"/>
          </w:tcPr>
          <w:p>
            <w:r/>
            <w:r>
              <w:rPr>
                <w:rFonts w:ascii="Cascadia Mono" w:hAnsi="Cascadia Mono"/>
                <w:sz w:val="17"/>
                <w:rFonts w:ascii="Cascadia Mono" w:hAnsi="Cascadia Mono" w:cs="Cascadia Mono"/>
              </w:rPr>
              <w:t>-UpdateAgentIdentity &lt;id&gt;</w:t>
            </w:r>
          </w:p>
        </w:tc>
        <w:tc>
          <w:tcPr>
            <w:tcW w:type="dxa" w:w="5472"/>
          </w:tcPr>
          <w:p>
            <w:r/>
            <w:r>
              <w:rPr>
                <w:sz w:val="17"/>
              </w:rPr>
              <w:t>Update an existing agent identity.</w:t>
            </w:r>
          </w:p>
        </w:tc>
      </w:tr>
      <w:tr>
        <w:tc>
          <w:tcPr>
            <w:tcW w:type="dxa" w:w="4176"/>
          </w:tcPr>
          <w:p>
            <w:r/>
            <w:r>
              <w:rPr>
                <w:rFonts w:ascii="Cascadia Mono" w:hAnsi="Cascadia Mono"/>
                <w:sz w:val="17"/>
                <w:rFonts w:ascii="Cascadia Mono" w:hAnsi="Cascadia Mono" w:cs="Cascadia Mono"/>
              </w:rPr>
              <w:t>-UseExistingAgentIdentity &lt;objectId&gt;</w:t>
            </w:r>
          </w:p>
        </w:tc>
        <w:tc>
          <w:tcPr>
            <w:tcW w:type="dxa" w:w="5472"/>
          </w:tcPr>
          <w:p>
            <w:r/>
            <w:r>
              <w:rPr>
                <w:sz w:val="17"/>
              </w:rPr>
              <w:t>Use an identity that already exists, for the agent user and/or registration phases.</w:t>
            </w:r>
          </w:p>
        </w:tc>
      </w:tr>
      <w:tr>
        <w:tc>
          <w:tcPr>
            <w:tcW w:type="dxa" w:w="4176"/>
          </w:tcPr>
          <w:p>
            <w:r/>
            <w:r>
              <w:rPr>
                <w:rFonts w:ascii="Cascadia Mono" w:hAnsi="Cascadia Mono"/>
                <w:sz w:val="17"/>
                <w:rFonts w:ascii="Cascadia Mono" w:hAnsi="Cascadia Mono" w:cs="Cascadia Mono"/>
              </w:rPr>
              <w:t>-AgentIdentityDisplayName</w:t>
            </w:r>
          </w:p>
        </w:tc>
        <w:tc>
          <w:tcPr>
            <w:tcW w:type="dxa" w:w="5472"/>
          </w:tcPr>
          <w:p>
            <w:r/>
            <w:r>
              <w:rPr>
                <w:sz w:val="17"/>
              </w:rPr>
              <w:t>Display name. Mandatory with ~-NewAgentIdentity.</w:t>
            </w:r>
          </w:p>
        </w:tc>
      </w:tr>
      <w:tr>
        <w:tc>
          <w:tcPr>
            <w:tcW w:type="dxa" w:w="4176"/>
          </w:tcPr>
          <w:p>
            <w:r/>
            <w:r>
              <w:rPr>
                <w:rFonts w:ascii="Cascadia Mono" w:hAnsi="Cascadia Mono"/>
                <w:sz w:val="17"/>
                <w:rFonts w:ascii="Cascadia Mono" w:hAnsi="Cascadia Mono" w:cs="Cascadia Mono"/>
              </w:rPr>
              <w:t>-AgentIdentitySponsor</w:t>
            </w:r>
          </w:p>
        </w:tc>
        <w:tc>
          <w:tcPr>
            <w:tcW w:type="dxa" w:w="5472"/>
          </w:tcPr>
          <w:p>
            <w:r/>
            <w:r>
              <w:rPr>
                <w:sz w:val="17"/>
              </w:rPr>
              <w:t>Sponsors. Mandatory with ~-NewAgentIdentity.</w:t>
            </w:r>
          </w:p>
        </w:tc>
      </w:tr>
      <w:tr>
        <w:tc>
          <w:tcPr>
            <w:tcW w:type="dxa" w:w="4176"/>
          </w:tcPr>
          <w:p>
            <w:r/>
            <w:r>
              <w:rPr>
                <w:rFonts w:ascii="Cascadia Mono" w:hAnsi="Cascadia Mono"/>
                <w:sz w:val="17"/>
                <w:rFonts w:ascii="Cascadia Mono" w:hAnsi="Cascadia Mono" w:cs="Cascadia Mono"/>
              </w:rPr>
              <w:t>-AgentIdentityOwner</w:t>
            </w:r>
          </w:p>
        </w:tc>
        <w:tc>
          <w:tcPr>
            <w:tcW w:type="dxa" w:w="5472"/>
          </w:tcPr>
          <w:p>
            <w:r/>
            <w:r>
              <w:rPr>
                <w:sz w:val="17"/>
              </w:rPr>
              <w:t>Owners.</w:t>
            </w:r>
          </w:p>
        </w:tc>
      </w:tr>
      <w:tr>
        <w:tc>
          <w:tcPr>
            <w:tcW w:type="dxa" w:w="4176"/>
          </w:tcPr>
          <w:p>
            <w:r/>
            <w:r>
              <w:rPr>
                <w:rFonts w:ascii="Cascadia Mono" w:hAnsi="Cascadia Mono"/>
                <w:sz w:val="17"/>
                <w:rFonts w:ascii="Cascadia Mono" w:hAnsi="Cascadia Mono" w:cs="Cascadia Mono"/>
              </w:rPr>
              <w:t>-AgentIdentityRequireOwnerAssignment</w:t>
            </w:r>
          </w:p>
        </w:tc>
        <w:tc>
          <w:tcPr>
            <w:tcW w:type="dxa" w:w="5472"/>
          </w:tcPr>
          <w:p>
            <w:r/>
            <w:r>
              <w:rPr>
                <w:sz w:val="17"/>
              </w:rPr>
              <w:t>Fail the run if an owner cannot be assigned.</w:t>
            </w:r>
          </w:p>
        </w:tc>
      </w:tr>
      <w:tr>
        <w:tc>
          <w:tcPr>
            <w:tcW w:type="dxa" w:w="4176"/>
          </w:tcPr>
          <w:p>
            <w:r/>
            <w:r>
              <w:rPr>
                <w:rFonts w:ascii="Cascadia Mono" w:hAnsi="Cascadia Mono"/>
                <w:sz w:val="17"/>
                <w:rFonts w:ascii="Cascadia Mono" w:hAnsi="Cascadia Mono" w:cs="Cascadia Mono"/>
              </w:rPr>
              <w:t>-AgentIdentityTag</w:t>
            </w:r>
          </w:p>
        </w:tc>
        <w:tc>
          <w:tcPr>
            <w:tcW w:type="dxa" w:w="5472"/>
          </w:tcPr>
          <w:p>
            <w:r/>
            <w:r>
              <w:rPr>
                <w:sz w:val="17"/>
              </w:rPr>
              <w:t>Tags, as key:value strings.</w:t>
            </w:r>
          </w:p>
        </w:tc>
      </w:tr>
      <w:tr>
        <w:tc>
          <w:tcPr>
            <w:tcW w:type="dxa" w:w="4176"/>
          </w:tcPr>
          <w:p>
            <w:r/>
            <w:r>
              <w:rPr>
                <w:rFonts w:ascii="Cascadia Mono" w:hAnsi="Cascadia Mono"/>
                <w:sz w:val="17"/>
                <w:rFonts w:ascii="Cascadia Mono" w:hAnsi="Cascadia Mono" w:cs="Cascadia Mono"/>
              </w:rPr>
              <w:t>-AgentIdentityCustomSecurityAttribute</w:t>
            </w:r>
          </w:p>
        </w:tc>
        <w:tc>
          <w:tcPr>
            <w:tcW w:type="dxa" w:w="5472"/>
          </w:tcPr>
          <w:p>
            <w:r/>
            <w:r>
              <w:rPr>
                <w:sz w:val="17"/>
              </w:rPr>
              <w:t>Custom security attributes, as strings or hashtables.</w:t>
            </w:r>
          </w:p>
        </w:tc>
      </w:tr>
      <w:tr>
        <w:tc>
          <w:tcPr>
            <w:tcW w:type="dxa" w:w="4176"/>
          </w:tcPr>
          <w:p>
            <w:r/>
            <w:r>
              <w:rPr>
                <w:rFonts w:ascii="Cascadia Mono" w:hAnsi="Cascadia Mono"/>
                <w:sz w:val="17"/>
                <w:rFonts w:ascii="Cascadia Mono" w:hAnsi="Cascadia Mono" w:cs="Cascadia Mono"/>
              </w:rPr>
              <w:t>-AgentIdentitySkipCustomSecurityAttributeValidation</w:t>
            </w:r>
          </w:p>
        </w:tc>
        <w:tc>
          <w:tcPr>
            <w:tcW w:type="dxa" w:w="5472"/>
          </w:tcPr>
          <w:p>
            <w:r/>
            <w:r>
              <w:rPr>
                <w:sz w:val="17"/>
              </w:rPr>
              <w:t>Skip pre-flight validation of attribute sets and values.</w:t>
            </w:r>
          </w:p>
        </w:tc>
      </w:tr>
      <w:tr>
        <w:tc>
          <w:tcPr>
            <w:tcW w:type="dxa" w:w="4176"/>
          </w:tcPr>
          <w:p>
            <w:r/>
            <w:r>
              <w:rPr>
                <w:rFonts w:ascii="Cascadia Mono" w:hAnsi="Cascadia Mono"/>
                <w:sz w:val="17"/>
                <w:rFonts w:ascii="Cascadia Mono" w:hAnsi="Cascadia Mono" w:cs="Cascadia Mono"/>
              </w:rPr>
              <w:t>-AgentIdentityRequiredPermission</w:t>
            </w:r>
          </w:p>
        </w:tc>
        <w:tc>
          <w:tcPr>
            <w:tcW w:type="dxa" w:w="5472"/>
          </w:tcPr>
          <w:p>
            <w:r/>
            <w:r>
              <w:rPr>
                <w:sz w:val="17"/>
              </w:rPr>
              <w:t>Per-identity API permissions.</w:t>
            </w:r>
          </w:p>
        </w:tc>
      </w:tr>
      <w:tr>
        <w:tc>
          <w:tcPr>
            <w:tcW w:type="dxa" w:w="4176"/>
          </w:tcPr>
          <w:p>
            <w:r/>
            <w:r>
              <w:rPr>
                <w:rFonts w:ascii="Cascadia Mono" w:hAnsi="Cascadia Mono"/>
                <w:sz w:val="17"/>
                <w:rFonts w:ascii="Cascadia Mono" w:hAnsi="Cascadia Mono" w:cs="Cascadia Mono"/>
              </w:rPr>
              <w:t>-AgentIdentityGrantAdminConsent</w:t>
            </w:r>
          </w:p>
        </w:tc>
        <w:tc>
          <w:tcPr>
            <w:tcW w:type="dxa" w:w="5472"/>
          </w:tcPr>
          <w:p>
            <w:r/>
            <w:r>
              <w:rPr>
                <w:sz w:val="17"/>
              </w:rPr>
              <w:t>Consent those per-identity permissions.</w:t>
            </w:r>
          </w:p>
        </w:tc>
      </w:tr>
      <w:tr>
        <w:tc>
          <w:tcPr>
            <w:tcW w:type="dxa" w:w="4176"/>
          </w:tcPr>
          <w:p>
            <w:r/>
            <w:r>
              <w:rPr>
                <w:rFonts w:ascii="Cascadia Mono" w:hAnsi="Cascadia Mono"/>
                <w:sz w:val="17"/>
                <w:rFonts w:ascii="Cascadia Mono" w:hAnsi="Cascadia Mono" w:cs="Cascadia Mono"/>
              </w:rPr>
              <w:t>-AgentIdentityParameter</w:t>
            </w:r>
          </w:p>
        </w:tc>
        <w:tc>
          <w:tcPr>
            <w:tcW w:type="dxa" w:w="5472"/>
          </w:tcPr>
          <w:p>
            <w:r/>
            <w:r>
              <w:rPr>
                <w:sz w:val="17"/>
              </w:rPr>
              <w:t>Extra arguments passed to the identity script.</w:t>
            </w:r>
          </w:p>
        </w:tc>
      </w:tr>
    </w:tbl>
    <w:p/>
    <w:p>
      <w:pPr>
        <w:pStyle w:val="Heading2"/>
      </w:pPr>
      <w:r>
        <w:t>7.4 Phase 3 — Agent user</w:t>
      </w:r>
    </w:p>
    <w:tbl>
      <w:tblPr>
        <w:tblStyle w:val="LightGrid-Accent1"/>
        <w:tblW w:type="auto" w:w="0"/>
        <w:jc w:val="left"/>
        <w:tblLook w:firstColumn="1" w:firstRow="1" w:lastColumn="0" w:lastRow="0" w:noHBand="0" w:noVBand="1" w:val="04A0"/>
      </w:tblPr>
      <w:tblGrid>
        <w:gridCol w:w="4824"/>
        <w:gridCol w:w="4824"/>
      </w:tblGrid>
      <w:tr>
        <w:tc>
          <w:tcPr>
            <w:tcW w:type="dxa" w:w="3744"/>
          </w:tcPr>
          <w:p>
            <w:r/>
            <w:r>
              <w:rPr>
                <w:b/>
                <w:sz w:val="18"/>
              </w:rPr>
              <w:t>Parameter</w:t>
            </w:r>
          </w:p>
        </w:tc>
        <w:tc>
          <w:tcPr>
            <w:tcW w:type="dxa" w:w="5904"/>
          </w:tcPr>
          <w:p>
            <w:r/>
            <w:r>
              <w:rPr>
                <w:b/>
                <w:sz w:val="18"/>
              </w:rPr>
              <w:t>Purpose</w:t>
            </w:r>
          </w:p>
        </w:tc>
      </w:tr>
      <w:tr>
        <w:tc>
          <w:tcPr>
            <w:tcW w:type="dxa" w:w="3744"/>
          </w:tcPr>
          <w:p>
            <w:r/>
            <w:r>
              <w:rPr>
                <w:rFonts w:ascii="Cascadia Mono" w:hAnsi="Cascadia Mono"/>
                <w:sz w:val="17"/>
                <w:rFonts w:ascii="Cascadia Mono" w:hAnsi="Cascadia Mono" w:cs="Cascadia Mono"/>
              </w:rPr>
              <w:t>-NewAgentUser</w:t>
            </w:r>
          </w:p>
        </w:tc>
        <w:tc>
          <w:tcPr>
            <w:tcW w:type="dxa" w:w="5904"/>
          </w:tcPr>
          <w:p>
            <w:r/>
            <w:r>
              <w:rPr>
                <w:sz w:val="17"/>
              </w:rPr>
              <w:t>Create the agent user. App-only authentication required.</w:t>
            </w:r>
          </w:p>
        </w:tc>
      </w:tr>
      <w:tr>
        <w:tc>
          <w:tcPr>
            <w:tcW w:type="dxa" w:w="3744"/>
          </w:tcPr>
          <w:p>
            <w:r/>
            <w:r>
              <w:rPr>
                <w:rFonts w:ascii="Cascadia Mono" w:hAnsi="Cascadia Mono"/>
                <w:sz w:val="17"/>
                <w:rFonts w:ascii="Cascadia Mono" w:hAnsi="Cascadia Mono" w:cs="Cascadia Mono"/>
              </w:rPr>
              <w:t>-UpdateAgentUser &lt;id-or-upn&gt;</w:t>
            </w:r>
          </w:p>
        </w:tc>
        <w:tc>
          <w:tcPr>
            <w:tcW w:type="dxa" w:w="5904"/>
          </w:tcPr>
          <w:p>
            <w:r/>
            <w:r>
              <w:rPr>
                <w:sz w:val="17"/>
              </w:rPr>
              <w:t>Update an existing agent user.</w:t>
            </w:r>
          </w:p>
        </w:tc>
      </w:tr>
      <w:tr>
        <w:tc>
          <w:tcPr>
            <w:tcW w:type="dxa" w:w="3744"/>
          </w:tcPr>
          <w:p>
            <w:r/>
            <w:r>
              <w:rPr>
                <w:rFonts w:ascii="Cascadia Mono" w:hAnsi="Cascadia Mono"/>
                <w:sz w:val="17"/>
                <w:rFonts w:ascii="Cascadia Mono" w:hAnsi="Cascadia Mono" w:cs="Cascadia Mono"/>
              </w:rPr>
              <w:t>-AgentUserPrincipalName</w:t>
            </w:r>
          </w:p>
        </w:tc>
        <w:tc>
          <w:tcPr>
            <w:tcW w:type="dxa" w:w="5904"/>
          </w:tcPr>
          <w:p>
            <w:r/>
            <w:r>
              <w:rPr>
                <w:sz w:val="17"/>
              </w:rPr>
              <w:t>UPN. Mandatory with ~-NewAgentUser; there is no fallback.</w:t>
            </w:r>
          </w:p>
        </w:tc>
      </w:tr>
      <w:tr>
        <w:tc>
          <w:tcPr>
            <w:tcW w:type="dxa" w:w="3744"/>
          </w:tcPr>
          <w:p>
            <w:r/>
            <w:r>
              <w:rPr>
                <w:rFonts w:ascii="Cascadia Mono" w:hAnsi="Cascadia Mono"/>
                <w:sz w:val="17"/>
                <w:rFonts w:ascii="Cascadia Mono" w:hAnsi="Cascadia Mono" w:cs="Cascadia Mono"/>
              </w:rPr>
              <w:t>-AgentUserDisplayName</w:t>
            </w:r>
          </w:p>
        </w:tc>
        <w:tc>
          <w:tcPr>
            <w:tcW w:type="dxa" w:w="5904"/>
          </w:tcPr>
          <w:p>
            <w:r/>
            <w:r>
              <w:rPr>
                <w:sz w:val="17"/>
              </w:rPr>
              <w:t>Display name.</w:t>
            </w:r>
          </w:p>
        </w:tc>
      </w:tr>
      <w:tr>
        <w:tc>
          <w:tcPr>
            <w:tcW w:type="dxa" w:w="3744"/>
          </w:tcPr>
          <w:p>
            <w:r/>
            <w:r>
              <w:rPr>
                <w:rFonts w:ascii="Cascadia Mono" w:hAnsi="Cascadia Mono"/>
                <w:sz w:val="17"/>
                <w:rFonts w:ascii="Cascadia Mono" w:hAnsi="Cascadia Mono" w:cs="Cascadia Mono"/>
              </w:rPr>
              <w:t>-AgentUserMailNickname</w:t>
            </w:r>
          </w:p>
        </w:tc>
        <w:tc>
          <w:tcPr>
            <w:tcW w:type="dxa" w:w="5904"/>
          </w:tcPr>
          <w:p>
            <w:r/>
            <w:r>
              <w:rPr>
                <w:sz w:val="17"/>
              </w:rPr>
              <w:t>Mail nickname.</w:t>
            </w:r>
          </w:p>
        </w:tc>
      </w:tr>
      <w:tr>
        <w:tc>
          <w:tcPr>
            <w:tcW w:type="dxa" w:w="3744"/>
          </w:tcPr>
          <w:p>
            <w:r/>
            <w:r>
              <w:rPr>
                <w:rFonts w:ascii="Cascadia Mono" w:hAnsi="Cascadia Mono"/>
                <w:sz w:val="17"/>
                <w:rFonts w:ascii="Cascadia Mono" w:hAnsi="Cascadia Mono" w:cs="Cascadia Mono"/>
              </w:rPr>
              <w:t>-AgentUserManagerUserId</w:t>
            </w:r>
          </w:p>
        </w:tc>
        <w:tc>
          <w:tcPr>
            <w:tcW w:type="dxa" w:w="5904"/>
          </w:tcPr>
          <w:p>
            <w:r/>
            <w:r>
              <w:rPr>
                <w:sz w:val="17"/>
              </w:rPr>
              <w:t>Manager by object id.</w:t>
            </w:r>
          </w:p>
        </w:tc>
      </w:tr>
      <w:tr>
        <w:tc>
          <w:tcPr>
            <w:tcW w:type="dxa" w:w="3744"/>
          </w:tcPr>
          <w:p>
            <w:r/>
            <w:r>
              <w:rPr>
                <w:rFonts w:ascii="Cascadia Mono" w:hAnsi="Cascadia Mono"/>
                <w:sz w:val="17"/>
                <w:rFonts w:ascii="Cascadia Mono" w:hAnsi="Cascadia Mono" w:cs="Cascadia Mono"/>
              </w:rPr>
              <w:t>-AgentUserManagerUpn</w:t>
            </w:r>
          </w:p>
        </w:tc>
        <w:tc>
          <w:tcPr>
            <w:tcW w:type="dxa" w:w="5904"/>
          </w:tcPr>
          <w:p>
            <w:r/>
            <w:r>
              <w:rPr>
                <w:sz w:val="17"/>
              </w:rPr>
              <w:t>Manager by UPN. Mutually exclusive with the above.</w:t>
            </w:r>
          </w:p>
        </w:tc>
      </w:tr>
      <w:tr>
        <w:tc>
          <w:tcPr>
            <w:tcW w:type="dxa" w:w="3744"/>
          </w:tcPr>
          <w:p>
            <w:r/>
            <w:r>
              <w:rPr>
                <w:rFonts w:ascii="Cascadia Mono" w:hAnsi="Cascadia Mono"/>
                <w:sz w:val="17"/>
                <w:rFonts w:ascii="Cascadia Mono" w:hAnsi="Cascadia Mono" w:cs="Cascadia Mono"/>
              </w:rPr>
              <w:t>-AgentUserUsageLocation</w:t>
            </w:r>
          </w:p>
        </w:tc>
        <w:tc>
          <w:tcPr>
            <w:tcW w:type="dxa" w:w="5904"/>
          </w:tcPr>
          <w:p>
            <w:r/>
            <w:r>
              <w:rPr>
                <w:sz w:val="17"/>
              </w:rPr>
              <w:t>Two-letter usage location. Required before a licence can be assigned.</w:t>
            </w:r>
          </w:p>
        </w:tc>
      </w:tr>
      <w:tr>
        <w:tc>
          <w:tcPr>
            <w:tcW w:type="dxa" w:w="3744"/>
          </w:tcPr>
          <w:p>
            <w:r/>
            <w:r>
              <w:rPr>
                <w:rFonts w:ascii="Cascadia Mono" w:hAnsi="Cascadia Mono"/>
                <w:sz w:val="17"/>
                <w:rFonts w:ascii="Cascadia Mono" w:hAnsi="Cascadia Mono" w:cs="Cascadia Mono"/>
              </w:rPr>
              <w:t>-AgentUserAssignLicense</w:t>
            </w:r>
          </w:p>
        </w:tc>
        <w:tc>
          <w:tcPr>
            <w:tcW w:type="dxa" w:w="5904"/>
          </w:tcPr>
          <w:p>
            <w:r/>
            <w:r>
              <w:rPr>
                <w:sz w:val="17"/>
              </w:rPr>
              <w:t>Assign a licence. Needs a usage location and a SKU.</w:t>
            </w:r>
          </w:p>
        </w:tc>
      </w:tr>
      <w:tr>
        <w:tc>
          <w:tcPr>
            <w:tcW w:type="dxa" w:w="3744"/>
          </w:tcPr>
          <w:p>
            <w:r/>
            <w:r>
              <w:rPr>
                <w:rFonts w:ascii="Cascadia Mono" w:hAnsi="Cascadia Mono"/>
                <w:sz w:val="17"/>
                <w:rFonts w:ascii="Cascadia Mono" w:hAnsi="Cascadia Mono" w:cs="Cascadia Mono"/>
              </w:rPr>
              <w:t>-AgentUserLicenseSkuId</w:t>
            </w:r>
          </w:p>
        </w:tc>
        <w:tc>
          <w:tcPr>
            <w:tcW w:type="dxa" w:w="5904"/>
          </w:tcPr>
          <w:p>
            <w:r/>
            <w:r>
              <w:rPr>
                <w:sz w:val="17"/>
              </w:rPr>
              <w:t>Licence SKU by id.</w:t>
            </w:r>
          </w:p>
        </w:tc>
      </w:tr>
      <w:tr>
        <w:tc>
          <w:tcPr>
            <w:tcW w:type="dxa" w:w="3744"/>
          </w:tcPr>
          <w:p>
            <w:r/>
            <w:r>
              <w:rPr>
                <w:rFonts w:ascii="Cascadia Mono" w:hAnsi="Cascadia Mono"/>
                <w:sz w:val="17"/>
                <w:rFonts w:ascii="Cascadia Mono" w:hAnsi="Cascadia Mono" w:cs="Cascadia Mono"/>
              </w:rPr>
              <w:t>-AgentUserLicenseSkuPartNumber</w:t>
            </w:r>
          </w:p>
        </w:tc>
        <w:tc>
          <w:tcPr>
            <w:tcW w:type="dxa" w:w="5904"/>
          </w:tcPr>
          <w:p>
            <w:r/>
            <w:r>
              <w:rPr>
                <w:sz w:val="17"/>
              </w:rPr>
              <w:t>Licence SKU by part number, e.g. MICROSOFT_AGENT_365_TIER_3.</w:t>
            </w:r>
          </w:p>
        </w:tc>
      </w:tr>
      <w:tr>
        <w:tc>
          <w:tcPr>
            <w:tcW w:type="dxa" w:w="3744"/>
          </w:tcPr>
          <w:p>
            <w:r/>
            <w:r>
              <w:rPr>
                <w:rFonts w:ascii="Cascadia Mono" w:hAnsi="Cascadia Mono"/>
                <w:sz w:val="17"/>
                <w:rFonts w:ascii="Cascadia Mono" w:hAnsi="Cascadia Mono" w:cs="Cascadia Mono"/>
              </w:rPr>
              <w:t>-AgentUserParameter</w:t>
            </w:r>
          </w:p>
        </w:tc>
        <w:tc>
          <w:tcPr>
            <w:tcW w:type="dxa" w:w="5904"/>
          </w:tcPr>
          <w:p>
            <w:r/>
            <w:r>
              <w:rPr>
                <w:sz w:val="17"/>
              </w:rPr>
              <w:t>Extra arguments passed to the agent user script.</w:t>
            </w:r>
          </w:p>
        </w:tc>
      </w:tr>
    </w:tbl>
    <w:p/>
    <w:p>
      <w:r>
        <w:rPr>
          <w:b w:val="0"/>
          <w:i w:val="0"/>
        </w:rPr>
        <w:t>There is no -AgentUserSponsor, -AgentUserOwner or -AgentUserDescription: an agent user takes its sponsorship from the identity it is created under.</w:t>
      </w:r>
    </w:p>
    <w:p>
      <w:pPr>
        <w:pStyle w:val="Heading2"/>
      </w:pPr>
      <w:r>
        <w:t>7.5 Phase 4 — Registration</w:t>
      </w:r>
    </w:p>
    <w:tbl>
      <w:tblPr>
        <w:tblStyle w:val="LightGrid-Accent1"/>
        <w:tblW w:type="auto" w:w="0"/>
        <w:jc w:val="left"/>
        <w:tblLook w:firstColumn="1" w:firstRow="1" w:lastColumn="0" w:lastRow="0" w:noHBand="0" w:noVBand="1" w:val="04A0"/>
      </w:tblPr>
      <w:tblGrid>
        <w:gridCol w:w="4824"/>
        <w:gridCol w:w="4824"/>
      </w:tblGrid>
      <w:tr>
        <w:tc>
          <w:tcPr>
            <w:tcW w:type="dxa" w:w="3744"/>
          </w:tcPr>
          <w:p>
            <w:r/>
            <w:r>
              <w:rPr>
                <w:b/>
                <w:sz w:val="18"/>
              </w:rPr>
              <w:t>Parameter</w:t>
            </w:r>
          </w:p>
        </w:tc>
        <w:tc>
          <w:tcPr>
            <w:tcW w:type="dxa" w:w="5904"/>
          </w:tcPr>
          <w:p>
            <w:r/>
            <w:r>
              <w:rPr>
                <w:b/>
                <w:sz w:val="18"/>
              </w:rPr>
              <w:t>Purpose</w:t>
            </w:r>
          </w:p>
        </w:tc>
      </w:tr>
      <w:tr>
        <w:tc>
          <w:tcPr>
            <w:tcW w:type="dxa" w:w="3744"/>
          </w:tcPr>
          <w:p>
            <w:r/>
            <w:r>
              <w:rPr>
                <w:rFonts w:ascii="Cascadia Mono" w:hAnsi="Cascadia Mono"/>
                <w:sz w:val="17"/>
                <w:rFonts w:ascii="Cascadia Mono" w:hAnsi="Cascadia Mono" w:cs="Cascadia Mono"/>
              </w:rPr>
              <w:t>-NewAgentRegistration</w:t>
            </w:r>
          </w:p>
        </w:tc>
        <w:tc>
          <w:tcPr>
            <w:tcW w:type="dxa" w:w="5904"/>
          </w:tcPr>
          <w:p>
            <w:r/>
            <w:r>
              <w:rPr>
                <w:sz w:val="17"/>
              </w:rPr>
              <w:t>Register the agent. Needs an agent identity source.</w:t>
            </w:r>
          </w:p>
        </w:tc>
      </w:tr>
      <w:tr>
        <w:tc>
          <w:tcPr>
            <w:tcW w:type="dxa" w:w="3744"/>
          </w:tcPr>
          <w:p>
            <w:r/>
            <w:r>
              <w:rPr>
                <w:rFonts w:ascii="Cascadia Mono" w:hAnsi="Cascadia Mono"/>
                <w:sz w:val="17"/>
                <w:rFonts w:ascii="Cascadia Mono" w:hAnsi="Cascadia Mono" w:cs="Cascadia Mono"/>
              </w:rPr>
              <w:t>-UpdateAgentRegistration &lt;T_id&gt;</w:t>
            </w:r>
          </w:p>
        </w:tc>
        <w:tc>
          <w:tcPr>
            <w:tcW w:type="dxa" w:w="5904"/>
          </w:tcPr>
          <w:p>
            <w:r/>
            <w:r>
              <w:rPr>
                <w:sz w:val="17"/>
              </w:rPr>
              <w:t>Update an existing registration.</w:t>
            </w:r>
          </w:p>
        </w:tc>
      </w:tr>
      <w:tr>
        <w:tc>
          <w:tcPr>
            <w:tcW w:type="dxa" w:w="3744"/>
          </w:tcPr>
          <w:p>
            <w:r/>
            <w:r>
              <w:rPr>
                <w:rFonts w:ascii="Cascadia Mono" w:hAnsi="Cascadia Mono"/>
                <w:sz w:val="17"/>
                <w:rFonts w:ascii="Cascadia Mono" w:hAnsi="Cascadia Mono" w:cs="Cascadia Mono"/>
              </w:rPr>
              <w:t>-AgentRegistrationDisplayName</w:t>
            </w:r>
          </w:p>
        </w:tc>
        <w:tc>
          <w:tcPr>
            <w:tcW w:type="dxa" w:w="5904"/>
          </w:tcPr>
          <w:p>
            <w:r/>
            <w:r>
              <w:rPr>
                <w:sz w:val="17"/>
              </w:rPr>
              <w:t>Display name. Optional only when phase 2 runs in the same call, where it defaults to the identity name.</w:t>
            </w:r>
          </w:p>
        </w:tc>
      </w:tr>
      <w:tr>
        <w:tc>
          <w:tcPr>
            <w:tcW w:type="dxa" w:w="3744"/>
          </w:tcPr>
          <w:p>
            <w:r/>
            <w:r>
              <w:rPr>
                <w:rFonts w:ascii="Cascadia Mono" w:hAnsi="Cascadia Mono"/>
                <w:sz w:val="17"/>
                <w:rFonts w:ascii="Cascadia Mono" w:hAnsi="Cascadia Mono" w:cs="Cascadia Mono"/>
              </w:rPr>
              <w:t>-AgentRegistrationDescription</w:t>
            </w:r>
          </w:p>
        </w:tc>
        <w:tc>
          <w:tcPr>
            <w:tcW w:type="dxa" w:w="5904"/>
          </w:tcPr>
          <w:p>
            <w:r/>
            <w:r>
              <w:rPr>
                <w:sz w:val="17"/>
              </w:rPr>
              <w:t>Description.</w:t>
            </w:r>
          </w:p>
        </w:tc>
      </w:tr>
      <w:tr>
        <w:tc>
          <w:tcPr>
            <w:tcW w:type="dxa" w:w="3744"/>
          </w:tcPr>
          <w:p>
            <w:r/>
            <w:r>
              <w:rPr>
                <w:rFonts w:ascii="Cascadia Mono" w:hAnsi="Cascadia Mono"/>
                <w:sz w:val="17"/>
                <w:rFonts w:ascii="Cascadia Mono" w:hAnsi="Cascadia Mono" w:cs="Cascadia Mono"/>
              </w:rPr>
              <w:t>-AgentRegistrationOwner</w:t>
            </w:r>
          </w:p>
        </w:tc>
        <w:tc>
          <w:tcPr>
            <w:tcW w:type="dxa" w:w="5904"/>
          </w:tcPr>
          <w:p>
            <w:r/>
            <w:r>
              <w:rPr>
                <w:sz w:val="17"/>
              </w:rPr>
              <w:t>Owners, resolved through Graph.</w:t>
            </w:r>
          </w:p>
        </w:tc>
      </w:tr>
      <w:tr>
        <w:tc>
          <w:tcPr>
            <w:tcW w:type="dxa" w:w="3744"/>
          </w:tcPr>
          <w:p>
            <w:r/>
            <w:r>
              <w:rPr>
                <w:rFonts w:ascii="Cascadia Mono" w:hAnsi="Cascadia Mono"/>
                <w:sz w:val="17"/>
                <w:rFonts w:ascii="Cascadia Mono" w:hAnsi="Cascadia Mono" w:cs="Cascadia Mono"/>
              </w:rPr>
              <w:t>-AgentRegistrationOwnerId</w:t>
            </w:r>
          </w:p>
        </w:tc>
        <w:tc>
          <w:tcPr>
            <w:tcW w:type="dxa" w:w="5904"/>
          </w:tcPr>
          <w:p>
            <w:r/>
            <w:r>
              <w:rPr>
                <w:sz w:val="17"/>
              </w:rPr>
              <w:t>Owner by object id.</w:t>
            </w:r>
          </w:p>
        </w:tc>
      </w:tr>
      <w:tr>
        <w:tc>
          <w:tcPr>
            <w:tcW w:type="dxa" w:w="3744"/>
          </w:tcPr>
          <w:p>
            <w:r/>
            <w:r>
              <w:rPr>
                <w:rFonts w:ascii="Cascadia Mono" w:hAnsi="Cascadia Mono"/>
                <w:sz w:val="17"/>
                <w:rFonts w:ascii="Cascadia Mono" w:hAnsi="Cascadia Mono" w:cs="Cascadia Mono"/>
              </w:rPr>
              <w:t>-AgentRegistrationIdentityId</w:t>
            </w:r>
          </w:p>
        </w:tc>
        <w:tc>
          <w:tcPr>
            <w:tcW w:type="dxa" w:w="5904"/>
          </w:tcPr>
          <w:p>
            <w:r/>
            <w:r>
              <w:rPr>
                <w:sz w:val="17"/>
              </w:rPr>
              <w:t>Register an existing identity; on update, re-point the registration at a DIFFERENT identity.</w:t>
            </w:r>
          </w:p>
        </w:tc>
      </w:tr>
      <w:tr>
        <w:tc>
          <w:tcPr>
            <w:tcW w:type="dxa" w:w="3744"/>
          </w:tcPr>
          <w:p>
            <w:r/>
            <w:r>
              <w:rPr>
                <w:rFonts w:ascii="Cascadia Mono" w:hAnsi="Cascadia Mono"/>
                <w:sz w:val="17"/>
                <w:rFonts w:ascii="Cascadia Mono" w:hAnsi="Cascadia Mono" w:cs="Cascadia Mono"/>
              </w:rPr>
              <w:t>-AgentRegistrationAuth</w:t>
            </w:r>
          </w:p>
        </w:tc>
        <w:tc>
          <w:tcPr>
            <w:tcW w:type="dxa" w:w="5904"/>
          </w:tcPr>
          <w:p>
            <w:r/>
            <w:r>
              <w:rPr>
                <w:rFonts w:ascii="Cascadia Mono" w:hAnsi="Cascadia Mono"/>
                <w:sz w:val="17"/>
                <w:rFonts w:ascii="Cascadia Mono" w:hAnsi="Cascadia Mono" w:cs="Cascadia Mono"/>
              </w:rPr>
              <w:t>Same (default) or ~Interactive — sign in as a user for this phase only.</w:t>
            </w:r>
          </w:p>
        </w:tc>
      </w:tr>
      <w:tr>
        <w:tc>
          <w:tcPr>
            <w:tcW w:type="dxa" w:w="3744"/>
          </w:tcPr>
          <w:p>
            <w:r/>
            <w:r>
              <w:rPr>
                <w:rFonts w:ascii="Cascadia Mono" w:hAnsi="Cascadia Mono"/>
                <w:sz w:val="17"/>
                <w:rFonts w:ascii="Cascadia Mono" w:hAnsi="Cascadia Mono" w:cs="Cascadia Mono"/>
              </w:rPr>
              <w:t>-AgentRegistrationParameter</w:t>
            </w:r>
          </w:p>
        </w:tc>
        <w:tc>
          <w:tcPr>
            <w:tcW w:type="dxa" w:w="5904"/>
          </w:tcPr>
          <w:p>
            <w:r/>
            <w:r>
              <w:rPr>
                <w:sz w:val="17"/>
              </w:rPr>
              <w:t>Extra arguments passed to the registration script.</w:t>
            </w:r>
          </w:p>
        </w:tc>
      </w:tr>
    </w:tbl>
    <w:p/>
    <w:p>
      <w:pPr>
        <w:pStyle w:val="Heading2"/>
      </w:pPr>
      <w:r>
        <w:t>7.6 Removal</w:t>
      </w:r>
    </w:p>
    <w:tbl>
      <w:tblPr>
        <w:tblStyle w:val="LightGrid-Accent1"/>
        <w:tblW w:type="auto" w:w="0"/>
        <w:jc w:val="left"/>
        <w:tblLook w:firstColumn="1" w:firstRow="1" w:lastColumn="0" w:lastRow="0" w:noHBand="0" w:noVBand="1" w:val="04A0"/>
      </w:tblPr>
      <w:tblGrid>
        <w:gridCol w:w="4824"/>
        <w:gridCol w:w="4824"/>
      </w:tblGrid>
      <w:tr>
        <w:tc>
          <w:tcPr>
            <w:tcW w:type="dxa" w:w="3744"/>
          </w:tcPr>
          <w:p>
            <w:r/>
            <w:r>
              <w:rPr>
                <w:b/>
                <w:sz w:val="18"/>
              </w:rPr>
              <w:t>Parameter</w:t>
            </w:r>
          </w:p>
        </w:tc>
        <w:tc>
          <w:tcPr>
            <w:tcW w:type="dxa" w:w="5904"/>
          </w:tcPr>
          <w:p>
            <w:r/>
            <w:r>
              <w:rPr>
                <w:b/>
                <w:sz w:val="18"/>
              </w:rPr>
              <w:t>Purpose</w:t>
            </w:r>
          </w:p>
        </w:tc>
      </w:tr>
      <w:tr>
        <w:tc>
          <w:tcPr>
            <w:tcW w:type="dxa" w:w="3744"/>
          </w:tcPr>
          <w:p>
            <w:r/>
            <w:r>
              <w:rPr>
                <w:rFonts w:ascii="Cascadia Mono" w:hAnsi="Cascadia Mono"/>
                <w:sz w:val="17"/>
                <w:rFonts w:ascii="Cascadia Mono" w:hAnsi="Cascadia Mono" w:cs="Cascadia Mono"/>
              </w:rPr>
              <w:t>-RemoveBlueprint &lt;id&gt;</w:t>
            </w:r>
          </w:p>
        </w:tc>
        <w:tc>
          <w:tcPr>
            <w:tcW w:type="dxa" w:w="5904"/>
          </w:tcPr>
          <w:p>
            <w:r/>
            <w:r>
              <w:rPr>
                <w:sz w:val="17"/>
              </w:rPr>
              <w:t>Delete a blueprint. Refuses if agent identities exist unless ~-RemoveForce.</w:t>
            </w:r>
          </w:p>
        </w:tc>
      </w:tr>
      <w:tr>
        <w:tc>
          <w:tcPr>
            <w:tcW w:type="dxa" w:w="3744"/>
          </w:tcPr>
          <w:p>
            <w:r/>
            <w:r>
              <w:rPr>
                <w:rFonts w:ascii="Cascadia Mono" w:hAnsi="Cascadia Mono"/>
                <w:sz w:val="17"/>
                <w:rFonts w:ascii="Cascadia Mono" w:hAnsi="Cascadia Mono" w:cs="Cascadia Mono"/>
              </w:rPr>
              <w:t>-RemoveAgentIdentity &lt;objectId&gt;</w:t>
            </w:r>
          </w:p>
        </w:tc>
        <w:tc>
          <w:tcPr>
            <w:tcW w:type="dxa" w:w="5904"/>
          </w:tcPr>
          <w:p>
            <w:r/>
            <w:r>
              <w:rPr>
                <w:sz w:val="17"/>
              </w:rPr>
              <w:t>Delete an agent identity, and nothing else.</w:t>
            </w:r>
          </w:p>
        </w:tc>
      </w:tr>
      <w:tr>
        <w:tc>
          <w:tcPr>
            <w:tcW w:type="dxa" w:w="3744"/>
          </w:tcPr>
          <w:p>
            <w:r/>
            <w:r>
              <w:rPr>
                <w:rFonts w:ascii="Cascadia Mono" w:hAnsi="Cascadia Mono"/>
                <w:sz w:val="17"/>
                <w:rFonts w:ascii="Cascadia Mono" w:hAnsi="Cascadia Mono" w:cs="Cascadia Mono"/>
              </w:rPr>
              <w:t>-RemoveAgentUser &lt;objectId&gt;</w:t>
            </w:r>
          </w:p>
        </w:tc>
        <w:tc>
          <w:tcPr>
            <w:tcW w:type="dxa" w:w="5904"/>
          </w:tcPr>
          <w:p>
            <w:r/>
            <w:r>
              <w:rPr>
                <w:sz w:val="17"/>
              </w:rPr>
              <w:t>Delete an agent user. Destroys the mailbox and releases the UPN.</w:t>
            </w:r>
          </w:p>
        </w:tc>
      </w:tr>
      <w:tr>
        <w:tc>
          <w:tcPr>
            <w:tcW w:type="dxa" w:w="3744"/>
          </w:tcPr>
          <w:p>
            <w:r/>
            <w:r>
              <w:rPr>
                <w:rFonts w:ascii="Cascadia Mono" w:hAnsi="Cascadia Mono"/>
                <w:sz w:val="17"/>
                <w:rFonts w:ascii="Cascadia Mono" w:hAnsi="Cascadia Mono" w:cs="Cascadia Mono"/>
              </w:rPr>
              <w:t>-RemoveAgentRegistration &lt;T_id&gt;</w:t>
            </w:r>
          </w:p>
        </w:tc>
        <w:tc>
          <w:tcPr>
            <w:tcW w:type="dxa" w:w="5904"/>
          </w:tcPr>
          <w:p>
            <w:r/>
            <w:r>
              <w:rPr>
                <w:sz w:val="17"/>
              </w:rPr>
              <w:t>Delete the admin center registration, and nothing else.</w:t>
            </w:r>
          </w:p>
        </w:tc>
      </w:tr>
      <w:tr>
        <w:tc>
          <w:tcPr>
            <w:tcW w:type="dxa" w:w="3744"/>
          </w:tcPr>
          <w:p>
            <w:r/>
            <w:r>
              <w:rPr>
                <w:rFonts w:ascii="Cascadia Mono" w:hAnsi="Cascadia Mono"/>
                <w:sz w:val="17"/>
                <w:rFonts w:ascii="Cascadia Mono" w:hAnsi="Cascadia Mono" w:cs="Cascadia Mono"/>
              </w:rPr>
              <w:t>-RemoveInspectOnly</w:t>
            </w:r>
          </w:p>
        </w:tc>
        <w:tc>
          <w:tcPr>
            <w:tcW w:type="dxa" w:w="5904"/>
          </w:tcPr>
          <w:p>
            <w:r/>
            <w:r>
              <w:rPr>
                <w:sz w:val="17"/>
              </w:rPr>
              <w:t>Resolve and report everything that would be deleted, then exit. Run this first.</w:t>
            </w:r>
          </w:p>
        </w:tc>
      </w:tr>
      <w:tr>
        <w:tc>
          <w:tcPr>
            <w:tcW w:type="dxa" w:w="3744"/>
          </w:tcPr>
          <w:p>
            <w:r/>
            <w:r>
              <w:rPr>
                <w:rFonts w:ascii="Cascadia Mono" w:hAnsi="Cascadia Mono"/>
                <w:sz w:val="17"/>
                <w:rFonts w:ascii="Cascadia Mono" w:hAnsi="Cascadia Mono" w:cs="Cascadia Mono"/>
              </w:rPr>
              <w:t>-RemovePermanent</w:t>
            </w:r>
          </w:p>
        </w:tc>
        <w:tc>
          <w:tcPr>
            <w:tcW w:type="dxa" w:w="5904"/>
          </w:tcPr>
          <w:p>
            <w:r/>
            <w:r>
              <w:rPr>
                <w:sz w:val="17"/>
              </w:rPr>
              <w:t>Purge from the recycle bin after the soft delete. IRREVERSIBLE.</w:t>
            </w:r>
          </w:p>
        </w:tc>
      </w:tr>
      <w:tr>
        <w:tc>
          <w:tcPr>
            <w:tcW w:type="dxa" w:w="3744"/>
          </w:tcPr>
          <w:p>
            <w:r/>
            <w:r>
              <w:rPr>
                <w:rFonts w:ascii="Cascadia Mono" w:hAnsi="Cascadia Mono"/>
                <w:sz w:val="17"/>
                <w:rFonts w:ascii="Cascadia Mono" w:hAnsi="Cascadia Mono" w:cs="Cascadia Mono"/>
              </w:rPr>
              <w:t>-RemoveForce</w:t>
            </w:r>
          </w:p>
        </w:tc>
        <w:tc>
          <w:tcPr>
            <w:tcW w:type="dxa" w:w="5904"/>
          </w:tcPr>
          <w:p>
            <w:r/>
            <w:r>
              <w:rPr>
                <w:sz w:val="17"/>
              </w:rPr>
              <w:t>Suppress confirmation, and allow a blueprint removal to cascade.</w:t>
            </w:r>
          </w:p>
        </w:tc>
      </w:tr>
    </w:tbl>
    <w:p/>
    <w:tbl>
      <w:tblPr>
        <w:tblW w:type="auto" w:w="0"/>
        <w:jc w:val="left"/>
        <w:tblLook w:firstColumn="1" w:firstRow="1" w:lastColumn="0" w:lastRow="0" w:noHBand="0" w:noVBand="1" w:val="04A0"/>
      </w:tblPr>
      <w:tblGrid>
        <w:gridCol w:w="9648"/>
      </w:tblGrid>
      <w:tr>
        <w:tc>
          <w:tcPr>
            <w:tcW w:type="dxa" w:w="9648"/>
            <w:shd w:val="clear" w:fill="FFF4CE"/>
          </w:tcPr>
          <w:p>
            <w:r>
              <w:rPr>
                <w:b/>
                <w:sz w:val="19"/>
              </w:rPr>
              <w:t>Each removal script deletes exactly one kind of object</w:t>
            </w:r>
          </w:p>
          <w:p>
            <w:r>
              <w:rPr>
                <w:sz w:val="19"/>
              </w:rPr>
              <w:t>Correct retirement order is registration → agent user → agent identity → blueprint. The agent user must precede the identity because it is discovered THROUGH the identity that owns it; deleting the identity first orphans the user, which still holds its licence and UPN.</w:t>
            </w:r>
          </w:p>
        </w:tc>
      </w:tr>
    </w:tbl>
    <w:p/>
    <w:p>
      <w:pPr>
        <w:pStyle w:val="Heading2"/>
      </w:pPr>
      <w:r>
        <w:t>7.7 Logging and output</w:t>
      </w:r>
    </w:p>
    <w:tbl>
      <w:tblPr>
        <w:tblStyle w:val="LightGrid-Accent1"/>
        <w:tblW w:type="auto" w:w="0"/>
        <w:jc w:val="left"/>
        <w:tblLook w:firstColumn="1" w:firstRow="1" w:lastColumn="0" w:lastRow="0" w:noHBand="0" w:noVBand="1" w:val="04A0"/>
      </w:tblPr>
      <w:tblGrid>
        <w:gridCol w:w="4824"/>
        <w:gridCol w:w="4824"/>
      </w:tblGrid>
      <w:tr>
        <w:tc>
          <w:tcPr>
            <w:tcW w:type="dxa" w:w="3744"/>
          </w:tcPr>
          <w:p>
            <w:r/>
            <w:r>
              <w:rPr>
                <w:b/>
                <w:sz w:val="18"/>
              </w:rPr>
              <w:t>Parameter</w:t>
            </w:r>
          </w:p>
        </w:tc>
        <w:tc>
          <w:tcPr>
            <w:tcW w:type="dxa" w:w="5904"/>
          </w:tcPr>
          <w:p>
            <w:r/>
            <w:r>
              <w:rPr>
                <w:b/>
                <w:sz w:val="18"/>
              </w:rPr>
              <w:t>Purpose</w:t>
            </w:r>
          </w:p>
        </w:tc>
      </w:tr>
      <w:tr>
        <w:tc>
          <w:tcPr>
            <w:tcW w:type="dxa" w:w="3744"/>
          </w:tcPr>
          <w:p>
            <w:r/>
            <w:r>
              <w:rPr>
                <w:rFonts w:ascii="Cascadia Mono" w:hAnsi="Cascadia Mono"/>
                <w:sz w:val="17"/>
                <w:rFonts w:ascii="Cascadia Mono" w:hAnsi="Cascadia Mono" w:cs="Cascadia Mono"/>
              </w:rPr>
              <w:t>-LogPath</w:t>
            </w:r>
          </w:p>
        </w:tc>
        <w:tc>
          <w:tcPr>
            <w:tcW w:type="dxa" w:w="5904"/>
          </w:tcPr>
          <w:p>
            <w:r/>
            <w:r>
              <w:rPr>
                <w:sz w:val="17"/>
              </w:rPr>
              <w:t>Directory for run logs. One file per script per run.</w:t>
            </w:r>
          </w:p>
        </w:tc>
      </w:tr>
      <w:tr>
        <w:tc>
          <w:tcPr>
            <w:tcW w:type="dxa" w:w="3744"/>
          </w:tcPr>
          <w:p>
            <w:r/>
            <w:r>
              <w:rPr>
                <w:rFonts w:ascii="Cascadia Mono" w:hAnsi="Cascadia Mono"/>
                <w:sz w:val="17"/>
                <w:rFonts w:ascii="Cascadia Mono" w:hAnsi="Cascadia Mono" w:cs="Cascadia Mono"/>
              </w:rPr>
              <w:t>-LogIncludeSecrets</w:t>
            </w:r>
          </w:p>
        </w:tc>
        <w:tc>
          <w:tcPr>
            <w:tcW w:type="dxa" w:w="5904"/>
          </w:tcPr>
          <w:p>
            <w:r/>
            <w:r>
              <w:rPr>
                <w:sz w:val="17"/>
              </w:rPr>
              <w:t>Include client secrets and passwords in the log. Off by default.</w:t>
            </w:r>
          </w:p>
        </w:tc>
      </w:tr>
      <w:tr>
        <w:tc>
          <w:tcPr>
            <w:tcW w:type="dxa" w:w="3744"/>
          </w:tcPr>
          <w:p>
            <w:r/>
            <w:r>
              <w:rPr>
                <w:rFonts w:ascii="Cascadia Mono" w:hAnsi="Cascadia Mono"/>
                <w:sz w:val="17"/>
                <w:rFonts w:ascii="Cascadia Mono" w:hAnsi="Cascadia Mono" w:cs="Cascadia Mono"/>
              </w:rPr>
              <w:t>-LogCorrelationId</w:t>
            </w:r>
          </w:p>
        </w:tc>
        <w:tc>
          <w:tcPr>
            <w:tcW w:type="dxa" w:w="5904"/>
          </w:tcPr>
          <w:p>
            <w:r/>
            <w:r>
              <w:rPr>
                <w:sz w:val="17"/>
              </w:rPr>
              <w:t>Correlation id shared by every log in the run. Generated if omitted.</w:t>
            </w:r>
          </w:p>
        </w:tc>
      </w:tr>
      <w:tr>
        <w:tc>
          <w:tcPr>
            <w:tcW w:type="dxa" w:w="3744"/>
          </w:tcPr>
          <w:p>
            <w:r/>
            <w:r>
              <w:rPr>
                <w:rFonts w:ascii="Cascadia Mono" w:hAnsi="Cascadia Mono"/>
                <w:sz w:val="17"/>
                <w:rFonts w:ascii="Cascadia Mono" w:hAnsi="Cascadia Mono" w:cs="Cascadia Mono"/>
              </w:rPr>
              <w:t>-OutputJsonPath</w:t>
            </w:r>
          </w:p>
        </w:tc>
        <w:tc>
          <w:tcPr>
            <w:tcW w:type="dxa" w:w="5904"/>
          </w:tcPr>
          <w:p>
            <w:r/>
            <w:r>
              <w:rPr>
                <w:sz w:val="17"/>
              </w:rPr>
              <w:t>Write a machine-readable JSON report.</w:t>
            </w:r>
          </w:p>
        </w:tc>
      </w:tr>
      <w:tr>
        <w:tc>
          <w:tcPr>
            <w:tcW w:type="dxa" w:w="3744"/>
          </w:tcPr>
          <w:p>
            <w:r/>
            <w:r>
              <w:rPr>
                <w:rFonts w:ascii="Cascadia Mono" w:hAnsi="Cascadia Mono"/>
                <w:sz w:val="17"/>
                <w:rFonts w:ascii="Cascadia Mono" w:hAnsi="Cascadia Mono" w:cs="Cascadia Mono"/>
              </w:rPr>
              <w:t>-IncludeBlueprintSecretsInOutput</w:t>
            </w:r>
          </w:p>
        </w:tc>
        <w:tc>
          <w:tcPr>
            <w:tcW w:type="dxa" w:w="5904"/>
          </w:tcPr>
          <w:p>
            <w:r/>
            <w:r>
              <w:rPr>
                <w:sz w:val="17"/>
              </w:rPr>
              <w:t>Include the blueprint client secret in that report.</w:t>
            </w:r>
          </w:p>
        </w:tc>
      </w:tr>
      <w:tr>
        <w:tc>
          <w:tcPr>
            <w:tcW w:type="dxa" w:w="3744"/>
          </w:tcPr>
          <w:p>
            <w:r/>
            <w:r>
              <w:rPr>
                <w:rFonts w:ascii="Cascadia Mono" w:hAnsi="Cascadia Mono"/>
                <w:sz w:val="17"/>
                <w:rFonts w:ascii="Cascadia Mono" w:hAnsi="Cascadia Mono" w:cs="Cascadia Mono"/>
              </w:rPr>
              <w:t>-KeyVaultAccessToken</w:t>
            </w:r>
          </w:p>
        </w:tc>
        <w:tc>
          <w:tcPr>
            <w:tcW w:type="dxa" w:w="5904"/>
          </w:tcPr>
          <w:p>
            <w:r/>
            <w:r>
              <w:rPr>
                <w:sz w:val="17"/>
              </w:rPr>
              <w:t>A vault-audience token, for the cases where one cannot be derived.</w:t>
            </w:r>
          </w:p>
        </w:tc>
      </w:tr>
    </w:tbl>
    <w:p/>
    <w:tbl>
      <w:tblPr>
        <w:tblW w:type="auto" w:w="0"/>
        <w:jc w:val="left"/>
        <w:tblLook w:firstColumn="1" w:firstRow="1" w:lastColumn="0" w:lastRow="0" w:noHBand="0" w:noVBand="1" w:val="04A0"/>
      </w:tblPr>
      <w:tblGrid>
        <w:gridCol w:w="9648"/>
      </w:tblGrid>
      <w:tr>
        <w:tc>
          <w:tcPr>
            <w:tcW w:type="dxa" w:w="9648"/>
            <w:shd w:val="clear" w:fill="FFF4CE"/>
          </w:tcPr>
          <w:p>
            <w:r>
              <w:rPr>
                <w:b/>
                <w:sz w:val="19"/>
              </w:rPr>
              <w:t>Bearer tokens are always redacted</w:t>
            </w:r>
          </w:p>
          <w:p>
            <w:r>
              <w:rPr>
                <w:sz w:val="19"/>
              </w:rPr>
              <w:t>Credential redaction is on by default. -LogIncludeSecrets opts in to recording client secrets and passwords, but tokens and anything JWT-shaped are removed unconditionally, with no switch to include them — a captured token is directly replayable until it expires.</w:t>
            </w:r>
          </w:p>
        </w:tc>
      </w:tr>
    </w:tbl>
    <w:p/>
    <w:p>
      <w:r>
        <w:br w:type="page"/>
      </w:r>
    </w:p>
    <w:p>
      <w:pPr>
        <w:pStyle w:val="Heading1"/>
      </w:pPr>
      <w:r>
        <w:t>8. Worked examples</w:t>
      </w:r>
    </w:p>
    <w:p>
      <w:pPr>
        <w:pStyle w:val="Heading2"/>
      </w:pPr>
      <w:r>
        <w:t>8.1 Full pipeline — all four objects</w:t>
      </w:r>
    </w:p>
    <w:p>
      <w:pPr>
        <w:spacing w:before="80" w:after="160"/>
        <w:ind w:left="259"/>
        <w:shd w:val="clear" w:fill="F2F4F8"/>
      </w:pPr>
      <w:r>
        <w:rPr>
          <w:rFonts w:ascii="Cascadia Mono" w:hAnsi="Cascadia Mono"/>
          <w:sz w:val="17"/>
          <w:rFonts w:ascii="Cascadia Mono" w:hAnsi="Cascadia Mono" w:cs="Cascadia Mono"/>
        </w:rPr>
        <w:t>$env:A365_CLIENT_SECRET = '&lt;secret&gt;'</w:t>
        <w:br/>
        <w:br/>
        <w:t>.\A365-AutomationOrchestrator.ps1 `</w:t>
        <w:br/>
        <w:t xml:space="preserve">    -TenantId     &lt;tenant-id&gt; `</w:t>
        <w:br/>
        <w:t xml:space="preserve">    -ClientId     &lt;automation-app-id&gt; `</w:t>
        <w:br/>
        <w:t xml:space="preserve">    -ClientSecret $env:A365_CLIENT_SECRET `</w:t>
        <w:br/>
        <w:t xml:space="preserve">    -NewBlueprint `</w:t>
        <w:br/>
        <w:t xml:space="preserve">        -BlueprintDisplayName 'Contoso Helpdesk Blueprint' `</w:t>
        <w:br/>
        <w:t xml:space="preserve">        -BlueprintDescription 'Helpdesk agent blueprint' `</w:t>
        <w:br/>
        <w:t xml:space="preserve">        -BlueprintSponsor     sponsor@contoso.com `</w:t>
        <w:br/>
        <w:t xml:space="preserve">        -BlueprintOwner       owner@contoso.com `</w:t>
        <w:br/>
        <w:t xml:space="preserve">        -BlueprintNewClientSecret `</w:t>
        <w:br/>
        <w:t xml:space="preserve">        -BlueprintKeyVaultName MyKeyVault `</w:t>
        <w:br/>
        <w:t xml:space="preserve">        -BlueprintGrantAdminConsent `</w:t>
        <w:br/>
        <w:t xml:space="preserve">    -NewAgentIdentity `</w:t>
        <w:br/>
        <w:t xml:space="preserve">        -AgentIdentityDisplayName 'Contoso Helpdesk Identity' `</w:t>
        <w:br/>
        <w:t xml:space="preserve">        -AgentIdentitySponsor     sponsor@contoso.com `</w:t>
        <w:br/>
        <w:t xml:space="preserve">        -AgentIdentityTag         'AgentBusinessUnit:HR','AgentEnvironment:Production' `</w:t>
        <w:br/>
        <w:t xml:space="preserve">    -NewAgentUser `</w:t>
        <w:br/>
        <w:t xml:space="preserve">        -AgentUserPrincipalName helpdesk.agent@contoso.com `</w:t>
        <w:br/>
        <w:t xml:space="preserve">        -AgentUserDisplayName   'Contoso Helpdesk' `</w:t>
        <w:br/>
        <w:t xml:space="preserve">        -AgentUserManagerUpn    manager@contoso.com `</w:t>
        <w:br/>
        <w:t xml:space="preserve">        -AgentUserUsageLocation US `</w:t>
        <w:br/>
        <w:t xml:space="preserve">        -AgentUserAssignLicense -AgentUserLicenseSkuPartNumber MICROSOFT_AGENT_365_TIER_3 `</w:t>
        <w:br/>
        <w:t xml:space="preserve">    -NewAgentRegistration `</w:t>
        <w:br/>
        <w:t xml:space="preserve">        -AgentRegistrationDisplayName 'Contoso Helpdesk Agent' `</w:t>
        <w:br/>
        <w:t xml:space="preserve">        -AgentRegistrationOwner       owner@contoso.com `</w:t>
        <w:br/>
        <w:t xml:space="preserve">    -OutputJsonPath 'C:\A365\helpdesk.json' `</w:t>
        <w:br/>
        <w:t xml:space="preserve">    -LogPath        'C:\A365\Logs'</w:t>
      </w:r>
    </w:p>
    <w:p>
      <w:pPr>
        <w:pStyle w:val="Heading2"/>
      </w:pPr>
      <w:r>
        <w:t>8.2 New agent identity on an existing blueprint</w:t>
      </w:r>
    </w:p>
    <w:p>
      <w:pPr>
        <w:spacing w:before="80" w:after="160"/>
        <w:ind w:left="259"/>
        <w:shd w:val="clear" w:fill="F2F4F8"/>
      </w:pPr>
      <w:r>
        <w:rPr>
          <w:rFonts w:ascii="Cascadia Mono" w:hAnsi="Cascadia Mono"/>
          <w:sz w:val="17"/>
          <w:rFonts w:ascii="Cascadia Mono" w:hAnsi="Cascadia Mono" w:cs="Cascadia Mono"/>
        </w:rPr>
        <w:t>.\A365-AutomationOrchestrator.ps1 `</w:t>
        <w:br/>
        <w:t xml:space="preserve">    -TenantId &lt;tenant-id&gt; -Interactive `</w:t>
        <w:br/>
        <w:t xml:space="preserve">    -UseExistingBlueprint &lt;blueprint-appId&gt; `</w:t>
        <w:br/>
        <w:t xml:space="preserve">    -NewAgentIdentity `</w:t>
        <w:br/>
        <w:t xml:space="preserve">        -AgentIdentityDisplayName 'Contoso Helpdesk Identity 02' `</w:t>
        <w:br/>
        <w:t xml:space="preserve">        -AgentIdentitySponsor     sponsor@contoso.com `</w:t>
        <w:br/>
        <w:t xml:space="preserve">    -LogPath 'C:\A365\Logs'</w:t>
      </w:r>
    </w:p>
    <w:p>
      <w:pPr>
        <w:pStyle w:val="Heading2"/>
      </w:pPr>
      <w:r>
        <w:t>8.3 Agent user and registration on an existing identity</w:t>
      </w:r>
    </w:p>
    <w:p>
      <w:r>
        <w:rPr>
          <w:b w:val="0"/>
          <w:i w:val="0"/>
        </w:rPr>
        <w:t>One -UseExistingAgentIdentity serves both phases:</w:t>
      </w:r>
    </w:p>
    <w:p>
      <w:pPr>
        <w:spacing w:before="80" w:after="160"/>
        <w:ind w:left="259"/>
        <w:shd w:val="clear" w:fill="F2F4F8"/>
      </w:pPr>
      <w:r>
        <w:rPr>
          <w:rFonts w:ascii="Cascadia Mono" w:hAnsi="Cascadia Mono"/>
          <w:sz w:val="17"/>
          <w:rFonts w:ascii="Cascadia Mono" w:hAnsi="Cascadia Mono" w:cs="Cascadia Mono"/>
        </w:rPr>
        <w:t>.\A365-AutomationOrchestrator.ps1 `</w:t>
        <w:br/>
        <w:t xml:space="preserve">    -TenantId &lt;tenant-id&gt; -ClientId &lt;app-id&gt; -ClientSecret $env:A365_CLIENT_SECRET `</w:t>
        <w:br/>
        <w:t xml:space="preserve">    -UseExistingAgentIdentity &lt;agent-identity-objectId&gt; `</w:t>
        <w:br/>
        <w:t xml:space="preserve">    -NewAgentUser `</w:t>
        <w:br/>
        <w:t xml:space="preserve">        -AgentUserPrincipalName agent02@contoso.com `</w:t>
        <w:br/>
        <w:t xml:space="preserve">        -AgentUserDisplayName   'Contoso Agent 02' `</w:t>
        <w:br/>
        <w:t xml:space="preserve">        -AgentUserUsageLocation US `</w:t>
        <w:br/>
        <w:t xml:space="preserve">    -NewAgentRegistration `</w:t>
        <w:br/>
        <w:t xml:space="preserve">        -AgentRegistrationDisplayName 'Contoso Agent 02'</w:t>
      </w:r>
    </w:p>
    <w:p>
      <w:pPr>
        <w:pStyle w:val="Heading2"/>
      </w:pPr>
      <w:r>
        <w:t>8.4 Dry run before deleting anything</w:t>
      </w:r>
    </w:p>
    <w:p>
      <w:pPr>
        <w:spacing w:before="80" w:after="160"/>
        <w:ind w:left="259"/>
        <w:shd w:val="clear" w:fill="F2F4F8"/>
      </w:pPr>
      <w:r>
        <w:rPr>
          <w:rFonts w:ascii="Cascadia Mono" w:hAnsi="Cascadia Mono"/>
          <w:sz w:val="17"/>
          <w:rFonts w:ascii="Cascadia Mono" w:hAnsi="Cascadia Mono" w:cs="Cascadia Mono"/>
        </w:rPr>
        <w:t>.\A365-AutomationOrchestrator.ps1 `</w:t>
        <w:br/>
        <w:t xml:space="preserve">    -TenantId &lt;tenant-id&gt; -Interactive `</w:t>
        <w:br/>
        <w:t xml:space="preserve">    -RemoveAgentRegistration &lt;T_registration-id&gt; `</w:t>
        <w:br/>
        <w:t xml:space="preserve">    -RemoveAgentUser         &lt;agent-user-objectId&gt; `</w:t>
        <w:br/>
        <w:t xml:space="preserve">    -RemoveAgentIdentity     &lt;agent-identity-objectId&gt; `</w:t>
        <w:br/>
        <w:t xml:space="preserve">    -RemoveInspectOnly</w:t>
      </w:r>
    </w:p>
    <w:p>
      <w:r>
        <w:rPr>
          <w:b w:val="0"/>
          <w:i w:val="0"/>
        </w:rPr>
        <w:t>Then repeat without -RemoveInspectOnly, adding -RemoveForce for an unattended run.</w:t>
      </w:r>
    </w:p>
    <w:p>
      <w:pPr>
        <w:pStyle w:val="Heading2"/>
      </w:pPr>
      <w:r>
        <w:t>8.5 Preview any run without writing</w:t>
      </w:r>
    </w:p>
    <w:p>
      <w:r>
        <w:rPr>
          <w:b w:val="0"/>
          <w:i w:val="0"/>
        </w:rPr>
        <w:t>-WhatIf is supported throughout. A dry run still produces a log file, so you can inspect exactly which Graph calls would have been made:</w:t>
      </w:r>
    </w:p>
    <w:p>
      <w:pPr>
        <w:spacing w:before="80" w:after="160"/>
        <w:ind w:left="259"/>
        <w:shd w:val="clear" w:fill="F2F4F8"/>
      </w:pPr>
      <w:r>
        <w:rPr>
          <w:rFonts w:ascii="Cascadia Mono" w:hAnsi="Cascadia Mono"/>
          <w:sz w:val="17"/>
          <w:rFonts w:ascii="Cascadia Mono" w:hAnsi="Cascadia Mono" w:cs="Cascadia Mono"/>
        </w:rPr>
        <w:t>.\A365-AutomationOrchestrator.ps1 ... -WhatIf -LogPath 'C:\A365\Logs'</w:t>
      </w:r>
    </w:p>
    <w:p>
      <w:r>
        <w:br w:type="page"/>
      </w:r>
    </w:p>
    <w:p>
      <w:pPr>
        <w:pStyle w:val="Heading1"/>
      </w:pPr>
      <w:r>
        <w:t>9. Logging and output</w:t>
      </w:r>
    </w:p>
    <w:p>
      <w:pPr>
        <w:pStyle w:val="Heading2"/>
      </w:pPr>
      <w:r>
        <w:t>9.1 Log files</w:t>
      </w:r>
    </w:p>
    <w:p>
      <w:r>
        <w:rPr>
          <w:b w:val="0"/>
          <w:i w:val="0"/>
        </w:rPr>
        <w:t>-LogPath produces one log per script per run. Every file in a run shares a correlation id, and the orchestrator log ends with an index naming each child log and the phase that produced it — including grandchildren, such as the cascade a blueprint removal delegates to.</w:t>
      </w:r>
    </w:p>
    <w:p>
      <w:pPr>
        <w:spacing w:before="80" w:after="160"/>
        <w:ind w:left="259"/>
        <w:shd w:val="clear" w:fill="F2F4F8"/>
      </w:pPr>
      <w:r>
        <w:rPr>
          <w:rFonts w:ascii="Cascadia Mono" w:hAnsi="Cascadia Mono"/>
          <w:sz w:val="17"/>
          <w:rFonts w:ascii="Cascadia Mono" w:hAnsi="Cascadia Mono" w:cs="Cascadia Mono"/>
        </w:rPr>
        <w:t>&lt;script-name&gt;-yyyy-MM-dd_HH-mm-ss-&lt;correlationId&gt;.log</w:t>
      </w:r>
    </w:p>
    <w:p>
      <w:r>
        <w:rPr>
          <w:b w:val="0"/>
          <w:i w:val="0"/>
        </w:rPr>
        <w:t>Windows file names cannot contain a colon, so the time is written HH-mm-ss. Logs are flushed line by line rather than buffered, and a trap writes the run footer even when the script fails, so the log is complete up to the moment of a crash.</w:t>
      </w:r>
    </w:p>
    <w:p>
      <w:r>
        <w:rPr>
          <w:b w:val="0"/>
          <w:i w:val="0"/>
        </w:rPr>
        <w:t>Each log records:</w:t>
      </w:r>
    </w:p>
    <w:p>
      <w:pPr>
        <w:pStyle w:val="ListBullet"/>
        <w:spacing w:after="60"/>
        <w:ind w:left="360"/>
      </w:pPr>
      <w:r>
        <w:t>Every Graph call: method, URI, request body, response, HTTP status and duration.</w:t>
      </w:r>
    </w:p>
    <w:p>
      <w:pPr>
        <w:pStyle w:val="ListBullet"/>
        <w:spacing w:after="60"/>
        <w:ind w:left="360"/>
      </w:pPr>
      <w:r>
        <w:t>Retry decisions and tolerated status codes.</w:t>
      </w:r>
    </w:p>
    <w:p>
      <w:pPr>
        <w:pStyle w:val="ListBullet"/>
        <w:spacing w:after="60"/>
        <w:ind w:left="360"/>
      </w:pPr>
      <w:r>
        <w:t>The full argument list handed to each child script.</w:t>
      </w:r>
    </w:p>
    <w:p>
      <w:pPr>
        <w:pStyle w:val="ListBullet"/>
        <w:spacing w:after="60"/>
        <w:ind w:left="360"/>
      </w:pPr>
      <w:r>
        <w:t>Phase banners and per-step results, so the log explains what the run decided as well as what it called.</w:t>
      </w:r>
    </w:p>
    <w:p>
      <w:pPr>
        <w:pStyle w:val="Heading2"/>
      </w:pPr>
      <w:r>
        <w:t>9.2 JSON report</w:t>
      </w:r>
    </w:p>
    <w:p>
      <w:r>
        <w:rPr>
          <w:b w:val="0"/>
          <w:i w:val="0"/>
        </w:rPr>
        <w:t>-OutputJsonPath writes a machine-readable summary containing:</w:t>
      </w:r>
    </w:p>
    <w:p>
      <w:pPr>
        <w:pStyle w:val="ListBullet"/>
        <w:spacing w:after="60"/>
        <w:ind w:left="360"/>
      </w:pPr>
      <w:r>
        <w:t>identifiers: blueprint appId and objectId, agent identity id, fmi_path, agent user id and UPN, registration id.</w:t>
      </w:r>
    </w:p>
    <w:p>
      <w:pPr>
        <w:pStyle w:val="ListBullet"/>
        <w:spacing w:after="60"/>
        <w:ind w:left="360"/>
      </w:pPr>
      <w:r>
        <w:t>phases: for each phase, the script, status, timing, parameters and identifiers.</w:t>
      </w:r>
    </w:p>
    <w:p>
      <w:pPr>
        <w:pStyle w:val="ListBullet"/>
        <w:spacing w:after="60"/>
        <w:ind w:left="360"/>
      </w:pPr>
      <w:r>
        <w:t>steps: the per-step result table shown on screen.</w:t>
      </w:r>
    </w:p>
    <w:p>
      <w:pPr>
        <w:pStyle w:val="ListBullet"/>
        <w:spacing w:after="60"/>
        <w:ind w:left="360"/>
      </w:pPr>
      <w:r>
        <w:t>consentActionRequired: any permissions still needing an administrator, with the consent link and required role. Empty when nothing is outstanding.</w:t>
      </w:r>
    </w:p>
    <w:p>
      <w:pPr>
        <w:pStyle w:val="ListBullet"/>
        <w:spacing w:after="60"/>
        <w:ind w:left="360"/>
      </w:pPr>
      <w:r>
        <w:t>keyVault: the vault, secret name, version and read-back verification, when -BlueprintKeyVaultName was used.</w:t>
      </w:r>
    </w:p>
    <w:p>
      <w:pPr>
        <w:pStyle w:val="ListBullet"/>
        <w:spacing w:after="60"/>
        <w:ind w:left="360"/>
      </w:pPr>
      <w:r>
        <w:t>tokenRequest: a ready-to-use token request for the provisioned agent identity.</w:t>
      </w:r>
    </w:p>
    <w:p>
      <w:r>
        <w:br w:type="page"/>
      </w:r>
    </w:p>
    <w:p>
      <w:pPr>
        <w:pStyle w:val="Heading1"/>
      </w:pPr>
      <w:r>
        <w:t>10. Troubleshooting</w:t>
      </w:r>
    </w:p>
    <w:p>
      <w:r>
        <w:rPr>
          <w:b w:val="0"/>
          <w:i w:val="0"/>
        </w:rPr>
        <w:t>These are failure modes confirmed against a live tenant. Each produces an error that does not obviously point at its cause.</w:t>
      </w:r>
    </w:p>
    <w:tbl>
      <w:tblPr>
        <w:tblStyle w:val="LightGrid-Accent1"/>
        <w:tblW w:type="auto" w:w="0"/>
        <w:jc w:val="left"/>
        <w:tblLook w:firstColumn="1" w:firstRow="1" w:lastColumn="0" w:lastRow="0" w:noHBand="0" w:noVBand="1" w:val="04A0"/>
      </w:tblPr>
      <w:tblGrid>
        <w:gridCol w:w="4824"/>
        <w:gridCol w:w="4824"/>
      </w:tblGrid>
      <w:tr>
        <w:tc>
          <w:tcPr>
            <w:tcW w:type="dxa" w:w="3312"/>
          </w:tcPr>
          <w:p>
            <w:r/>
            <w:r>
              <w:rPr>
                <w:b/>
                <w:sz w:val="18"/>
              </w:rPr>
              <w:t>Symptom</w:t>
            </w:r>
          </w:p>
        </w:tc>
        <w:tc>
          <w:tcPr>
            <w:tcW w:type="dxa" w:w="6336"/>
          </w:tcPr>
          <w:p>
            <w:r/>
            <w:r>
              <w:rPr>
                <w:b/>
                <w:sz w:val="18"/>
              </w:rPr>
              <w:t>Cause and fix</w:t>
            </w:r>
          </w:p>
        </w:tc>
      </w:tr>
      <w:tr>
        <w:tc>
          <w:tcPr>
            <w:tcW w:type="dxa" w:w="3312"/>
          </w:tcPr>
          <w:p>
            <w:r/>
            <w:r>
              <w:rPr>
                <w:sz w:val="17"/>
              </w:rPr>
              <w:t>403 with no permission named, when assigning owners on a blueprint principal</w:t>
            </w:r>
          </w:p>
        </w:tc>
        <w:tc>
          <w:tcPr>
            <w:tcW w:type="dxa" w:w="6336"/>
          </w:tcPr>
          <w:p>
            <w:r/>
            <w:r>
              <w:rPr>
                <w:sz w:val="17"/>
              </w:rPr>
              <w:t>Needs AgentIdentityBlueprintPrincipal.ReadWrite.All. Application.ReadWrite.All does not authorize that call, so granting more Application.* permissions will not help.</w:t>
            </w:r>
          </w:p>
        </w:tc>
      </w:tr>
      <w:tr>
        <w:tc>
          <w:tcPr>
            <w:tcW w:type="dxa" w:w="3312"/>
          </w:tcPr>
          <w:p>
            <w:r/>
            <w:r>
              <w:rPr>
                <w:sz w:val="17"/>
              </w:rPr>
              <w:t>403 'Insufficient privileges' when creating an agent user</w:t>
            </w:r>
          </w:p>
        </w:tc>
        <w:tc>
          <w:tcPr>
            <w:tcW w:type="dxa" w:w="6336"/>
          </w:tcPr>
          <w:p>
            <w:r/>
            <w:r>
              <w:rPr>
                <w:sz w:val="17"/>
              </w:rPr>
              <w:t>Needs AgentIdUser.ReadWrite.All. User.ReadWrite.All is not enough.</w:t>
            </w:r>
          </w:p>
        </w:tc>
      </w:tr>
      <w:tr>
        <w:tc>
          <w:tcPr>
            <w:tcW w:type="dxa" w:w="3312"/>
          </w:tcPr>
          <w:p>
            <w:r/>
            <w:r>
              <w:rPr>
                <w:sz w:val="17"/>
              </w:rPr>
              <w:t>403 when assigning custom security attributes</w:t>
            </w:r>
          </w:p>
        </w:tc>
        <w:tc>
          <w:tcPr>
            <w:tcW w:type="dxa" w:w="6336"/>
          </w:tcPr>
          <w:p>
            <w:r/>
            <w:r>
              <w:rPr>
                <w:sz w:val="17"/>
              </w:rPr>
              <w:t>Needs CustomSecAttributeAssignment.ReadWrite.All and CustomSecAttributeDefinition.Read.All. These are not implied by any Directory.* or Application.* role, nor held by Global Administrator by default.</w:t>
            </w:r>
          </w:p>
        </w:tc>
      </w:tr>
      <w:tr>
        <w:tc>
          <w:tcPr>
            <w:tcW w:type="dxa" w:w="3312"/>
          </w:tcPr>
          <w:p>
            <w:r/>
            <w:r>
              <w:rPr>
                <w:sz w:val="17"/>
              </w:rPr>
              <w:t>Consent appears to succeed but the agent gets no claims</w:t>
            </w:r>
          </w:p>
        </w:tc>
        <w:tc>
          <w:tcPr>
            <w:tcW w:type="dxa" w:w="6336"/>
          </w:tcPr>
          <w:p>
            <w:r/>
            <w:r>
              <w:rPr>
                <w:sz w:val="17"/>
              </w:rPr>
              <w:t>The permission was declared but not consented. Check consentFailures in the JSON report, and use the printed admin consent link.</w:t>
            </w:r>
          </w:p>
        </w:tc>
      </w:tr>
      <w:tr>
        <w:tc>
          <w:tcPr>
            <w:tcW w:type="dxa" w:w="3312"/>
          </w:tcPr>
          <w:p>
            <w:r/>
            <w:r>
              <w:rPr>
                <w:sz w:val="17"/>
              </w:rPr>
              <w:t>Registration 'Deleted' but the agent is still listed</w:t>
            </w:r>
          </w:p>
        </w:tc>
        <w:tc>
          <w:tcPr>
            <w:tcW w:type="dxa" w:w="6336"/>
          </w:tcPr>
          <w:p>
            <w:r/>
            <w:r>
              <w:rPr>
                <w:sz w:val="17"/>
              </w:rPr>
              <w:t>The registration id has two spellings: a bare GUID and a tenant-prefixed T_&lt;guid&gt;. DELETE answers 404 for an unknown id, and 404 is the desired end state, so the wrong spelling reports success. The scripts probe both and report a 404 as 'Already absent' rather than 'Deleted'.</w:t>
            </w:r>
          </w:p>
        </w:tc>
      </w:tr>
      <w:tr>
        <w:tc>
          <w:tcPr>
            <w:tcW w:type="dxa" w:w="3312"/>
          </w:tcPr>
          <w:p>
            <w:r/>
            <w:r>
              <w:rPr>
                <w:sz w:val="17"/>
              </w:rPr>
              <w:t>Key Vault write returns 401</w:t>
            </w:r>
          </w:p>
        </w:tc>
        <w:tc>
          <w:tcPr>
            <w:tcW w:type="dxa" w:w="6336"/>
          </w:tcPr>
          <w:p>
            <w:r/>
            <w:r>
              <w:rPr>
                <w:sz w:val="17"/>
              </w:rPr>
              <w:t>A Microsoft Graph token was presented. Key Vault is a different audience. Use -KeyVaultAccessToken, or authenticate app-only so a vault token can be minted.</w:t>
            </w:r>
          </w:p>
        </w:tc>
      </w:tr>
      <w:tr>
        <w:tc>
          <w:tcPr>
            <w:tcW w:type="dxa" w:w="3312"/>
          </w:tcPr>
          <w:p>
            <w:r/>
            <w:r>
              <w:rPr>
                <w:sz w:val="17"/>
              </w:rPr>
              <w:t>Key Vault write returns 403 while you hold Owner or Contributor</w:t>
            </w:r>
          </w:p>
        </w:tc>
        <w:tc>
          <w:tcPr>
            <w:tcW w:type="dxa" w:w="6336"/>
          </w:tcPr>
          <w:p>
            <w:r/>
            <w:r>
              <w:rPr>
                <w:sz w:val="17"/>
              </w:rPr>
              <w:t>Those are management-plane roles with no dataActions. Grant Key Vault Secrets Officer on the vault.</w:t>
            </w:r>
          </w:p>
        </w:tc>
      </w:tr>
      <w:tr>
        <w:tc>
          <w:tcPr>
            <w:tcW w:type="dxa" w:w="3312"/>
          </w:tcPr>
          <w:p>
            <w:r/>
            <w:r>
              <w:rPr>
                <w:sz w:val="17"/>
              </w:rPr>
              <w:t>az role assignment create fails with AuthorizationFailed</w:t>
            </w:r>
          </w:p>
        </w:tc>
        <w:tc>
          <w:tcPr>
            <w:tcW w:type="dxa" w:w="6336"/>
          </w:tcPr>
          <w:p>
            <w:r/>
            <w:r>
              <w:rPr>
                <w:sz w:val="17"/>
              </w:rPr>
              <w:t>Creating role assignments needs Owner, User Access Administrator, or RBAC Administrator. Contributor carries notActions Microsoft.Authorization/*/Write.</w:t>
            </w:r>
          </w:p>
        </w:tc>
      </w:tr>
      <w:tr>
        <w:tc>
          <w:tcPr>
            <w:tcW w:type="dxa" w:w="3312"/>
          </w:tcPr>
          <w:p>
            <w:r/>
            <w:r>
              <w:rPr>
                <w:sz w:val="17"/>
              </w:rPr>
              <w:t>A role assignment was just made but still returns 403</w:t>
            </w:r>
          </w:p>
        </w:tc>
        <w:tc>
          <w:tcPr>
            <w:tcW w:type="dxa" w:w="6336"/>
          </w:tcPr>
          <w:p>
            <w:r/>
            <w:r>
              <w:rPr>
                <w:sz w:val="17"/>
              </w:rPr>
              <w:t>Azure RBAC changes are not enforced instantly. Allow up to about 15 minutes, and obtain a fresh token — a cached token issued before the change carries stale context.</w:t>
            </w:r>
          </w:p>
        </w:tc>
      </w:tr>
      <w:tr>
        <w:tc>
          <w:tcPr>
            <w:tcW w:type="dxa" w:w="3312"/>
          </w:tcPr>
          <w:p>
            <w:r/>
            <w:r>
              <w:rPr>
                <w:sz w:val="17"/>
              </w:rPr>
              <w:t>'Ignored: -X applies to ... which was not selected'</w:t>
            </w:r>
          </w:p>
        </w:tc>
        <w:tc>
          <w:tcPr>
            <w:tcW w:type="dxa" w:w="6336"/>
          </w:tcPr>
          <w:p>
            <w:r/>
            <w:r>
              <w:rPr>
                <w:sz w:val="17"/>
              </w:rPr>
              <w:t>A parameter was supplied for a phase that did not run. Harmless, but usually means a switch was forgotten.</w:t>
            </w:r>
          </w:p>
        </w:tc>
      </w:tr>
    </w:tbl>
    <w:p/>
    <w:p>
      <w:r>
        <w:br w:type="page"/>
      </w:r>
    </w:p>
    <w:p>
      <w:pPr>
        <w:pStyle w:val="Heading1"/>
      </w:pPr>
      <w:r>
        <w:t>11. Script inventory</w:t>
      </w:r>
    </w:p>
    <w:p>
      <w:r>
        <w:t xml:space="preserve">Every script this guide covers. The orchestrator invokes the four </w:t>
      </w:r>
      <w:r>
        <w:rPr>
          <w:rFonts w:ascii="Cascadia Mono" w:hAnsi="Cascadia Mono"/>
          <w:sz w:val="18"/>
        </w:rPr>
        <w:t>New-A365Agent*</w:t>
      </w:r>
      <w:r>
        <w:t xml:space="preserve"> provisioning scripts and the four </w:t>
      </w:r>
      <w:r>
        <w:rPr>
          <w:rFonts w:ascii="Cascadia Mono" w:hAnsi="Cascadia Mono"/>
          <w:sz w:val="18"/>
        </w:rPr>
        <w:t>Remove-A365*</w:t>
      </w:r>
      <w:r>
        <w:t xml:space="preserve"> scripts directly, passing each phase the identifiers the previous one produced. </w:t>
      </w:r>
      <w:r>
        <w:rPr>
          <w:rFonts w:ascii="Cascadia Mono" w:hAnsi="Cascadia Mono"/>
          <w:sz w:val="18"/>
        </w:rPr>
        <w:t>New-A365AutomationApp.ps1</w:t>
      </w:r>
      <w:r>
        <w:t xml:space="preserve"> is a one-time prerequisite, run by hand before the first pipeline run; the orchestrator never calls it. Keep these files together in one folder, or point at them with </w:t>
      </w:r>
      <w:r>
        <w:rPr>
          <w:rFonts w:ascii="Cascadia Mono" w:hAnsi="Cascadia Mono"/>
          <w:sz w:val="18"/>
        </w:rPr>
        <w:t>-ScriptRoot</w:t>
      </w:r>
      <w:r>
        <w:t>.</w:t>
      </w:r>
    </w:p>
    <w:p>
      <w:pPr>
        <w:pStyle w:val="Heading2"/>
      </w:pPr>
      <w:r>
        <w:t>11.1 Provisioning</w:t>
      </w:r>
    </w:p>
    <w:tbl>
      <w:tblPr>
        <w:tblStyle w:val="LightGrid-Accent1"/>
        <w:tblW w:type="auto" w:w="0"/>
        <w:jc w:val="left"/>
        <w:tblLook w:firstColumn="1" w:firstRow="1" w:lastColumn="0" w:lastRow="0" w:noHBand="0" w:noVBand="1" w:val="04A0"/>
      </w:tblPr>
      <w:tblGrid>
        <w:gridCol w:w="3216"/>
        <w:gridCol w:w="3216"/>
      </w:tblGrid>
      <w:tr>
        <w:tc>
          <w:tcPr>
            <w:tcW w:type="dxa" w:w="3744"/>
          </w:tcPr>
          <w:p>
            <w:r/>
            <w:r>
              <w:rPr>
                <w:b/>
                <w:sz w:val="18"/>
              </w:rPr>
              <w:t>Script</w:t>
            </w:r>
          </w:p>
        </w:tc>
        <w:tc>
          <w:tcPr>
            <w:tcW w:type="dxa" w:w="5904"/>
          </w:tcPr>
          <w:p>
            <w:r/>
            <w:r>
              <w:rPr>
                <w:b/>
                <w:sz w:val="18"/>
              </w:rPr>
              <w:t>Purpose</w:t>
            </w:r>
          </w:p>
        </w:tc>
      </w:tr>
      <w:tr>
        <w:tc>
          <w:tcPr>
            <w:tcW w:type="dxa" w:w="3744"/>
          </w:tcPr>
          <w:p>
            <w:r/>
            <w:r>
              <w:rPr>
                <w:rFonts w:ascii="Cascadia Mono" w:hAnsi="Cascadia Mono"/>
                <w:sz w:val="17"/>
                <w:rFonts w:ascii="Cascadia Mono" w:hAnsi="Cascadia Mono" w:cs="Cascadia Mono"/>
              </w:rPr>
              <w:t>A365-AutomationOrchestrator.ps1</w:t>
            </w:r>
          </w:p>
        </w:tc>
        <w:tc>
          <w:tcPr>
            <w:tcW w:type="dxa" w:w="5904"/>
          </w:tcPr>
          <w:p>
            <w:r/>
            <w:r>
              <w:rPr>
                <w:sz w:val="17"/>
              </w:rPr>
              <w:t>Runs the whole pipeline; makes no Graph calls of its own</w:t>
            </w:r>
          </w:p>
        </w:tc>
      </w:tr>
      <w:tr>
        <w:tc>
          <w:tcPr>
            <w:tcW w:type="dxa" w:w="3744"/>
          </w:tcPr>
          <w:p>
            <w:r/>
            <w:r>
              <w:rPr>
                <w:rFonts w:ascii="Cascadia Mono" w:hAnsi="Cascadia Mono"/>
                <w:sz w:val="17"/>
                <w:rFonts w:ascii="Cascadia Mono" w:hAnsi="Cascadia Mono" w:cs="Cascadia Mono"/>
              </w:rPr>
              <w:t>New-A365AutomationApp.ps1</w:t>
            </w:r>
          </w:p>
        </w:tc>
        <w:tc>
          <w:tcPr>
            <w:tcW w:type="dxa" w:w="5904"/>
          </w:tcPr>
          <w:p>
            <w:r/>
            <w:r>
              <w:rPr>
                <w:sz w:val="17"/>
              </w:rPr>
              <w:t>PREREQUISITE, not invoked by the orchestrator. Creates the automation app and grants its Graph permissions.</w:t>
            </w:r>
          </w:p>
        </w:tc>
      </w:tr>
      <w:tr>
        <w:tc>
          <w:tcPr>
            <w:tcW w:type="dxa" w:w="3744"/>
          </w:tcPr>
          <w:p>
            <w:r/>
            <w:r>
              <w:rPr>
                <w:rFonts w:ascii="Cascadia Mono" w:hAnsi="Cascadia Mono"/>
                <w:sz w:val="17"/>
                <w:rFonts w:ascii="Cascadia Mono" w:hAnsi="Cascadia Mono" w:cs="Cascadia Mono"/>
              </w:rPr>
              <w:t>New-A365AgentBlueprint.ps1</w:t>
            </w:r>
          </w:p>
        </w:tc>
        <w:tc>
          <w:tcPr>
            <w:tcW w:type="dxa" w:w="5904"/>
          </w:tcPr>
          <w:p>
            <w:r/>
            <w:r>
              <w:rPr>
                <w:sz w:val="17"/>
              </w:rPr>
              <w:t>Creates and configures a blueprint and its principal</w:t>
            </w:r>
          </w:p>
        </w:tc>
      </w:tr>
      <w:tr>
        <w:tc>
          <w:tcPr>
            <w:tcW w:type="dxa" w:w="3744"/>
          </w:tcPr>
          <w:p>
            <w:r/>
            <w:r>
              <w:rPr>
                <w:rFonts w:ascii="Cascadia Mono" w:hAnsi="Cascadia Mono"/>
                <w:sz w:val="17"/>
                <w:rFonts w:ascii="Cascadia Mono" w:hAnsi="Cascadia Mono" w:cs="Cascadia Mono"/>
              </w:rPr>
              <w:t>New-A365AgentIdentity.ps1</w:t>
            </w:r>
          </w:p>
        </w:tc>
        <w:tc>
          <w:tcPr>
            <w:tcW w:type="dxa" w:w="5904"/>
          </w:tcPr>
          <w:p>
            <w:r/>
            <w:r>
              <w:rPr>
                <w:sz w:val="17"/>
              </w:rPr>
              <w:t>Creates an agent identity on an existing blueprint</w:t>
            </w:r>
          </w:p>
        </w:tc>
      </w:tr>
      <w:tr>
        <w:tc>
          <w:tcPr>
            <w:tcW w:type="dxa" w:w="3744"/>
          </w:tcPr>
          <w:p>
            <w:r/>
            <w:r>
              <w:rPr>
                <w:rFonts w:ascii="Cascadia Mono" w:hAnsi="Cascadia Mono"/>
                <w:sz w:val="17"/>
                <w:rFonts w:ascii="Cascadia Mono" w:hAnsi="Cascadia Mono" w:cs="Cascadia Mono"/>
              </w:rPr>
              <w:t>New-A365AgentUser.ps1</w:t>
            </w:r>
          </w:p>
        </w:tc>
        <w:tc>
          <w:tcPr>
            <w:tcW w:type="dxa" w:w="5904"/>
          </w:tcPr>
          <w:p>
            <w:r/>
            <w:r>
              <w:rPr>
                <w:sz w:val="17"/>
              </w:rPr>
              <w:t>Creates an agent user, with manager and licence</w:t>
            </w:r>
          </w:p>
        </w:tc>
      </w:tr>
      <w:tr>
        <w:tc>
          <w:tcPr>
            <w:tcW w:type="dxa" w:w="3744"/>
          </w:tcPr>
          <w:p>
            <w:r/>
            <w:r>
              <w:rPr>
                <w:rFonts w:ascii="Cascadia Mono" w:hAnsi="Cascadia Mono"/>
                <w:sz w:val="17"/>
                <w:rFonts w:ascii="Cascadia Mono" w:hAnsi="Cascadia Mono" w:cs="Cascadia Mono"/>
              </w:rPr>
              <w:t>New-A365AgentRegistration.ps1</w:t>
            </w:r>
          </w:p>
        </w:tc>
        <w:tc>
          <w:tcPr>
            <w:tcW w:type="dxa" w:w="5904"/>
          </w:tcPr>
          <w:p>
            <w:r/>
            <w:r>
              <w:rPr>
                <w:sz w:val="17"/>
              </w:rPr>
              <w:t>Registers the agent in the admin center and registry</w:t>
            </w:r>
          </w:p>
        </w:tc>
      </w:tr>
    </w:tbl>
    <w:p/>
    <w:p/>
    <w:p>
      <w:pPr>
        <w:pStyle w:val="Heading2"/>
      </w:pPr>
      <w:r>
        <w:t>11.2 Removal</w:t>
      </w:r>
    </w:p>
    <w:tbl>
      <w:tblPr>
        <w:tblStyle w:val="LightGrid-Accent1"/>
        <w:tblW w:type="auto" w:w="0"/>
        <w:jc w:val="left"/>
        <w:tblLook w:firstColumn="1" w:firstRow="1" w:lastColumn="0" w:lastRow="0" w:noHBand="0" w:noVBand="1" w:val="04A0"/>
      </w:tblPr>
      <w:tblGrid>
        <w:gridCol w:w="3216"/>
        <w:gridCol w:w="3216"/>
      </w:tblGrid>
      <w:tr>
        <w:tc>
          <w:tcPr>
            <w:tcW w:type="dxa" w:w="3744"/>
          </w:tcPr>
          <w:p>
            <w:r/>
            <w:r>
              <w:rPr>
                <w:b/>
                <w:sz w:val="18"/>
              </w:rPr>
              <w:t>Script</w:t>
            </w:r>
          </w:p>
        </w:tc>
        <w:tc>
          <w:tcPr>
            <w:tcW w:type="dxa" w:w="5904"/>
          </w:tcPr>
          <w:p>
            <w:r/>
            <w:r>
              <w:rPr>
                <w:b/>
                <w:sz w:val="18"/>
              </w:rPr>
              <w:t>Purpose</w:t>
            </w:r>
          </w:p>
        </w:tc>
      </w:tr>
      <w:tr>
        <w:tc>
          <w:tcPr>
            <w:tcW w:type="dxa" w:w="3744"/>
          </w:tcPr>
          <w:p>
            <w:r/>
            <w:r>
              <w:rPr>
                <w:rFonts w:ascii="Cascadia Mono" w:hAnsi="Cascadia Mono"/>
                <w:sz w:val="17"/>
                <w:rFonts w:ascii="Cascadia Mono" w:hAnsi="Cascadia Mono" w:cs="Cascadia Mono"/>
              </w:rPr>
              <w:t>Remove-A365Blueprint.ps1</w:t>
            </w:r>
          </w:p>
        </w:tc>
        <w:tc>
          <w:tcPr>
            <w:tcW w:type="dxa" w:w="5904"/>
          </w:tcPr>
          <w:p>
            <w:r/>
            <w:r>
              <w:rPr>
                <w:sz w:val="17"/>
              </w:rPr>
              <w:t>Deletes a blueprint and its principal; can cascade with -Force</w:t>
            </w:r>
          </w:p>
        </w:tc>
      </w:tr>
      <w:tr>
        <w:tc>
          <w:tcPr>
            <w:tcW w:type="dxa" w:w="3744"/>
          </w:tcPr>
          <w:p>
            <w:r/>
            <w:r>
              <w:rPr>
                <w:rFonts w:ascii="Cascadia Mono" w:hAnsi="Cascadia Mono"/>
                <w:sz w:val="17"/>
                <w:rFonts w:ascii="Cascadia Mono" w:hAnsi="Cascadia Mono" w:cs="Cascadia Mono"/>
              </w:rPr>
              <w:t>Remove-A365AgentIdentity.ps1</w:t>
            </w:r>
          </w:p>
        </w:tc>
        <w:tc>
          <w:tcPr>
            <w:tcW w:type="dxa" w:w="5904"/>
          </w:tcPr>
          <w:p>
            <w:r/>
            <w:r>
              <w:rPr>
                <w:sz w:val="17"/>
              </w:rPr>
              <w:t>Deletes agent identities, and nothing else</w:t>
            </w:r>
          </w:p>
        </w:tc>
      </w:tr>
      <w:tr>
        <w:tc>
          <w:tcPr>
            <w:tcW w:type="dxa" w:w="3744"/>
          </w:tcPr>
          <w:p>
            <w:r/>
            <w:r>
              <w:rPr>
                <w:rFonts w:ascii="Cascadia Mono" w:hAnsi="Cascadia Mono"/>
                <w:sz w:val="17"/>
                <w:rFonts w:ascii="Cascadia Mono" w:hAnsi="Cascadia Mono" w:cs="Cascadia Mono"/>
              </w:rPr>
              <w:t>Remove-A365AgentUser.ps1</w:t>
            </w:r>
          </w:p>
        </w:tc>
        <w:tc>
          <w:tcPr>
            <w:tcW w:type="dxa" w:w="5904"/>
          </w:tcPr>
          <w:p>
            <w:r/>
            <w:r>
              <w:rPr>
                <w:sz w:val="17"/>
              </w:rPr>
              <w:t>Deletes agent users, and nothing else</w:t>
            </w:r>
          </w:p>
        </w:tc>
      </w:tr>
      <w:tr>
        <w:tc>
          <w:tcPr>
            <w:tcW w:type="dxa" w:w="3744"/>
          </w:tcPr>
          <w:p>
            <w:r/>
            <w:r>
              <w:rPr>
                <w:rFonts w:ascii="Cascadia Mono" w:hAnsi="Cascadia Mono"/>
                <w:sz w:val="17"/>
                <w:rFonts w:ascii="Cascadia Mono" w:hAnsi="Cascadia Mono" w:cs="Cascadia Mono"/>
              </w:rPr>
              <w:t>Remove-A365AgentRegistration.ps1</w:t>
            </w:r>
          </w:p>
        </w:tc>
        <w:tc>
          <w:tcPr>
            <w:tcW w:type="dxa" w:w="5904"/>
          </w:tcPr>
          <w:p>
            <w:r/>
            <w:r>
              <w:rPr>
                <w:sz w:val="17"/>
              </w:rPr>
              <w:t>Deletes the admin center registration, and nothing else</w:t>
            </w:r>
          </w:p>
        </w:tc>
      </w:tr>
    </w:tbl>
    <w:p/>
    <w:p/>
    <w:p>
      <w:pPr>
        <w:pStyle w:val="Heading2"/>
      </w:pPr>
      <w:r>
        <w:rPr>
          <w:i w:val="0"/>
        </w:rPr>
        <w:t>11.3 Updating a single object</w:t>
      </w:r>
    </w:p>
    <w:p>
      <w:r>
        <w:rPr>
          <w:b w:val="0"/>
          <w:i w:val="0"/>
        </w:rPr>
        <w:t>These four scripts are an alternative interface to the orchestrator’s -UpdateX parameters, not extra steps. Each one forwards to the matching New-A365*.ps1 in its update mode, so both routes run exactly the same code. Use the orchestrator when one run changes several objects; use the dedicated script when it changes one. They are listed in the orchestrator’s own help.</w:t>
      </w:r>
    </w:p>
    <w:tbl>
      <w:tblPr>
        <w:tblStyle w:val="LightGrid-Accent1"/>
        <w:tblW w:type="auto" w:w="0"/>
        <w:jc w:val="left"/>
        <w:tblLook w:firstColumn="1" w:firstRow="1" w:lastColumn="0" w:lastRow="0" w:noHBand="0" w:noVBand="1" w:val="04A0"/>
      </w:tblPr>
      <w:tblGrid>
        <w:gridCol w:w="3216"/>
        <w:gridCol w:w="3216"/>
      </w:tblGrid>
      <w:tr>
        <w:tc>
          <w:tcPr>
            <w:tcW w:type="dxa" w:w="3744"/>
          </w:tcPr>
          <w:p>
            <w:r>
              <w:t>Script</w:t>
            </w:r>
          </w:p>
        </w:tc>
        <w:tc>
          <w:tcPr>
            <w:tcW w:type="dxa" w:w="5904"/>
          </w:tcPr>
          <w:p>
            <w:r>
              <w:t>Purpose</w:t>
            </w:r>
          </w:p>
        </w:tc>
      </w:tr>
      <w:tr>
        <w:tc>
          <w:tcPr>
            <w:tcW w:type="dxa" w:w="3744"/>
          </w:tcPr>
          <w:p>
            <w:r>
              <w:t>Update-A365Blueprint.ps1</w:t>
            </w:r>
          </w:p>
        </w:tc>
        <w:tc>
          <w:tcPr>
            <w:tcW w:type="dxa" w:w="5904"/>
          </w:tcPr>
          <w:p>
            <w:r>
              <w:t>Changes an existing blueprint. Takes -BlueprintId (application or object id).</w:t>
            </w:r>
          </w:p>
        </w:tc>
      </w:tr>
      <w:tr>
        <w:tc>
          <w:tcPr>
            <w:tcW w:type="dxa" w:w="3744"/>
          </w:tcPr>
          <w:p>
            <w:r>
              <w:t>Update-A365AgentIdentity.ps1</w:t>
            </w:r>
          </w:p>
        </w:tc>
        <w:tc>
          <w:tcPr>
            <w:tcW w:type="dxa" w:w="5904"/>
          </w:tcPr>
          <w:p>
            <w:r>
              <w:t>Changes an existing agent identity. Takes -AgentIdentityId.</w:t>
            </w:r>
          </w:p>
        </w:tc>
      </w:tr>
      <w:tr>
        <w:tc>
          <w:tcPr>
            <w:tcW w:type="dxa" w:w="3744"/>
          </w:tcPr>
          <w:p>
            <w:r>
              <w:t>Update-A365AgentUser.ps1</w:t>
            </w:r>
          </w:p>
        </w:tc>
        <w:tc>
          <w:tcPr>
            <w:tcW w:type="dxa" w:w="5904"/>
          </w:tcPr>
          <w:p>
            <w:r>
              <w:t>Changes an existing agent user. Takes -AgentUserId.</w:t>
            </w:r>
          </w:p>
        </w:tc>
      </w:tr>
      <w:tr>
        <w:tc>
          <w:tcPr>
            <w:tcW w:type="dxa" w:w="3744"/>
          </w:tcPr>
          <w:p>
            <w:r>
              <w:t>Update-A365AgentRegistration.ps1</w:t>
            </w:r>
          </w:p>
        </w:tc>
        <w:tc>
          <w:tcPr>
            <w:tcW w:type="dxa" w:w="5904"/>
          </w:tcPr>
          <w:p>
            <w:r>
              <w:t>Changes an existing registration. Takes -RegistrationId.</w:t>
            </w:r>
          </w:p>
        </w:tc>
      </w:tr>
    </w:tbl>
    <w:p>
      <w:r>
        <w:rPr>
          <w:b w:val="0"/>
          <w:i w:val="0"/>
        </w:rPr>
        <w:t>Each takes -TenantId and its own object id as the only mandatory parameters, plus the usual authentication parameters. ONLY THE ATTRIBUTES YOU PASS ARE WRITTEN: forwarding is decided on whether a parameter was bound, never on whether a variable holds a value, so a parameter left off the command line cannot overwrite what is already stored.</w:t>
      </w:r>
    </w:p>
    <w:p>
      <w:r>
        <w:rPr>
          <w:b w:val="0"/>
          <w:i w:val="0"/>
        </w:rPr>
        <w:t>Merge behaviour differs by attribute, and it is not uniform. Custom security attributes merge per attribute, though a multi-valued attribute that is written is replaced wholesale. Agent identity tags merge — the script reads the current set and writes the union, so adding one tag does not drop the others. Agent identity owners are additive. Registration ownerIds REPLACE the whole collection, so list every owner you want to keep.</w:t>
      </w:r>
    </w:p>
    <w:p>
      <w:pPr>
        <w:pStyle w:val="Heading1"/>
      </w:pPr>
      <w:r>
        <w:t>12. Quick start checklist</w:t>
      </w:r>
    </w:p>
    <w:p>
      <w:pPr>
        <w:spacing w:before="160" w:after="40"/>
      </w:pPr>
      <w:r>
        <w:rPr>
          <w:b/>
          <w:sz w:val="21"/>
        </w:rPr>
        <w:t>Step 1. Install PowerShell 7 and the Graph module</w:t>
      </w:r>
    </w:p>
    <w:p>
      <w:pPr>
        <w:spacing w:before="80" w:after="160"/>
        <w:ind w:left="259"/>
        <w:shd w:val="clear" w:fill="F2F4F8"/>
      </w:pPr>
      <w:r>
        <w:rPr>
          <w:rFonts w:ascii="Cascadia Mono" w:hAnsi="Cascadia Mono"/>
          <w:sz w:val="17"/>
          <w:rFonts w:ascii="Cascadia Mono" w:hAnsi="Cascadia Mono" w:cs="Cascadia Mono"/>
        </w:rPr>
        <w:t>Install-Module Microsoft.Graph.Authentication -Scope CurrentUser</w:t>
      </w:r>
    </w:p>
    <w:p>
      <w:pPr>
        <w:spacing w:before="160" w:after="40"/>
      </w:pPr>
      <w:r>
        <w:rPr>
          <w:b/>
          <w:sz w:val="21"/>
        </w:rPr>
        <w:t>Step 2. Create the automation application</w:t>
      </w:r>
    </w:p>
    <w:p>
      <w:pPr>
        <w:spacing w:before="80" w:after="160"/>
        <w:ind w:left="259"/>
        <w:shd w:val="clear" w:fill="F2F4F8"/>
      </w:pPr>
      <w:r>
        <w:rPr>
          <w:rFonts w:ascii="Cascadia Mono" w:hAnsi="Cascadia Mono"/>
          <w:sz w:val="17"/>
          <w:rFonts w:ascii="Cascadia Mono" w:hAnsi="Cascadia Mono" w:cs="Cascadia Mono"/>
        </w:rPr>
        <w:t>.\New-A365AutomationApp.ps1 -TenantId &lt;tid&gt; -DisplayName 'A365 Provisioning Automation' -Scenario All -NewClientSecret</w:t>
      </w:r>
    </w:p>
    <w:p>
      <w:pPr>
        <w:spacing w:before="160" w:after="40"/>
      </w:pPr>
      <w:r>
        <w:rPr>
          <w:b/>
          <w:sz w:val="21"/>
        </w:rPr>
        <w:t>Step 3. Have an administrator consent the Graph app roles</w:t>
      </w:r>
    </w:p>
    <w:p>
      <w:pPr>
        <w:spacing w:before="80" w:after="160"/>
        <w:ind w:left="259"/>
        <w:shd w:val="clear" w:fill="F2F4F8"/>
      </w:pPr>
      <w:r>
        <w:rPr>
          <w:rFonts w:ascii="Cascadia Mono" w:hAnsi="Cascadia Mono"/>
          <w:sz w:val="17"/>
          <w:rFonts w:ascii="Cascadia Mono" w:hAnsi="Cascadia Mono" w:cs="Cascadia Mono"/>
        </w:rPr>
        <w:t>Requires Privileged Role Administrator or Global Administrator. The script prints a consent link if it cannot consent them itself.</w:t>
      </w:r>
    </w:p>
    <w:p>
      <w:pPr>
        <w:spacing w:before="160" w:after="40"/>
      </w:pPr>
      <w:r>
        <w:rPr>
          <w:b/>
          <w:sz w:val="21"/>
        </w:rPr>
        <w:t>Step 4. Store the client secret safely</w:t>
      </w:r>
    </w:p>
    <w:p>
      <w:pPr>
        <w:spacing w:before="80" w:after="160"/>
        <w:ind w:left="259"/>
        <w:shd w:val="clear" w:fill="F2F4F8"/>
      </w:pPr>
      <w:r>
        <w:rPr>
          <w:rFonts w:ascii="Cascadia Mono" w:hAnsi="Cascadia Mono"/>
          <w:sz w:val="17"/>
          <w:rFonts w:ascii="Cascadia Mono" w:hAnsi="Cascadia Mono" w:cs="Cascadia Mono"/>
        </w:rPr>
        <w:t>$env:A365_CLIENT_SECRET = '&lt;secret&gt;'   — or use a certificate, which is preferred in production.</w:t>
      </w:r>
    </w:p>
    <w:p>
      <w:pPr>
        <w:spacing w:before="160" w:after="40"/>
      </w:pPr>
      <w:r>
        <w:rPr>
          <w:b/>
          <w:sz w:val="21"/>
        </w:rPr>
        <w:t>Step 5. (Optional) Grant Key Vault access</w:t>
      </w:r>
    </w:p>
    <w:p>
      <w:pPr>
        <w:spacing w:before="80" w:after="160"/>
        <w:ind w:left="259"/>
        <w:shd w:val="clear" w:fill="F2F4F8"/>
      </w:pPr>
      <w:r>
        <w:rPr>
          <w:rFonts w:ascii="Cascadia Mono" w:hAnsi="Cascadia Mono"/>
          <w:sz w:val="17"/>
          <w:rFonts w:ascii="Cascadia Mono" w:hAnsi="Cascadia Mono" w:cs="Cascadia Mono"/>
        </w:rPr>
        <w:t>az role assignment create --role 'Key Vault Secrets Officer' --assignee-object-id &lt;SP-object-id&gt; --assignee-principal-type ServicePrincipal --scope &lt;vault-resource-id&gt;</w:t>
      </w:r>
    </w:p>
    <w:p>
      <w:pPr>
        <w:spacing w:before="160" w:after="40"/>
      </w:pPr>
      <w:r>
        <w:rPr>
          <w:b/>
          <w:sz w:val="21"/>
        </w:rPr>
        <w:t>Step 6. Dry run first</w:t>
      </w:r>
    </w:p>
    <w:p>
      <w:pPr>
        <w:spacing w:before="80" w:after="160"/>
        <w:ind w:left="259"/>
        <w:shd w:val="clear" w:fill="F2F4F8"/>
      </w:pPr>
      <w:r>
        <w:rPr>
          <w:rFonts w:ascii="Cascadia Mono" w:hAnsi="Cascadia Mono"/>
          <w:sz w:val="17"/>
          <w:rFonts w:ascii="Cascadia Mono" w:hAnsi="Cascadia Mono" w:cs="Cascadia Mono"/>
        </w:rPr>
        <w:t>.\A365-AutomationOrchestrator.ps1 ... -WhatIf -LogPath 'C:\A365\Logs'</w:t>
      </w:r>
    </w:p>
    <w:p>
      <w:pPr>
        <w:spacing w:before="160" w:after="40"/>
      </w:pPr>
      <w:r>
        <w:rPr>
          <w:b/>
          <w:sz w:val="21"/>
        </w:rPr>
        <w:t>Step 7. Run for real, with a log and a report</w:t>
      </w:r>
    </w:p>
    <w:p>
      <w:pPr>
        <w:spacing w:before="80" w:after="160"/>
        <w:ind w:left="259"/>
        <w:shd w:val="clear" w:fill="F2F4F8"/>
      </w:pPr>
      <w:r>
        <w:rPr>
          <w:rFonts w:ascii="Cascadia Mono" w:hAnsi="Cascadia Mono"/>
          <w:sz w:val="17"/>
          <w:rFonts w:ascii="Cascadia Mono" w:hAnsi="Cascadia Mono" w:cs="Cascadia Mono"/>
        </w:rPr>
        <w:t>.\A365-AutomationOrchestrator.ps1 ... -LogPath 'C:\A365\Logs' -OutputJsonPath 'C:\A365\run.json'</w:t>
      </w:r>
    </w:p>
    <w:p>
      <w:pPr>
        <w:spacing w:before="160" w:after="40"/>
      </w:pPr>
      <w:r>
        <w:rPr>
          <w:b/>
          <w:sz w:val="21"/>
        </w:rPr>
        <w:t>Step 8. Check the report for outstanding work</w:t>
      </w:r>
    </w:p>
    <w:p>
      <w:pPr>
        <w:spacing w:before="80" w:after="160"/>
        <w:ind w:left="259"/>
        <w:shd w:val="clear" w:fill="F2F4F8"/>
      </w:pPr>
      <w:r>
        <w:rPr>
          <w:rFonts w:ascii="Cascadia Mono" w:hAnsi="Cascadia Mono"/>
          <w:sz w:val="17"/>
          <w:rFonts w:ascii="Cascadia Mono" w:hAnsi="Cascadia Mono" w:cs="Cascadia Mono"/>
        </w:rPr>
        <w:t>summary.consentActionRequired lists anything an administrator still has to finish. It is empty when the run is complete.</w:t>
      </w:r>
    </w:p>
    <w:p/>
    <w:tbl>
      <w:tblPr>
        <w:tblW w:type="auto" w:w="0"/>
        <w:jc w:val="left"/>
        <w:tblLook w:firstColumn="1" w:firstRow="1" w:lastColumn="0" w:lastRow="0" w:noHBand="0" w:noVBand="1" w:val="04A0"/>
      </w:tblPr>
      <w:tblGrid>
        <w:gridCol w:w="9648"/>
      </w:tblGrid>
      <w:tr>
        <w:tc>
          <w:tcPr>
            <w:tcW w:type="dxa" w:w="9648"/>
            <w:shd w:val="clear" w:fill="FDE7E9"/>
          </w:tcPr>
          <w:p>
            <w:r>
              <w:rPr>
                <w:b/>
                <w:sz w:val="19"/>
              </w:rPr>
              <w:t>Security reminders</w:t>
            </w:r>
          </w:p>
          <w:p>
            <w:r>
              <w:rPr>
                <w:sz w:val="19"/>
              </w:rPr>
              <w:t>Prefer a certificate or a federated managed identity over a client secret in production. Client secrets created by these scripts are intended for development. If a secret is ever exposed — in a transcript, a chat, a ticket or a screenshot — rotate it immediately: possession of the secret is possession of every permission the application holds.</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Segoe UI Semibold" w:hAnsi="Segoe UI Semibold"/>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egoe UI Semibold" w:hAnsi="Segoe UI Semibold"/>
      <w:b/>
      <w:bCs/>
      <w:color w:val="2E5496"/>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egoe UI Semibold" w:hAnsi="Segoe UI Semibold"/>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