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ABE4" w14:textId="77777777" w:rsidR="00780437" w:rsidRDefault="00D8696C">
      <w:r>
        <w:rPr>
          <w:b/>
          <w:color w:val="1F497D"/>
          <w:sz w:val="34"/>
        </w:rPr>
        <w:t>GMP Validation Readiness &amp; Fast-Track Guidance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0437" w14:paraId="4E41E7CF" w14:textId="77777777" w:rsidTr="00780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DE0C37" w14:textId="77777777" w:rsidR="00780437" w:rsidRDefault="00D8696C">
            <w:r>
              <w:rPr>
                <w:sz w:val="17"/>
              </w:rPr>
              <w:t>Document No.</w:t>
            </w:r>
          </w:p>
        </w:tc>
        <w:tc>
          <w:tcPr>
            <w:tcW w:w="2160" w:type="dxa"/>
          </w:tcPr>
          <w:p w14:paraId="41877146" w14:textId="77777777" w:rsidR="00780437" w:rsidRDefault="00D869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Version</w:t>
            </w:r>
          </w:p>
        </w:tc>
        <w:tc>
          <w:tcPr>
            <w:tcW w:w="2160" w:type="dxa"/>
          </w:tcPr>
          <w:p w14:paraId="0411555D" w14:textId="77777777" w:rsidR="00780437" w:rsidRDefault="00D869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Effective Date</w:t>
            </w:r>
          </w:p>
        </w:tc>
        <w:tc>
          <w:tcPr>
            <w:tcW w:w="2160" w:type="dxa"/>
          </w:tcPr>
          <w:p w14:paraId="2804767A" w14:textId="77777777" w:rsidR="00780437" w:rsidRDefault="00D869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Document Owner</w:t>
            </w:r>
          </w:p>
        </w:tc>
      </w:tr>
      <w:tr w:rsidR="00780437" w14:paraId="63A2263D" w14:textId="77777777" w:rsidTr="0078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66C099" w14:textId="77777777" w:rsidR="00780437" w:rsidRDefault="00D8696C">
            <w:r>
              <w:rPr>
                <w:sz w:val="17"/>
              </w:rPr>
              <w:t>GUID-QA-018</w:t>
            </w:r>
          </w:p>
        </w:tc>
        <w:tc>
          <w:tcPr>
            <w:tcW w:w="2160" w:type="dxa"/>
          </w:tcPr>
          <w:p w14:paraId="6DF78399" w14:textId="77777777" w:rsidR="00780437" w:rsidRDefault="00D86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</w:t>
            </w:r>
          </w:p>
        </w:tc>
        <w:tc>
          <w:tcPr>
            <w:tcW w:w="2160" w:type="dxa"/>
          </w:tcPr>
          <w:p w14:paraId="4B807280" w14:textId="05B98249" w:rsidR="00780437" w:rsidRDefault="00713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01/01/2026</w:t>
            </w:r>
          </w:p>
        </w:tc>
        <w:tc>
          <w:tcPr>
            <w:tcW w:w="2160" w:type="dxa"/>
          </w:tcPr>
          <w:p w14:paraId="19B58453" w14:textId="77777777" w:rsidR="00780437" w:rsidRDefault="00D86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Quality Assurance Manager</w:t>
            </w:r>
          </w:p>
        </w:tc>
      </w:tr>
    </w:tbl>
    <w:p w14:paraId="5EA1D3F1" w14:textId="77777777" w:rsidR="00780437" w:rsidRDefault="00D8696C">
      <w:r>
        <w:rPr>
          <w:i/>
          <w:color w:val="595959"/>
          <w:sz w:val="16"/>
        </w:rPr>
        <w:t>Classification: Internal - Confidential   |   Controlled document — verify version before use.</w:t>
      </w:r>
    </w:p>
    <w:p w14:paraId="014C9FF8" w14:textId="77777777" w:rsidR="00780437" w:rsidRDefault="00780437"/>
    <w:p w14:paraId="73A19148" w14:textId="77777777" w:rsidR="00780437" w:rsidRDefault="00D8696C">
      <w:r>
        <w:rPr>
          <w:b/>
          <w:color w:val="1F497D"/>
          <w:sz w:val="24"/>
        </w:rPr>
        <w:t>1.  Purpose</w:t>
      </w:r>
    </w:p>
    <w:p w14:paraId="184F6D19" w14:textId="77777777" w:rsidR="00780437" w:rsidRDefault="00D8696C">
      <w:r>
        <w:t>Defines the criteria and timelines for assessing whether a pre-qualified CMO can complete GMP validation on a fast-track basis (3–6 months) to support an accelerated launch.</w:t>
      </w:r>
    </w:p>
    <w:p w14:paraId="3A19135A" w14:textId="77777777" w:rsidR="00780437" w:rsidRDefault="00D8696C">
      <w:r>
        <w:rPr>
          <w:b/>
          <w:color w:val="1F497D"/>
          <w:sz w:val="24"/>
        </w:rPr>
        <w:t>2.  Validation Lifecycle</w:t>
      </w:r>
    </w:p>
    <w:p w14:paraId="6F08312B" w14:textId="77777777" w:rsidR="00780437" w:rsidRDefault="00D8696C">
      <w:pPr>
        <w:pStyle w:val="ListBullet"/>
      </w:pPr>
      <w:r>
        <w:t>Technology transfer and documentation review.</w:t>
      </w:r>
    </w:p>
    <w:p w14:paraId="285337C8" w14:textId="77777777" w:rsidR="00780437" w:rsidRDefault="00D8696C">
      <w:pPr>
        <w:pStyle w:val="ListBullet"/>
      </w:pPr>
      <w:r>
        <w:t>Process performance qualification (PPQ).</w:t>
      </w:r>
    </w:p>
    <w:p w14:paraId="1B8FC28F" w14:textId="77777777" w:rsidR="00780437" w:rsidRDefault="00D8696C">
      <w:pPr>
        <w:pStyle w:val="ListBullet"/>
      </w:pPr>
      <w:r>
        <w:t>Cleaning validation.</w:t>
      </w:r>
    </w:p>
    <w:p w14:paraId="7527A5B0" w14:textId="77777777" w:rsidR="00780437" w:rsidRDefault="00D8696C">
      <w:pPr>
        <w:pStyle w:val="ListBullet"/>
      </w:pPr>
      <w:r>
        <w:t>Quality systems and batch-release readiness.</w:t>
      </w:r>
    </w:p>
    <w:p w14:paraId="0D0C448E" w14:textId="77777777" w:rsidR="00780437" w:rsidRDefault="00D8696C">
      <w:r>
        <w:rPr>
          <w:b/>
          <w:color w:val="1F497D"/>
          <w:sz w:val="24"/>
        </w:rPr>
        <w:t>3.  3–6 Month Fast-Track Criteria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0437" w14:paraId="0BACB922" w14:textId="77777777" w:rsidTr="00780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AEB98E" w14:textId="77777777" w:rsidR="00780437" w:rsidRDefault="00D8696C">
            <w:r>
              <w:rPr>
                <w:sz w:val="18"/>
              </w:rPr>
              <w:t>Criterion</w:t>
            </w:r>
          </w:p>
        </w:tc>
        <w:tc>
          <w:tcPr>
            <w:tcW w:w="4320" w:type="dxa"/>
          </w:tcPr>
          <w:p w14:paraId="0C113862" w14:textId="77777777" w:rsidR="00780437" w:rsidRDefault="00D869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Fast-track requirement</w:t>
            </w:r>
          </w:p>
        </w:tc>
      </w:tr>
      <w:tr w:rsidR="00780437" w14:paraId="4E705DCB" w14:textId="77777777" w:rsidTr="0078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7034C" w14:textId="77777777" w:rsidR="00780437" w:rsidRDefault="00D8696C">
            <w:r>
              <w:rPr>
                <w:sz w:val="18"/>
              </w:rPr>
              <w:t>Pre-qualified status</w:t>
            </w:r>
          </w:p>
        </w:tc>
        <w:tc>
          <w:tcPr>
            <w:tcW w:w="4320" w:type="dxa"/>
          </w:tcPr>
          <w:p w14:paraId="4B56726B" w14:textId="77777777" w:rsidR="00780437" w:rsidRDefault="00D86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Current (GUID-PROC-009)</w:t>
            </w:r>
          </w:p>
        </w:tc>
      </w:tr>
      <w:tr w:rsidR="00780437" w14:paraId="4C465963" w14:textId="77777777" w:rsidTr="00780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B164D" w14:textId="77777777" w:rsidR="00780437" w:rsidRDefault="00D8696C">
            <w:r>
              <w:rPr>
                <w:sz w:val="18"/>
              </w:rPr>
              <w:t>Tech transfer package</w:t>
            </w:r>
          </w:p>
        </w:tc>
        <w:tc>
          <w:tcPr>
            <w:tcW w:w="4320" w:type="dxa"/>
          </w:tcPr>
          <w:p w14:paraId="552374D8" w14:textId="77777777" w:rsidR="00780437" w:rsidRDefault="00D86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Complete and accepted</w:t>
            </w:r>
          </w:p>
        </w:tc>
      </w:tr>
      <w:tr w:rsidR="00780437" w14:paraId="1427893D" w14:textId="77777777" w:rsidTr="0078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FF96A" w14:textId="77777777" w:rsidR="00780437" w:rsidRDefault="00D8696C">
            <w:r>
              <w:rPr>
                <w:sz w:val="18"/>
              </w:rPr>
              <w:t>Equipment/process</w:t>
            </w:r>
          </w:p>
        </w:tc>
        <w:tc>
          <w:tcPr>
            <w:tcW w:w="4320" w:type="dxa"/>
          </w:tcPr>
          <w:p w14:paraId="4870382A" w14:textId="77777777" w:rsidR="00780437" w:rsidRDefault="00D86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Comparable, already qualified for dosage form</w:t>
            </w:r>
          </w:p>
        </w:tc>
      </w:tr>
      <w:tr w:rsidR="00780437" w14:paraId="7293F5EF" w14:textId="77777777" w:rsidTr="00780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8A4CD" w14:textId="77777777" w:rsidR="00780437" w:rsidRDefault="00D8696C">
            <w:r>
              <w:rPr>
                <w:sz w:val="18"/>
              </w:rPr>
              <w:t>PPQ readiness</w:t>
            </w:r>
          </w:p>
        </w:tc>
        <w:tc>
          <w:tcPr>
            <w:tcW w:w="4320" w:type="dxa"/>
          </w:tcPr>
          <w:p w14:paraId="6B673CCA" w14:textId="77777777" w:rsidR="00780437" w:rsidRDefault="00D86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Protocol approved; materials available</w:t>
            </w:r>
          </w:p>
        </w:tc>
      </w:tr>
      <w:tr w:rsidR="00780437" w14:paraId="6300DC5C" w14:textId="77777777" w:rsidTr="0078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EC909" w14:textId="77777777" w:rsidR="00780437" w:rsidRDefault="00D8696C">
            <w:r>
              <w:rPr>
                <w:sz w:val="18"/>
              </w:rPr>
              <w:t>Cleaning validation</w:t>
            </w:r>
          </w:p>
        </w:tc>
        <w:tc>
          <w:tcPr>
            <w:tcW w:w="4320" w:type="dxa"/>
          </w:tcPr>
          <w:p w14:paraId="368337CF" w14:textId="77777777" w:rsidR="00780437" w:rsidRDefault="00D869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Existing validated method applicable</w:t>
            </w:r>
          </w:p>
        </w:tc>
      </w:tr>
      <w:tr w:rsidR="00780437" w14:paraId="04050416" w14:textId="77777777" w:rsidTr="00780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29F4C" w14:textId="77777777" w:rsidR="00780437" w:rsidRDefault="00D8696C">
            <w:r>
              <w:rPr>
                <w:sz w:val="18"/>
              </w:rPr>
              <w:t>Open quality findings</w:t>
            </w:r>
          </w:p>
        </w:tc>
        <w:tc>
          <w:tcPr>
            <w:tcW w:w="4320" w:type="dxa"/>
          </w:tcPr>
          <w:p w14:paraId="6C75F355" w14:textId="77777777" w:rsidR="00780437" w:rsidRDefault="00D869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 critical</w:t>
            </w:r>
          </w:p>
        </w:tc>
      </w:tr>
    </w:tbl>
    <w:p w14:paraId="4F7A6B60" w14:textId="77777777" w:rsidR="00780437" w:rsidRDefault="00780437"/>
    <w:p w14:paraId="2676223C" w14:textId="77777777" w:rsidR="00780437" w:rsidRDefault="00D8696C">
      <w:r>
        <w:rPr>
          <w:b/>
          <w:color w:val="1F497D"/>
          <w:sz w:val="24"/>
        </w:rPr>
        <w:t>4.  Prerequisites &amp; Gating</w:t>
      </w:r>
    </w:p>
    <w:p w14:paraId="1D0C21E7" w14:textId="77777777" w:rsidR="00780437" w:rsidRDefault="00D8696C">
      <w:r>
        <w:t>A CMO may only be designated fast-track eligible when all Section 3 criteria are met. Any unmet criterion gates the timeline and moves the candidate out of the 3–6 month band until resolved.</w:t>
      </w:r>
    </w:p>
    <w:p w14:paraId="757D670B" w14:textId="77777777" w:rsidR="00780437" w:rsidRDefault="00D8696C">
      <w:r>
        <w:rPr>
          <w:b/>
          <w:color w:val="1F497D"/>
          <w:sz w:val="24"/>
        </w:rPr>
        <w:t>5.  Documentation Readiness</w:t>
      </w:r>
    </w:p>
    <w:p w14:paraId="66E6FFD0" w14:textId="77777777" w:rsidR="00780437" w:rsidRDefault="00D8696C">
      <w:r>
        <w:t>Validation documentation (protocols, reports, batch records) must be available and review-ready at gate entry. Documentation gaps are the most common cause of timeline slippage and are assessed first.</w:t>
      </w:r>
    </w:p>
    <w:p w14:paraId="46F0C147" w14:textId="77777777" w:rsidR="00780437" w:rsidRDefault="00D8696C">
      <w:r>
        <w:rPr>
          <w:b/>
          <w:color w:val="1F497D"/>
          <w:sz w:val="24"/>
        </w:rPr>
        <w:t>6.  References</w:t>
      </w:r>
    </w:p>
    <w:p w14:paraId="1D339E28" w14:textId="77777777" w:rsidR="00780437" w:rsidRDefault="00D8696C">
      <w:pPr>
        <w:pStyle w:val="ListBullet"/>
      </w:pPr>
      <w:r>
        <w:t>CMO Qualification Guidance (GUID-PROC-009)</w:t>
      </w:r>
    </w:p>
    <w:p w14:paraId="60472472" w14:textId="77777777" w:rsidR="00780437" w:rsidRDefault="00D8696C">
      <w:pPr>
        <w:pStyle w:val="ListBullet"/>
      </w:pPr>
      <w:r>
        <w:t>Supplier Evaluation Guidance (GUID-PROC-012)</w:t>
      </w:r>
    </w:p>
    <w:p w14:paraId="244E00EF" w14:textId="77777777" w:rsidR="00780437" w:rsidRDefault="00D8696C">
      <w:pPr>
        <w:pStyle w:val="ListBullet"/>
      </w:pPr>
      <w:r>
        <w:t>Change Control Procedure (SOP-QA-003)</w:t>
      </w:r>
    </w:p>
    <w:sectPr w:rsidR="00780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944C" w14:textId="77777777" w:rsidR="00D8696C" w:rsidRDefault="00D8696C">
      <w:pPr>
        <w:spacing w:after="0" w:line="240" w:lineRule="auto"/>
      </w:pPr>
      <w:r>
        <w:separator/>
      </w:r>
    </w:p>
  </w:endnote>
  <w:endnote w:type="continuationSeparator" w:id="0">
    <w:p w14:paraId="4914D003" w14:textId="77777777" w:rsidR="00D8696C" w:rsidRDefault="00D8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299F" w14:textId="77777777" w:rsidR="00D8696C" w:rsidRDefault="00D8696C">
      <w:pPr>
        <w:spacing w:after="0" w:line="240" w:lineRule="auto"/>
      </w:pPr>
      <w:r>
        <w:separator/>
      </w:r>
    </w:p>
  </w:footnote>
  <w:footnote w:type="continuationSeparator" w:id="0">
    <w:p w14:paraId="024850FD" w14:textId="77777777" w:rsidR="00D8696C" w:rsidRDefault="00D86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237424">
    <w:abstractNumId w:val="8"/>
  </w:num>
  <w:num w:numId="2" w16cid:durableId="883635063">
    <w:abstractNumId w:val="6"/>
  </w:num>
  <w:num w:numId="3" w16cid:durableId="1066608559">
    <w:abstractNumId w:val="5"/>
  </w:num>
  <w:num w:numId="4" w16cid:durableId="1201358734">
    <w:abstractNumId w:val="4"/>
  </w:num>
  <w:num w:numId="5" w16cid:durableId="217015844">
    <w:abstractNumId w:val="7"/>
  </w:num>
  <w:num w:numId="6" w16cid:durableId="74087550">
    <w:abstractNumId w:val="3"/>
  </w:num>
  <w:num w:numId="7" w16cid:durableId="1020862468">
    <w:abstractNumId w:val="2"/>
  </w:num>
  <w:num w:numId="8" w16cid:durableId="1884245043">
    <w:abstractNumId w:val="1"/>
  </w:num>
  <w:num w:numId="9" w16cid:durableId="208386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49"/>
    <w:rsid w:val="00147E6A"/>
    <w:rsid w:val="0015074B"/>
    <w:rsid w:val="0029639D"/>
    <w:rsid w:val="00326F90"/>
    <w:rsid w:val="007138FC"/>
    <w:rsid w:val="00780437"/>
    <w:rsid w:val="008B76C4"/>
    <w:rsid w:val="00904646"/>
    <w:rsid w:val="00AA1D8D"/>
    <w:rsid w:val="00B47730"/>
    <w:rsid w:val="00CB0664"/>
    <w:rsid w:val="00D8696C"/>
    <w:rsid w:val="00EA0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ACCF3"/>
  <w14:defaultImageDpi w14:val="300"/>
  <w15:docId w15:val="{693573CE-3F61-4903-83BF-AF404F3A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Notes xmlns="42430076-c6fd-469b-b103-2493bbfbc263" xsi:nil="true"/>
    <lcf76f155ced4ddcb4097134ff3c332f xmlns="42430076-c6fd-469b-b103-2493bbfbc263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EA630CA643E4487D672A975F64030" ma:contentTypeVersion="24" ma:contentTypeDescription="Create a new document." ma:contentTypeScope="" ma:versionID="13691fb0149c08a2816ee94955666f3e">
  <xsd:schema xmlns:xsd="http://www.w3.org/2001/XMLSchema" xmlns:xs="http://www.w3.org/2001/XMLSchema" xmlns:p="http://schemas.microsoft.com/office/2006/metadata/properties" xmlns:ns1="http://schemas.microsoft.com/sharepoint/v3" xmlns:ns2="88603a16-17c9-4e8b-8dd2-dfce9907e667" xmlns:ns3="42430076-c6fd-469b-b103-2493bbfbc263" xmlns:ns4="230e9df3-be65-4c73-a93b-d1236ebd677e" targetNamespace="http://schemas.microsoft.com/office/2006/metadata/properties" ma:root="true" ma:fieldsID="f2acaef4185778f87f03e2266e3ceb62" ns1:_="" ns2:_="" ns3:_="" ns4:_="">
    <xsd:import namespace="http://schemas.microsoft.com/sharepoint/v3"/>
    <xsd:import namespace="88603a16-17c9-4e8b-8dd2-dfce9907e667"/>
    <xsd:import namespace="42430076-c6fd-469b-b103-2493bbfbc2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Note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Location" minOccurs="0"/>
                <xsd:element ref="ns3:MediaServiceDocTag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3a16-17c9-4e8b-8dd2-dfce9907e6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0076-c6fd-469b-b103-2493bbfbc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7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2e80284-f753-4328-812f-1ebbb58a9774}" ma:internalName="TaxCatchAll" ma:showField="CatchAllData" ma:web="88603a16-17c9-4e8b-8dd2-dfce9907e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31ADD5-2511-4BA8-A212-B46BF4CBB3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430076-c6fd-469b-b103-2493bbfbc26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847F1E-8226-41A3-8452-9A1BA3F70D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535A05-91F3-4EE6-ADAE-4BC78C8A5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603a16-17c9-4e8b-8dd2-dfce9907e667"/>
    <ds:schemaRef ds:uri="42430076-c6fd-469b-b103-2493bbfbc2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Shrivas</cp:lastModifiedBy>
  <cp:revision>6</cp:revision>
  <dcterms:created xsi:type="dcterms:W3CDTF">2013-12-23T23:15:00Z</dcterms:created>
  <dcterms:modified xsi:type="dcterms:W3CDTF">2026-06-18T04:34:00Z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0x010100C0BEA630CA643E4487D672A975F64030</vt:lpwstr>
  </property>
  <property fmtid="{D5CDD505-2E9C-101B-9397-08002B2CF9AE}" pid="3" name="MediaServiceImageTags">
    <vt:lpwstr/>
  </property>
</Properties>
</file>