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91C4" w14:textId="77777777" w:rsidR="00814F45" w:rsidRDefault="00D55D75">
      <w:r>
        <w:rPr>
          <w:b/>
          <w:color w:val="1F497D"/>
          <w:sz w:val="34"/>
        </w:rPr>
        <w:t>Supplier (CMO) Evaluation Guidance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4F45" w14:paraId="6FAD9173" w14:textId="77777777" w:rsidTr="00814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E0C4EC" w14:textId="77777777" w:rsidR="00814F45" w:rsidRDefault="00D55D75">
            <w:r>
              <w:rPr>
                <w:sz w:val="17"/>
              </w:rPr>
              <w:t>Document No.</w:t>
            </w:r>
          </w:p>
        </w:tc>
        <w:tc>
          <w:tcPr>
            <w:tcW w:w="2160" w:type="dxa"/>
          </w:tcPr>
          <w:p w14:paraId="6FEF7ED4" w14:textId="77777777" w:rsidR="00814F45" w:rsidRDefault="00D55D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Version</w:t>
            </w:r>
          </w:p>
        </w:tc>
        <w:tc>
          <w:tcPr>
            <w:tcW w:w="2160" w:type="dxa"/>
          </w:tcPr>
          <w:p w14:paraId="51E176D6" w14:textId="77777777" w:rsidR="00814F45" w:rsidRDefault="00D55D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Effective Date</w:t>
            </w:r>
          </w:p>
        </w:tc>
        <w:tc>
          <w:tcPr>
            <w:tcW w:w="2160" w:type="dxa"/>
          </w:tcPr>
          <w:p w14:paraId="5198D844" w14:textId="77777777" w:rsidR="00814F45" w:rsidRDefault="00D55D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Document Owner</w:t>
            </w:r>
          </w:p>
        </w:tc>
      </w:tr>
      <w:tr w:rsidR="00814F45" w14:paraId="6B698008" w14:textId="77777777" w:rsidTr="00814F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B1E66E" w14:textId="77777777" w:rsidR="00814F45" w:rsidRDefault="00D55D75">
            <w:r>
              <w:rPr>
                <w:sz w:val="17"/>
              </w:rPr>
              <w:t>GUID-PROC-012</w:t>
            </w:r>
          </w:p>
        </w:tc>
        <w:tc>
          <w:tcPr>
            <w:tcW w:w="2160" w:type="dxa"/>
          </w:tcPr>
          <w:p w14:paraId="73E1FB53" w14:textId="77777777" w:rsidR="00814F45" w:rsidRDefault="00D55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1.0</w:t>
            </w:r>
          </w:p>
        </w:tc>
        <w:tc>
          <w:tcPr>
            <w:tcW w:w="2160" w:type="dxa"/>
          </w:tcPr>
          <w:p w14:paraId="3F73989D" w14:textId="18E2433F" w:rsidR="00814F45" w:rsidRDefault="00D1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01/01/2026</w:t>
            </w:r>
          </w:p>
        </w:tc>
        <w:tc>
          <w:tcPr>
            <w:tcW w:w="2160" w:type="dxa"/>
          </w:tcPr>
          <w:p w14:paraId="50B28372" w14:textId="77777777" w:rsidR="00814F45" w:rsidRDefault="00D55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Procurement Manager</w:t>
            </w:r>
          </w:p>
        </w:tc>
      </w:tr>
    </w:tbl>
    <w:p w14:paraId="4961A805" w14:textId="77777777" w:rsidR="00814F45" w:rsidRDefault="00D55D75">
      <w:r>
        <w:rPr>
          <w:i/>
          <w:color w:val="595959"/>
          <w:sz w:val="16"/>
        </w:rPr>
        <w:t>Classification: Internal - Confidential   |   Controlled document — verify version before use.</w:t>
      </w:r>
    </w:p>
    <w:p w14:paraId="42779E0F" w14:textId="77777777" w:rsidR="00814F45" w:rsidRDefault="00814F45"/>
    <w:p w14:paraId="01F781EA" w14:textId="77777777" w:rsidR="00814F45" w:rsidRDefault="00D55D75">
      <w:r>
        <w:rPr>
          <w:b/>
          <w:color w:val="1F497D"/>
          <w:sz w:val="24"/>
        </w:rPr>
        <w:t>1.  Purpose</w:t>
      </w:r>
    </w:p>
    <w:p w14:paraId="0F3FA708" w14:textId="7E349F33" w:rsidR="00814F45" w:rsidRDefault="00D55D75">
      <w:r>
        <w:t xml:space="preserve">Defines how pre-qualified </w:t>
      </w:r>
      <w:r w:rsidR="001F7576">
        <w:t xml:space="preserve">Contract </w:t>
      </w:r>
      <w:r>
        <w:t>M</w:t>
      </w:r>
      <w:r w:rsidR="001F7576">
        <w:t>anufacturing Orga</w:t>
      </w:r>
      <w:r w:rsidR="005B0804">
        <w:t xml:space="preserve">nizations (CMOs) </w:t>
      </w:r>
      <w:r>
        <w:t>are scored and compared so Procurement can recommend which suppliers to engage, including for accelerated timelines.</w:t>
      </w:r>
    </w:p>
    <w:p w14:paraId="17F79A27" w14:textId="77777777" w:rsidR="00814F45" w:rsidRDefault="00D55D75">
      <w:r>
        <w:rPr>
          <w:b/>
          <w:color w:val="1F497D"/>
          <w:sz w:val="24"/>
        </w:rPr>
        <w:t>2.  Evaluation Dimensions</w:t>
      </w:r>
    </w:p>
    <w:p w14:paraId="10E19626" w14:textId="77777777" w:rsidR="00814F45" w:rsidRDefault="00D55D75">
      <w:pPr>
        <w:pStyle w:val="ListBullet"/>
      </w:pPr>
      <w:r>
        <w:t>GMP status and quality history.</w:t>
      </w:r>
    </w:p>
    <w:p w14:paraId="3949EA53" w14:textId="77777777" w:rsidR="00814F45" w:rsidRDefault="00D55D75">
      <w:pPr>
        <w:pStyle w:val="ListBullet"/>
      </w:pPr>
      <w:r>
        <w:t>Available capacity and lead time.</w:t>
      </w:r>
    </w:p>
    <w:p w14:paraId="63AF46AB" w14:textId="77777777" w:rsidR="00814F45" w:rsidRDefault="00D55D75">
      <w:pPr>
        <w:pStyle w:val="ListBullet"/>
      </w:pPr>
      <w:r>
        <w:t>Fast-track capability (ability to validate within 3–6 months).</w:t>
      </w:r>
    </w:p>
    <w:p w14:paraId="56370A20" w14:textId="77777777" w:rsidR="00814F45" w:rsidRDefault="00D55D75">
      <w:pPr>
        <w:pStyle w:val="ListBullet"/>
      </w:pPr>
      <w:r>
        <w:t>Technical fit for dosage form and process.</w:t>
      </w:r>
    </w:p>
    <w:p w14:paraId="188C5F12" w14:textId="77777777" w:rsidR="00814F45" w:rsidRDefault="00D55D75">
      <w:pPr>
        <w:pStyle w:val="ListBullet"/>
      </w:pPr>
      <w:r>
        <w:t>Commercial terms and risk.</w:t>
      </w:r>
    </w:p>
    <w:p w14:paraId="5C27E92A" w14:textId="77777777" w:rsidR="00814F45" w:rsidRDefault="00D55D75">
      <w:r>
        <w:rPr>
          <w:b/>
          <w:color w:val="1F497D"/>
          <w:sz w:val="24"/>
        </w:rPr>
        <w:t>3.  Scoring Methodology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4F45" w14:paraId="7B6BECC7" w14:textId="77777777" w:rsidTr="00814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8CFDF" w14:textId="77777777" w:rsidR="00814F45" w:rsidRDefault="00D55D75">
            <w:r>
              <w:rPr>
                <w:sz w:val="18"/>
              </w:rPr>
              <w:t>Dimension</w:t>
            </w:r>
          </w:p>
        </w:tc>
        <w:tc>
          <w:tcPr>
            <w:tcW w:w="2880" w:type="dxa"/>
          </w:tcPr>
          <w:p w14:paraId="72BB48CB" w14:textId="77777777" w:rsidR="00814F45" w:rsidRDefault="00D55D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880" w:type="dxa"/>
          </w:tcPr>
          <w:p w14:paraId="15E48917" w14:textId="77777777" w:rsidR="00814F45" w:rsidRDefault="00D55D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Score basis</w:t>
            </w:r>
          </w:p>
        </w:tc>
      </w:tr>
      <w:tr w:rsidR="00814F45" w14:paraId="38637922" w14:textId="77777777" w:rsidTr="00814F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677BAF" w14:textId="77777777" w:rsidR="00814F45" w:rsidRDefault="00D55D75">
            <w:r>
              <w:rPr>
                <w:sz w:val="18"/>
              </w:rPr>
              <w:t>GMP status &amp; quality</w:t>
            </w:r>
          </w:p>
        </w:tc>
        <w:tc>
          <w:tcPr>
            <w:tcW w:w="2880" w:type="dxa"/>
          </w:tcPr>
          <w:p w14:paraId="7B00F044" w14:textId="77777777" w:rsidR="00814F45" w:rsidRDefault="00D55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30%</w:t>
            </w:r>
          </w:p>
        </w:tc>
        <w:tc>
          <w:tcPr>
            <w:tcW w:w="2880" w:type="dxa"/>
          </w:tcPr>
          <w:p w14:paraId="6E0E5F1B" w14:textId="77777777" w:rsidR="00814F45" w:rsidRDefault="00D55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outcome, findings history</w:t>
            </w:r>
          </w:p>
        </w:tc>
      </w:tr>
      <w:tr w:rsidR="00814F45" w14:paraId="55DCED9A" w14:textId="77777777" w:rsidTr="00814F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2ADD99" w14:textId="77777777" w:rsidR="00814F45" w:rsidRDefault="00D55D75">
            <w:r>
              <w:rPr>
                <w:sz w:val="18"/>
              </w:rPr>
              <w:t>Capacity &amp; lead time</w:t>
            </w:r>
          </w:p>
        </w:tc>
        <w:tc>
          <w:tcPr>
            <w:tcW w:w="2880" w:type="dxa"/>
          </w:tcPr>
          <w:p w14:paraId="16842507" w14:textId="77777777" w:rsidR="00814F45" w:rsidRDefault="00D55D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25%</w:t>
            </w:r>
          </w:p>
        </w:tc>
        <w:tc>
          <w:tcPr>
            <w:tcW w:w="2880" w:type="dxa"/>
          </w:tcPr>
          <w:p w14:paraId="668D4D57" w14:textId="77777777" w:rsidR="00814F45" w:rsidRDefault="00D55D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Available qualified capacity</w:t>
            </w:r>
          </w:p>
        </w:tc>
      </w:tr>
      <w:tr w:rsidR="00814F45" w14:paraId="7B76CD44" w14:textId="77777777" w:rsidTr="00814F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941579" w14:textId="77777777" w:rsidR="00814F45" w:rsidRDefault="00D55D75">
            <w:r>
              <w:rPr>
                <w:sz w:val="18"/>
              </w:rPr>
              <w:t>Fast-track capability</w:t>
            </w:r>
          </w:p>
        </w:tc>
        <w:tc>
          <w:tcPr>
            <w:tcW w:w="2880" w:type="dxa"/>
          </w:tcPr>
          <w:p w14:paraId="27088558" w14:textId="77777777" w:rsidR="00814F45" w:rsidRDefault="00D55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25%</w:t>
            </w:r>
          </w:p>
        </w:tc>
        <w:tc>
          <w:tcPr>
            <w:tcW w:w="2880" w:type="dxa"/>
          </w:tcPr>
          <w:p w14:paraId="0CF05843" w14:textId="77777777" w:rsidR="00814F45" w:rsidRDefault="00D55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Validation readiness (GUID-QA-018)</w:t>
            </w:r>
          </w:p>
        </w:tc>
      </w:tr>
      <w:tr w:rsidR="00814F45" w14:paraId="72F391DC" w14:textId="77777777" w:rsidTr="00814F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AD9C1F" w14:textId="77777777" w:rsidR="00814F45" w:rsidRDefault="00D55D75">
            <w:r>
              <w:rPr>
                <w:sz w:val="18"/>
              </w:rPr>
              <w:t>Technical fit</w:t>
            </w:r>
          </w:p>
        </w:tc>
        <w:tc>
          <w:tcPr>
            <w:tcW w:w="2880" w:type="dxa"/>
          </w:tcPr>
          <w:p w14:paraId="7A4B12D2" w14:textId="77777777" w:rsidR="00814F45" w:rsidRDefault="00D55D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10%</w:t>
            </w:r>
          </w:p>
        </w:tc>
        <w:tc>
          <w:tcPr>
            <w:tcW w:w="2880" w:type="dxa"/>
          </w:tcPr>
          <w:p w14:paraId="2D1E0005" w14:textId="77777777" w:rsidR="00814F45" w:rsidRDefault="00D55D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Process/dosage match</w:t>
            </w:r>
          </w:p>
        </w:tc>
      </w:tr>
      <w:tr w:rsidR="00814F45" w14:paraId="703CAE42" w14:textId="77777777" w:rsidTr="00814F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2FA128" w14:textId="77777777" w:rsidR="00814F45" w:rsidRDefault="00D55D75">
            <w:r>
              <w:rPr>
                <w:sz w:val="18"/>
              </w:rPr>
              <w:t>Commercial &amp; risk</w:t>
            </w:r>
          </w:p>
        </w:tc>
        <w:tc>
          <w:tcPr>
            <w:tcW w:w="2880" w:type="dxa"/>
          </w:tcPr>
          <w:p w14:paraId="0F46354E" w14:textId="77777777" w:rsidR="00814F45" w:rsidRDefault="00D55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10%</w:t>
            </w:r>
          </w:p>
        </w:tc>
        <w:tc>
          <w:tcPr>
            <w:tcW w:w="2880" w:type="dxa"/>
          </w:tcPr>
          <w:p w14:paraId="1377A68A" w14:textId="77777777" w:rsidR="00814F45" w:rsidRDefault="00D55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Terms, financial stability</w:t>
            </w:r>
          </w:p>
        </w:tc>
      </w:tr>
    </w:tbl>
    <w:p w14:paraId="62F607AB" w14:textId="77777777" w:rsidR="00814F45" w:rsidRDefault="00814F45"/>
    <w:p w14:paraId="13912854" w14:textId="77777777" w:rsidR="00814F45" w:rsidRDefault="00D55D75">
      <w:r>
        <w:rPr>
          <w:b/>
          <w:color w:val="1F497D"/>
          <w:sz w:val="24"/>
        </w:rPr>
        <w:t>4.  Capacity &amp; Fast-Track Assessment</w:t>
      </w:r>
    </w:p>
    <w:p w14:paraId="42C4E5FF" w14:textId="77777777" w:rsidR="00814F45" w:rsidRDefault="00D55D75">
      <w:r>
        <w:t>Fast-track candidates must be pre-qualified (GUID-PROC-009) and meet the 3–6 month validation criteria in GUID-QA-018. Capacity is assessed against the qualified, available state — not nameplate capacity.</w:t>
      </w:r>
    </w:p>
    <w:p w14:paraId="16B84C6B" w14:textId="77777777" w:rsidR="00814F45" w:rsidRDefault="00D55D75">
      <w:r>
        <w:rPr>
          <w:b/>
          <w:color w:val="1F497D"/>
          <w:sz w:val="24"/>
        </w:rPr>
        <w:t>5.  Risk Weighting</w:t>
      </w:r>
    </w:p>
    <w:p w14:paraId="3758641D" w14:textId="77777777" w:rsidR="00814F45" w:rsidRDefault="00D55D75">
      <w:r>
        <w:t>Higher residual risk (open findings, single-source dependency, tight validation timelines) reduces the overall score and may move a CMO from recommended to conditional.</w:t>
      </w:r>
    </w:p>
    <w:p w14:paraId="55056BB3" w14:textId="77777777" w:rsidR="00814F45" w:rsidRDefault="00D55D75">
      <w:r>
        <w:rPr>
          <w:b/>
          <w:color w:val="1F497D"/>
          <w:sz w:val="24"/>
        </w:rPr>
        <w:t>6.  Decision &amp; Records</w:t>
      </w:r>
    </w:p>
    <w:p w14:paraId="4C019096" w14:textId="77777777" w:rsidR="00814F45" w:rsidRDefault="00D55D75">
      <w:r>
        <w:t>Procurement records the comparative scoring and recommendation. Final engagement of a CMO follows the escalation path to the VP of Manufacturing where internal capacity is insufficient.</w:t>
      </w:r>
    </w:p>
    <w:sectPr w:rsidR="00814F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17BE0" w14:textId="77777777" w:rsidR="00D55D75" w:rsidRDefault="00D55D75">
      <w:pPr>
        <w:spacing w:after="0" w:line="240" w:lineRule="auto"/>
      </w:pPr>
      <w:r>
        <w:separator/>
      </w:r>
    </w:p>
  </w:endnote>
  <w:endnote w:type="continuationSeparator" w:id="0">
    <w:p w14:paraId="7F56C80F" w14:textId="77777777" w:rsidR="00D55D75" w:rsidRDefault="00D55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F28DB" w14:textId="77777777" w:rsidR="00D55D75" w:rsidRDefault="00D55D75">
      <w:pPr>
        <w:spacing w:after="0" w:line="240" w:lineRule="auto"/>
      </w:pPr>
      <w:r>
        <w:separator/>
      </w:r>
    </w:p>
  </w:footnote>
  <w:footnote w:type="continuationSeparator" w:id="0">
    <w:p w14:paraId="5A387F6A" w14:textId="77777777" w:rsidR="00D55D75" w:rsidRDefault="00D55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690354">
    <w:abstractNumId w:val="8"/>
  </w:num>
  <w:num w:numId="2" w16cid:durableId="1431580580">
    <w:abstractNumId w:val="6"/>
  </w:num>
  <w:num w:numId="3" w16cid:durableId="935865626">
    <w:abstractNumId w:val="5"/>
  </w:num>
  <w:num w:numId="4" w16cid:durableId="1722634088">
    <w:abstractNumId w:val="4"/>
  </w:num>
  <w:num w:numId="5" w16cid:durableId="1596016039">
    <w:abstractNumId w:val="7"/>
  </w:num>
  <w:num w:numId="6" w16cid:durableId="214657978">
    <w:abstractNumId w:val="3"/>
  </w:num>
  <w:num w:numId="7" w16cid:durableId="962809437">
    <w:abstractNumId w:val="2"/>
  </w:num>
  <w:num w:numId="8" w16cid:durableId="1275134858">
    <w:abstractNumId w:val="1"/>
  </w:num>
  <w:num w:numId="9" w16cid:durableId="704062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576"/>
    <w:rsid w:val="0029639D"/>
    <w:rsid w:val="00326F90"/>
    <w:rsid w:val="0033101F"/>
    <w:rsid w:val="00526A30"/>
    <w:rsid w:val="005B0804"/>
    <w:rsid w:val="007D2E97"/>
    <w:rsid w:val="00814F45"/>
    <w:rsid w:val="0095104C"/>
    <w:rsid w:val="00AA1D8D"/>
    <w:rsid w:val="00B47730"/>
    <w:rsid w:val="00BB3729"/>
    <w:rsid w:val="00CB0664"/>
    <w:rsid w:val="00D158A7"/>
    <w:rsid w:val="00D55D75"/>
    <w:rsid w:val="00D77BC3"/>
    <w:rsid w:val="00E466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197DC"/>
  <w14:defaultImageDpi w14:val="300"/>
  <w15:docId w15:val="{1D98BA8B-7A1F-46C8-BD5B-71BD734C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Notes xmlns="42430076-c6fd-469b-b103-2493bbfbc263" xsi:nil="true"/>
    <lcf76f155ced4ddcb4097134ff3c332f xmlns="42430076-c6fd-469b-b103-2493bbfbc263">
      <Terms xmlns="http://schemas.microsoft.com/office/infopath/2007/PartnerControls"/>
    </lcf76f155ced4ddcb4097134ff3c332f>
    <_ip_UnifiedCompliancePolicyProperties xmlns="http://schemas.microsoft.com/sharepoint/v3" xsi:nil="true"/>
    <TaxCatchAll xmlns="230e9df3-be65-4c73-a93b-d1236ebd677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EA630CA643E4487D672A975F64030" ma:contentTypeVersion="24" ma:contentTypeDescription="Create a new document." ma:contentTypeScope="" ma:versionID="13691fb0149c08a2816ee94955666f3e">
  <xsd:schema xmlns:xsd="http://www.w3.org/2001/XMLSchema" xmlns:xs="http://www.w3.org/2001/XMLSchema" xmlns:p="http://schemas.microsoft.com/office/2006/metadata/properties" xmlns:ns1="http://schemas.microsoft.com/sharepoint/v3" xmlns:ns2="88603a16-17c9-4e8b-8dd2-dfce9907e667" xmlns:ns3="42430076-c6fd-469b-b103-2493bbfbc263" xmlns:ns4="230e9df3-be65-4c73-a93b-d1236ebd677e" targetNamespace="http://schemas.microsoft.com/office/2006/metadata/properties" ma:root="true" ma:fieldsID="f2acaef4185778f87f03e2266e3ceb62" ns1:_="" ns2:_="" ns3:_="" ns4:_="">
    <xsd:import namespace="http://schemas.microsoft.com/sharepoint/v3"/>
    <xsd:import namespace="88603a16-17c9-4e8b-8dd2-dfce9907e667"/>
    <xsd:import namespace="42430076-c6fd-469b-b103-2493bbfbc2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Note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Location" minOccurs="0"/>
                <xsd:element ref="ns3:MediaServiceDocTags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03a16-17c9-4e8b-8dd2-dfce9907e66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0076-c6fd-469b-b103-2493bbfbc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18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7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2e80284-f753-4328-812f-1ebbb58a9774}" ma:internalName="TaxCatchAll" ma:showField="CatchAllData" ma:web="88603a16-17c9-4e8b-8dd2-dfce9907e6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D52FC9-9BE0-47DF-B0AD-77DB494C25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430076-c6fd-469b-b103-2493bbfbc26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DFBFA7-B446-4A81-B97C-7D46F8756C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AA30D0-9155-4A16-9E90-2B9B643450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603a16-17c9-4e8b-8dd2-dfce9907e667"/>
    <ds:schemaRef ds:uri="42430076-c6fd-469b-b103-2493bbfbc26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Shrivas</cp:lastModifiedBy>
  <cp:revision>11</cp:revision>
  <dcterms:created xsi:type="dcterms:W3CDTF">2013-12-23T23:15:00Z</dcterms:created>
  <dcterms:modified xsi:type="dcterms:W3CDTF">2026-06-18T04:38:00Z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0x010100C0BEA630CA643E4487D672A975F64030</vt:lpwstr>
  </property>
  <property fmtid="{D5CDD505-2E9C-101B-9397-08002B2CF9AE}" pid="3" name="MediaServiceImageTags">
    <vt:lpwstr/>
  </property>
</Properties>
</file>