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B2D51" w14:textId="77777777" w:rsidR="00B45F04" w:rsidRDefault="00B45F04" w:rsidP="00B45F04">
      <w:pPr>
        <w:pStyle w:val="Heading1"/>
      </w:pPr>
      <w:bookmarkStart w:id="0" w:name="_Toc2782560"/>
      <w:r>
        <w:t>How to use this template</w:t>
      </w:r>
      <w:bookmarkEnd w:id="0"/>
    </w:p>
    <w:p w14:paraId="48A66C4B" w14:textId="77777777" w:rsidR="00B45F04" w:rsidRDefault="00B45F04" w:rsidP="00B45F04"/>
    <w:p w14:paraId="33955A5B" w14:textId="349AD65B" w:rsidR="00B45F04" w:rsidRDefault="00B45F04" w:rsidP="00B45F04">
      <w:r>
        <w:t xml:space="preserve">This sample template </w:t>
      </w:r>
      <w:r w:rsidR="000943D2">
        <w:t xml:space="preserve">is </w:t>
      </w:r>
      <w:r>
        <w:t xml:space="preserve">designed to help you define the policy statements </w:t>
      </w:r>
      <w:r w:rsidR="006A1163">
        <w:t xml:space="preserve">and design guidance </w:t>
      </w:r>
      <w:r>
        <w:t xml:space="preserve">that </w:t>
      </w:r>
      <w:r w:rsidR="003C5C37">
        <w:t xml:space="preserve">allow you to mature </w:t>
      </w:r>
      <w:r>
        <w:t xml:space="preserve">the </w:t>
      </w:r>
      <w:hyperlink r:id="rId7" w:history="1">
        <w:r>
          <w:rPr>
            <w:rStyle w:val="Hyperlink"/>
          </w:rPr>
          <w:t>Five Disciplines of Cloud G</w:t>
        </w:r>
        <w:r w:rsidRPr="004F2A2E">
          <w:rPr>
            <w:rStyle w:val="Hyperlink"/>
          </w:rPr>
          <w:t>overnance</w:t>
        </w:r>
      </w:hyperlink>
      <w:r>
        <w:t xml:space="preserve"> within your organization. </w:t>
      </w:r>
      <w:r w:rsidR="002014D9">
        <w:t xml:space="preserve">The examples in this template are </w:t>
      </w:r>
      <w:r w:rsidR="00067A97">
        <w:t xml:space="preserve">focused on the </w:t>
      </w:r>
      <w:hyperlink r:id="rId8" w:history="1">
        <w:r w:rsidR="00281443">
          <w:rPr>
            <w:rStyle w:val="Hyperlink"/>
          </w:rPr>
          <w:t>Identity Baseline</w:t>
        </w:r>
      </w:hyperlink>
      <w:r>
        <w:t xml:space="preserve"> discipline.</w:t>
      </w:r>
      <w:r w:rsidR="008A24F1">
        <w:t xml:space="preserve"> Use these examples as a starting point </w:t>
      </w:r>
      <w:r w:rsidR="00067A97">
        <w:t>for</w:t>
      </w:r>
      <w:r w:rsidR="008A24F1">
        <w:t xml:space="preserve"> discussion</w:t>
      </w:r>
      <w:r w:rsidR="00067A97">
        <w:t>s</w:t>
      </w:r>
      <w:r w:rsidR="008A24F1">
        <w:t xml:space="preserve"> within your organization</w:t>
      </w:r>
      <w:r w:rsidR="00067A97">
        <w:t xml:space="preserve"> around this discipline</w:t>
      </w:r>
      <w:r w:rsidR="008A24F1">
        <w:t xml:space="preserve">. </w:t>
      </w:r>
    </w:p>
    <w:p w14:paraId="03B81820" w14:textId="77777777" w:rsidR="00B45F04" w:rsidRDefault="00B45F04" w:rsidP="00B45F04">
      <w:r>
        <w:t>The following instructions will guide usage of this template:</w:t>
      </w:r>
    </w:p>
    <w:p w14:paraId="4882268B" w14:textId="77777777" w:rsidR="00B45F04" w:rsidRDefault="00B45F04" w:rsidP="00B45F04">
      <w:pPr>
        <w:pStyle w:val="ListParagraph"/>
        <w:numPr>
          <w:ilvl w:val="0"/>
          <w:numId w:val="2"/>
        </w:numPr>
      </w:pPr>
      <w:r>
        <w:t>Update the template's title page with your author information, publish date and the governance discipline this document supports.</w:t>
      </w:r>
    </w:p>
    <w:p w14:paraId="440D6EB3" w14:textId="77777777" w:rsidR="00B45F04" w:rsidRDefault="00B45F04" w:rsidP="00B45F04">
      <w:pPr>
        <w:pStyle w:val="ListParagraph"/>
        <w:numPr>
          <w:ilvl w:val="0"/>
          <w:numId w:val="2"/>
        </w:numPr>
      </w:pPr>
      <w:r>
        <w:t xml:space="preserve">Update this template to reflect risks, tolerance, </w:t>
      </w:r>
      <w:proofErr w:type="gramStart"/>
      <w:r>
        <w:t>indictors</w:t>
      </w:r>
      <w:proofErr w:type="gramEnd"/>
      <w:r>
        <w:t>, toolchains, etc., that align to your business and technology needs.</w:t>
      </w:r>
    </w:p>
    <w:p w14:paraId="525C9873" w14:textId="77777777" w:rsidR="00B45F04" w:rsidRDefault="00B45F04" w:rsidP="00B45F04">
      <w:pPr>
        <w:pStyle w:val="ListParagraph"/>
        <w:numPr>
          <w:ilvl w:val="0"/>
          <w:numId w:val="2"/>
        </w:numPr>
      </w:pPr>
      <w:r>
        <w:t>Update this template to reflect your policy statements.</w:t>
      </w:r>
    </w:p>
    <w:p w14:paraId="4551624C" w14:textId="77777777" w:rsidR="00B45F04" w:rsidRDefault="00B45F04" w:rsidP="00B45F04">
      <w:pPr>
        <w:pStyle w:val="ListParagraph"/>
        <w:numPr>
          <w:ilvl w:val="0"/>
          <w:numId w:val="2"/>
        </w:numPr>
      </w:pPr>
      <w:r>
        <w:t>Update this template's executive summary to reflect your updated content.</w:t>
      </w:r>
    </w:p>
    <w:p w14:paraId="5E34D460" w14:textId="77777777" w:rsidR="00B45F04" w:rsidRDefault="00B45F04" w:rsidP="00B45F04">
      <w:pPr>
        <w:pStyle w:val="ListParagraph"/>
        <w:numPr>
          <w:ilvl w:val="0"/>
          <w:numId w:val="2"/>
        </w:numPr>
      </w:pPr>
      <w:r>
        <w:t>Before publication remove the “sample” watermark.</w:t>
      </w:r>
    </w:p>
    <w:p w14:paraId="2BC44DC1" w14:textId="77777777" w:rsidR="00B45F04" w:rsidRDefault="00B45F04" w:rsidP="00B45F04">
      <w:pPr>
        <w:pStyle w:val="ListParagraph"/>
        <w:numPr>
          <w:ilvl w:val="0"/>
          <w:numId w:val="2"/>
        </w:numPr>
      </w:pPr>
      <w:r>
        <w:t>Delete this page and update the table of contents before publishing your customized policy statements.</w:t>
      </w:r>
    </w:p>
    <w:p w14:paraId="1F067DF7" w14:textId="77777777" w:rsidR="00B45F04" w:rsidRDefault="00B45F04">
      <w:r>
        <w:br w:type="page"/>
      </w:r>
    </w:p>
    <w:p w14:paraId="41E85771" w14:textId="1F5F1DC9" w:rsidR="00B77E55" w:rsidRDefault="00B77E55">
      <w:r>
        <w:rPr>
          <w:noProof/>
        </w:rPr>
        <w:lastRenderedPageBreak/>
        <mc:AlternateContent>
          <mc:Choice Requires="wpg">
            <w:drawing>
              <wp:anchor distT="0" distB="0" distL="114300" distR="114300" simplePos="0" relativeHeight="251658240" behindDoc="0" locked="0" layoutInCell="1" allowOverlap="1" wp14:anchorId="20F800C6" wp14:editId="654279A1">
                <wp:simplePos x="0" y="0"/>
                <wp:positionH relativeFrom="column">
                  <wp:posOffset>-676910</wp:posOffset>
                </wp:positionH>
                <wp:positionV relativeFrom="paragraph">
                  <wp:posOffset>31750</wp:posOffset>
                </wp:positionV>
                <wp:extent cx="7315200" cy="1215390"/>
                <wp:effectExtent l="0" t="0" r="0" b="3810"/>
                <wp:wrapTopAndBottom/>
                <wp:docPr id="1" name="Group 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582CD" id="Group 1" o:spid="_x0000_s1026" style="position:absolute;margin-left:-53.3pt;margin-top:2.5pt;width:8in;height:95.7pt;z-index:251658240"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veoXFngUAAJobAAAOAAAAAAAAAAAAAAAAADoCAABkcnMvZTJvRG9jLnht&#10;bFBLAQItAAoAAAAAAAAAIQCbGxQRaGQAAGhkAAAUAAAAAAAAAAAAAAAAAAQIAABkcnMvbWVkaWEv&#10;aW1hZ2UxLnBuZ1BLAQItABQABgAIAAAAIQCsARAz4QAAAAsBAAAPAAAAAAAAAAAAAAAAAJ5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13" o:title="" recolor="t" rotate="t" type="frame"/>
                </v:rect>
                <w10:wrap type="topAndBottom"/>
              </v:group>
            </w:pict>
          </mc:Fallback>
        </mc:AlternateContent>
      </w:r>
    </w:p>
    <w:p w14:paraId="7A6F1262" w14:textId="12213610" w:rsidR="00D31764" w:rsidRPr="00D31764" w:rsidRDefault="00D31764" w:rsidP="00B77E55">
      <w:pPr>
        <w:pStyle w:val="Title"/>
        <w:jc w:val="right"/>
        <w:rPr>
          <w:rFonts w:asciiTheme="minorHAnsi" w:hAnsiTheme="minorHAnsi" w:cstheme="minorHAnsi"/>
          <w:b/>
          <w:color w:val="4472C4" w:themeColor="accent1"/>
          <w:sz w:val="28"/>
          <w:szCs w:val="28"/>
        </w:rPr>
      </w:pPr>
      <w:r w:rsidRPr="00D31764">
        <w:rPr>
          <w:rFonts w:asciiTheme="minorHAnsi" w:hAnsiTheme="minorHAnsi" w:cstheme="minorHAnsi"/>
          <w:b/>
          <w:color w:val="4472C4" w:themeColor="accent1"/>
          <w:sz w:val="28"/>
          <w:szCs w:val="28"/>
        </w:rPr>
        <w:t>Microsoft Cloud Adoption Framework for Azure</w:t>
      </w:r>
      <w:r w:rsidR="00B77E55" w:rsidRPr="00D31764">
        <w:rPr>
          <w:rFonts w:asciiTheme="minorHAnsi" w:hAnsiTheme="minorHAnsi" w:cstheme="minorHAnsi"/>
          <w:b/>
          <w:color w:val="4472C4" w:themeColor="accent1"/>
          <w:sz w:val="28"/>
          <w:szCs w:val="28"/>
        </w:rPr>
        <w:t xml:space="preserve"> </w:t>
      </w:r>
    </w:p>
    <w:p w14:paraId="096F67CA" w14:textId="45878110" w:rsidR="00B77E55" w:rsidRPr="00B77E55" w:rsidRDefault="00B77E55" w:rsidP="00B77E55">
      <w:pPr>
        <w:pStyle w:val="Title"/>
        <w:jc w:val="right"/>
        <w:rPr>
          <w:rFonts w:asciiTheme="minorHAnsi" w:hAnsiTheme="minorHAnsi" w:cstheme="minorHAnsi"/>
          <w:b/>
          <w:color w:val="4472C4" w:themeColor="accent1"/>
          <w:sz w:val="72"/>
        </w:rPr>
      </w:pPr>
      <w:r w:rsidRPr="00B77E55">
        <w:rPr>
          <w:rFonts w:asciiTheme="minorHAnsi" w:hAnsiTheme="minorHAnsi" w:cstheme="minorHAnsi"/>
          <w:b/>
          <w:color w:val="4472C4" w:themeColor="accent1"/>
          <w:sz w:val="72"/>
        </w:rPr>
        <w:t>Cloud Governance</w:t>
      </w:r>
    </w:p>
    <w:p w14:paraId="11ED6CC7" w14:textId="6AD357DD" w:rsidR="00AC1D48" w:rsidRPr="00B77E55" w:rsidRDefault="00281443" w:rsidP="00B77E55">
      <w:pPr>
        <w:pStyle w:val="Title"/>
        <w:jc w:val="right"/>
        <w:rPr>
          <w:rFonts w:asciiTheme="minorHAnsi" w:hAnsiTheme="minorHAnsi" w:cstheme="minorHAnsi"/>
          <w:color w:val="4472C4" w:themeColor="accent1"/>
          <w:sz w:val="72"/>
        </w:rPr>
      </w:pPr>
      <w:r>
        <w:rPr>
          <w:rFonts w:asciiTheme="minorHAnsi" w:hAnsiTheme="minorHAnsi" w:cstheme="minorHAnsi"/>
          <w:color w:val="4472C4" w:themeColor="accent1"/>
          <w:sz w:val="72"/>
        </w:rPr>
        <w:t>Identity Baseline</w:t>
      </w:r>
      <w:r w:rsidR="00B77E55" w:rsidRPr="00B77E55">
        <w:rPr>
          <w:rFonts w:asciiTheme="minorHAnsi" w:hAnsiTheme="minorHAnsi" w:cstheme="minorHAnsi"/>
          <w:color w:val="4472C4" w:themeColor="accent1"/>
          <w:sz w:val="72"/>
        </w:rPr>
        <w:t xml:space="preserve"> Discipline</w:t>
      </w:r>
    </w:p>
    <w:p w14:paraId="5C72D134" w14:textId="4743A38F" w:rsidR="00B77E55" w:rsidRDefault="00B77E55" w:rsidP="00B77E55">
      <w:pPr>
        <w:pStyle w:val="Title"/>
        <w:jc w:val="right"/>
        <w:rPr>
          <w:rFonts w:asciiTheme="minorHAnsi" w:hAnsiTheme="minorHAnsi" w:cstheme="minorHAnsi"/>
          <w:color w:val="4472C4" w:themeColor="accent1"/>
        </w:rPr>
      </w:pPr>
      <w:r>
        <w:rPr>
          <w:rFonts w:asciiTheme="minorHAnsi" w:hAnsiTheme="minorHAnsi" w:cstheme="minorHAnsi"/>
          <w:color w:val="4472C4" w:themeColor="accent1"/>
        </w:rPr>
        <w:t>Policy Statements and Design Guidance</w:t>
      </w:r>
    </w:p>
    <w:p w14:paraId="3BD09999" w14:textId="77777777" w:rsidR="00B77E55" w:rsidRDefault="00B77E55" w:rsidP="00B77E55"/>
    <w:p w14:paraId="4CA15707" w14:textId="77777777" w:rsidR="00B77E55" w:rsidRDefault="00B77E55" w:rsidP="00B77E55"/>
    <w:p w14:paraId="64947637" w14:textId="1EE4372F" w:rsidR="00B77E55" w:rsidRDefault="00F60D4B" w:rsidP="00B77E55">
      <w:pPr>
        <w:jc w:val="right"/>
      </w:pPr>
      <w:r>
        <w:t>The document outlines the policy statements, design guidance, and processes</w:t>
      </w:r>
      <w:r w:rsidR="00B77E55">
        <w:t xml:space="preserve"> required to </w:t>
      </w:r>
      <w:r w:rsidR="00B21053">
        <w:t xml:space="preserve">support </w:t>
      </w:r>
      <w:r w:rsidR="00522556">
        <w:t xml:space="preserve">the </w:t>
      </w:r>
      <w:r w:rsidR="00281443">
        <w:t>Identity Baseline</w:t>
      </w:r>
      <w:r w:rsidR="00522556">
        <w:t xml:space="preserve"> governance discipline </w:t>
      </w:r>
      <w:r w:rsidR="00B77E55">
        <w:t xml:space="preserve">during cloud adoption. Associated risks, tolerance, and </w:t>
      </w:r>
      <w:r w:rsidR="004D4286">
        <w:t>remediation</w:t>
      </w:r>
      <w:r w:rsidR="00B77E55">
        <w:t xml:space="preserve"> strategies </w:t>
      </w:r>
      <w:r w:rsidR="00927F2E">
        <w:t>are</w:t>
      </w:r>
      <w:r w:rsidR="00B77E55">
        <w:t xml:space="preserve"> included for reference.</w:t>
      </w:r>
    </w:p>
    <w:p w14:paraId="2E88118B" w14:textId="77777777" w:rsidR="00B77E55" w:rsidRDefault="00B77E55" w:rsidP="00B77E55">
      <w:pPr>
        <w:jc w:val="right"/>
        <w:rPr>
          <w:b/>
        </w:rPr>
      </w:pPr>
    </w:p>
    <w:p w14:paraId="3515DB1C" w14:textId="77777777" w:rsidR="00B77E55" w:rsidRDefault="00B77E55" w:rsidP="00B77E55">
      <w:pPr>
        <w:jc w:val="right"/>
        <w:rPr>
          <w:b/>
        </w:rPr>
      </w:pPr>
    </w:p>
    <w:p w14:paraId="2283A44E" w14:textId="77777777" w:rsidR="00B77E55" w:rsidRDefault="00B77E55" w:rsidP="00B77E55">
      <w:pPr>
        <w:jc w:val="right"/>
        <w:rPr>
          <w:b/>
        </w:rPr>
      </w:pPr>
    </w:p>
    <w:p w14:paraId="2F4303BA" w14:textId="77777777" w:rsidR="00B77E55" w:rsidRDefault="00B77E55" w:rsidP="00B77E55">
      <w:pPr>
        <w:jc w:val="right"/>
        <w:rPr>
          <w:b/>
        </w:rPr>
      </w:pPr>
    </w:p>
    <w:p w14:paraId="38F2C3AC" w14:textId="77777777" w:rsidR="00B77E55" w:rsidRDefault="00B77E55" w:rsidP="00B77E55">
      <w:pPr>
        <w:jc w:val="right"/>
        <w:rPr>
          <w:b/>
        </w:rPr>
      </w:pPr>
    </w:p>
    <w:p w14:paraId="544973CD" w14:textId="77777777" w:rsidR="00B77E55" w:rsidRDefault="00B77E55" w:rsidP="00B77E55">
      <w:pPr>
        <w:jc w:val="right"/>
        <w:rPr>
          <w:b/>
        </w:rPr>
      </w:pPr>
      <w:r w:rsidRPr="00B77E55">
        <w:rPr>
          <w:b/>
        </w:rPr>
        <w:t>Author</w:t>
      </w:r>
      <w:r>
        <w:rPr>
          <w:b/>
        </w:rPr>
        <w:t>(s)</w:t>
      </w:r>
      <w:r w:rsidRPr="00B77E55">
        <w:rPr>
          <w:b/>
        </w:rPr>
        <w:t>:</w:t>
      </w:r>
      <w:r w:rsidRPr="00B77E55">
        <w:t xml:space="preserve"> &lt;Update Author&gt;</w:t>
      </w:r>
    </w:p>
    <w:p w14:paraId="20EC62E8" w14:textId="48D1936A" w:rsidR="00B77E55" w:rsidRDefault="00B77E55" w:rsidP="00B77E55">
      <w:pPr>
        <w:jc w:val="right"/>
      </w:pPr>
      <w:r>
        <w:rPr>
          <w:b/>
        </w:rPr>
        <w:t xml:space="preserve">Date Published: </w:t>
      </w:r>
      <w:proofErr w:type="gramStart"/>
      <w:r w:rsidRPr="00B77E55">
        <w:t>0</w:t>
      </w:r>
      <w:r w:rsidR="008A24F1">
        <w:t>3</w:t>
      </w:r>
      <w:r w:rsidRPr="00B77E55">
        <w:t>/</w:t>
      </w:r>
      <w:r w:rsidR="008A24F1">
        <w:t>3</w:t>
      </w:r>
      <w:r w:rsidRPr="00B77E55">
        <w:t>/2019</w:t>
      </w:r>
      <w:proofErr w:type="gramEnd"/>
    </w:p>
    <w:p w14:paraId="279B132F" w14:textId="77777777" w:rsidR="00B77E55" w:rsidRDefault="00B77E55">
      <w:r>
        <w:br w:type="page"/>
      </w:r>
    </w:p>
    <w:p w14:paraId="5A2999C9" w14:textId="7F908242" w:rsidR="00D97B6A" w:rsidRDefault="00D97B6A"/>
    <w:sdt>
      <w:sdtPr>
        <w:rPr>
          <w:rFonts w:asciiTheme="minorHAnsi" w:eastAsiaTheme="minorHAnsi" w:hAnsiTheme="minorHAnsi" w:cstheme="minorBidi"/>
          <w:color w:val="auto"/>
          <w:sz w:val="22"/>
          <w:szCs w:val="22"/>
        </w:rPr>
        <w:id w:val="69941075"/>
        <w:docPartObj>
          <w:docPartGallery w:val="Table of Contents"/>
          <w:docPartUnique/>
        </w:docPartObj>
      </w:sdtPr>
      <w:sdtEndPr>
        <w:rPr>
          <w:b/>
          <w:bCs/>
          <w:noProof/>
        </w:rPr>
      </w:sdtEndPr>
      <w:sdtContent>
        <w:p w14:paraId="08FDA3D1" w14:textId="77777777" w:rsidR="00D97B6A" w:rsidRDefault="00D97B6A">
          <w:pPr>
            <w:pStyle w:val="TOCHeading"/>
          </w:pPr>
          <w:r>
            <w:t>Contents</w:t>
          </w:r>
        </w:p>
        <w:p w14:paraId="7A076256" w14:textId="14878375" w:rsidR="00CC3DC4" w:rsidRDefault="00D97B6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782560" w:history="1">
            <w:r w:rsidR="00CC3DC4" w:rsidRPr="00E87894">
              <w:rPr>
                <w:rStyle w:val="Hyperlink"/>
                <w:noProof/>
              </w:rPr>
              <w:t>How to use this template</w:t>
            </w:r>
            <w:r w:rsidR="00CC3DC4">
              <w:rPr>
                <w:noProof/>
                <w:webHidden/>
              </w:rPr>
              <w:tab/>
            </w:r>
            <w:r w:rsidR="00CC3DC4">
              <w:rPr>
                <w:noProof/>
                <w:webHidden/>
              </w:rPr>
              <w:fldChar w:fldCharType="begin"/>
            </w:r>
            <w:r w:rsidR="00CC3DC4">
              <w:rPr>
                <w:noProof/>
                <w:webHidden/>
              </w:rPr>
              <w:instrText xml:space="preserve"> PAGEREF _Toc2782560 \h </w:instrText>
            </w:r>
            <w:r w:rsidR="00CC3DC4">
              <w:rPr>
                <w:noProof/>
                <w:webHidden/>
              </w:rPr>
            </w:r>
            <w:r w:rsidR="00CC3DC4">
              <w:rPr>
                <w:noProof/>
                <w:webHidden/>
              </w:rPr>
              <w:fldChar w:fldCharType="separate"/>
            </w:r>
            <w:r w:rsidR="00CC3DC4">
              <w:rPr>
                <w:noProof/>
                <w:webHidden/>
              </w:rPr>
              <w:t>1</w:t>
            </w:r>
            <w:r w:rsidR="00CC3DC4">
              <w:rPr>
                <w:noProof/>
                <w:webHidden/>
              </w:rPr>
              <w:fldChar w:fldCharType="end"/>
            </w:r>
          </w:hyperlink>
        </w:p>
        <w:p w14:paraId="08546C97" w14:textId="4EF931DE" w:rsidR="00CC3DC4" w:rsidRDefault="00000000">
          <w:pPr>
            <w:pStyle w:val="TOC1"/>
            <w:tabs>
              <w:tab w:val="right" w:leader="dot" w:pos="9350"/>
            </w:tabs>
            <w:rPr>
              <w:rFonts w:eastAsiaTheme="minorEastAsia"/>
              <w:noProof/>
            </w:rPr>
          </w:pPr>
          <w:hyperlink w:anchor="_Toc2782561" w:history="1">
            <w:r w:rsidR="00CC3DC4" w:rsidRPr="00E87894">
              <w:rPr>
                <w:rStyle w:val="Hyperlink"/>
                <w:noProof/>
              </w:rPr>
              <w:t>Executive Summary</w:t>
            </w:r>
            <w:r w:rsidR="00CC3DC4">
              <w:rPr>
                <w:noProof/>
                <w:webHidden/>
              </w:rPr>
              <w:tab/>
            </w:r>
            <w:r w:rsidR="00CC3DC4">
              <w:rPr>
                <w:noProof/>
                <w:webHidden/>
              </w:rPr>
              <w:fldChar w:fldCharType="begin"/>
            </w:r>
            <w:r w:rsidR="00CC3DC4">
              <w:rPr>
                <w:noProof/>
                <w:webHidden/>
              </w:rPr>
              <w:instrText xml:space="preserve"> PAGEREF _Toc2782561 \h </w:instrText>
            </w:r>
            <w:r w:rsidR="00CC3DC4">
              <w:rPr>
                <w:noProof/>
                <w:webHidden/>
              </w:rPr>
            </w:r>
            <w:r w:rsidR="00CC3DC4">
              <w:rPr>
                <w:noProof/>
                <w:webHidden/>
              </w:rPr>
              <w:fldChar w:fldCharType="separate"/>
            </w:r>
            <w:r w:rsidR="00CC3DC4">
              <w:rPr>
                <w:noProof/>
                <w:webHidden/>
              </w:rPr>
              <w:t>3</w:t>
            </w:r>
            <w:r w:rsidR="00CC3DC4">
              <w:rPr>
                <w:noProof/>
                <w:webHidden/>
              </w:rPr>
              <w:fldChar w:fldCharType="end"/>
            </w:r>
          </w:hyperlink>
        </w:p>
        <w:p w14:paraId="29D68D56" w14:textId="6E9CCFAB" w:rsidR="00CC3DC4" w:rsidRDefault="00000000">
          <w:pPr>
            <w:pStyle w:val="TOC1"/>
            <w:tabs>
              <w:tab w:val="right" w:leader="dot" w:pos="9350"/>
            </w:tabs>
            <w:rPr>
              <w:rFonts w:eastAsiaTheme="minorEastAsia"/>
              <w:noProof/>
            </w:rPr>
          </w:pPr>
          <w:hyperlink w:anchor="_Toc2782562" w:history="1">
            <w:r w:rsidR="00CC3DC4" w:rsidRPr="00E87894">
              <w:rPr>
                <w:rStyle w:val="Hyperlink"/>
                <w:noProof/>
              </w:rPr>
              <w:t>Policy Statements</w:t>
            </w:r>
            <w:r w:rsidR="00CC3DC4">
              <w:rPr>
                <w:noProof/>
                <w:webHidden/>
              </w:rPr>
              <w:tab/>
            </w:r>
            <w:r w:rsidR="00CC3DC4">
              <w:rPr>
                <w:noProof/>
                <w:webHidden/>
              </w:rPr>
              <w:fldChar w:fldCharType="begin"/>
            </w:r>
            <w:r w:rsidR="00CC3DC4">
              <w:rPr>
                <w:noProof/>
                <w:webHidden/>
              </w:rPr>
              <w:instrText xml:space="preserve"> PAGEREF _Toc2782562 \h </w:instrText>
            </w:r>
            <w:r w:rsidR="00CC3DC4">
              <w:rPr>
                <w:noProof/>
                <w:webHidden/>
              </w:rPr>
            </w:r>
            <w:r w:rsidR="00CC3DC4">
              <w:rPr>
                <w:noProof/>
                <w:webHidden/>
              </w:rPr>
              <w:fldChar w:fldCharType="separate"/>
            </w:r>
            <w:r w:rsidR="00CC3DC4">
              <w:rPr>
                <w:noProof/>
                <w:webHidden/>
              </w:rPr>
              <w:t>3</w:t>
            </w:r>
            <w:r w:rsidR="00CC3DC4">
              <w:rPr>
                <w:noProof/>
                <w:webHidden/>
              </w:rPr>
              <w:fldChar w:fldCharType="end"/>
            </w:r>
          </w:hyperlink>
        </w:p>
        <w:p w14:paraId="26F8E3BA" w14:textId="6A302BE1" w:rsidR="00CC3DC4" w:rsidRDefault="00000000">
          <w:pPr>
            <w:pStyle w:val="TOC1"/>
            <w:tabs>
              <w:tab w:val="right" w:leader="dot" w:pos="9350"/>
            </w:tabs>
            <w:rPr>
              <w:rFonts w:eastAsiaTheme="minorEastAsia"/>
              <w:noProof/>
            </w:rPr>
          </w:pPr>
          <w:hyperlink w:anchor="_Toc2782563" w:history="1">
            <w:r w:rsidR="00CC3DC4" w:rsidRPr="00E87894">
              <w:rPr>
                <w:rStyle w:val="Hyperlink"/>
                <w:noProof/>
              </w:rPr>
              <w:t>Business Risks</w:t>
            </w:r>
            <w:r w:rsidR="00CC3DC4">
              <w:rPr>
                <w:noProof/>
                <w:webHidden/>
              </w:rPr>
              <w:tab/>
            </w:r>
            <w:r w:rsidR="00CC3DC4">
              <w:rPr>
                <w:noProof/>
                <w:webHidden/>
              </w:rPr>
              <w:fldChar w:fldCharType="begin"/>
            </w:r>
            <w:r w:rsidR="00CC3DC4">
              <w:rPr>
                <w:noProof/>
                <w:webHidden/>
              </w:rPr>
              <w:instrText xml:space="preserve"> PAGEREF _Toc2782563 \h </w:instrText>
            </w:r>
            <w:r w:rsidR="00CC3DC4">
              <w:rPr>
                <w:noProof/>
                <w:webHidden/>
              </w:rPr>
            </w:r>
            <w:r w:rsidR="00CC3DC4">
              <w:rPr>
                <w:noProof/>
                <w:webHidden/>
              </w:rPr>
              <w:fldChar w:fldCharType="separate"/>
            </w:r>
            <w:r w:rsidR="00CC3DC4">
              <w:rPr>
                <w:noProof/>
                <w:webHidden/>
              </w:rPr>
              <w:t>4</w:t>
            </w:r>
            <w:r w:rsidR="00CC3DC4">
              <w:rPr>
                <w:noProof/>
                <w:webHidden/>
              </w:rPr>
              <w:fldChar w:fldCharType="end"/>
            </w:r>
          </w:hyperlink>
        </w:p>
        <w:p w14:paraId="354514FD" w14:textId="30B88CC5" w:rsidR="00CC3DC4" w:rsidRDefault="00000000">
          <w:pPr>
            <w:pStyle w:val="TOC1"/>
            <w:tabs>
              <w:tab w:val="right" w:leader="dot" w:pos="9350"/>
            </w:tabs>
            <w:rPr>
              <w:rFonts w:eastAsiaTheme="minorEastAsia"/>
              <w:noProof/>
            </w:rPr>
          </w:pPr>
          <w:hyperlink w:anchor="_Toc2782564" w:history="1">
            <w:r w:rsidR="00CC3DC4" w:rsidRPr="00E87894">
              <w:rPr>
                <w:rStyle w:val="Hyperlink"/>
                <w:noProof/>
              </w:rPr>
              <w:t>Metrics and Indicators</w:t>
            </w:r>
            <w:r w:rsidR="00CC3DC4">
              <w:rPr>
                <w:noProof/>
                <w:webHidden/>
              </w:rPr>
              <w:tab/>
            </w:r>
            <w:r w:rsidR="00CC3DC4">
              <w:rPr>
                <w:noProof/>
                <w:webHidden/>
              </w:rPr>
              <w:fldChar w:fldCharType="begin"/>
            </w:r>
            <w:r w:rsidR="00CC3DC4">
              <w:rPr>
                <w:noProof/>
                <w:webHidden/>
              </w:rPr>
              <w:instrText xml:space="preserve"> PAGEREF _Toc2782564 \h </w:instrText>
            </w:r>
            <w:r w:rsidR="00CC3DC4">
              <w:rPr>
                <w:noProof/>
                <w:webHidden/>
              </w:rPr>
            </w:r>
            <w:r w:rsidR="00CC3DC4">
              <w:rPr>
                <w:noProof/>
                <w:webHidden/>
              </w:rPr>
              <w:fldChar w:fldCharType="separate"/>
            </w:r>
            <w:r w:rsidR="00CC3DC4">
              <w:rPr>
                <w:noProof/>
                <w:webHidden/>
              </w:rPr>
              <w:t>4</w:t>
            </w:r>
            <w:r w:rsidR="00CC3DC4">
              <w:rPr>
                <w:noProof/>
                <w:webHidden/>
              </w:rPr>
              <w:fldChar w:fldCharType="end"/>
            </w:r>
          </w:hyperlink>
        </w:p>
        <w:p w14:paraId="3642ED27" w14:textId="1DB8D67A" w:rsidR="00CC3DC4" w:rsidRDefault="00000000">
          <w:pPr>
            <w:pStyle w:val="TOC2"/>
            <w:tabs>
              <w:tab w:val="right" w:leader="dot" w:pos="9350"/>
            </w:tabs>
            <w:rPr>
              <w:rFonts w:eastAsiaTheme="minorEastAsia"/>
              <w:noProof/>
            </w:rPr>
          </w:pPr>
          <w:hyperlink w:anchor="_Toc2782565" w:history="1">
            <w:r w:rsidR="00CC3DC4" w:rsidRPr="00E87894">
              <w:rPr>
                <w:rStyle w:val="Hyperlink"/>
                <w:noProof/>
              </w:rPr>
              <w:t>Metrics</w:t>
            </w:r>
            <w:r w:rsidR="00CC3DC4">
              <w:rPr>
                <w:noProof/>
                <w:webHidden/>
              </w:rPr>
              <w:tab/>
            </w:r>
            <w:r w:rsidR="00CC3DC4">
              <w:rPr>
                <w:noProof/>
                <w:webHidden/>
              </w:rPr>
              <w:fldChar w:fldCharType="begin"/>
            </w:r>
            <w:r w:rsidR="00CC3DC4">
              <w:rPr>
                <w:noProof/>
                <w:webHidden/>
              </w:rPr>
              <w:instrText xml:space="preserve"> PAGEREF _Toc2782565 \h </w:instrText>
            </w:r>
            <w:r w:rsidR="00CC3DC4">
              <w:rPr>
                <w:noProof/>
                <w:webHidden/>
              </w:rPr>
            </w:r>
            <w:r w:rsidR="00CC3DC4">
              <w:rPr>
                <w:noProof/>
                <w:webHidden/>
              </w:rPr>
              <w:fldChar w:fldCharType="separate"/>
            </w:r>
            <w:r w:rsidR="00CC3DC4">
              <w:rPr>
                <w:noProof/>
                <w:webHidden/>
              </w:rPr>
              <w:t>4</w:t>
            </w:r>
            <w:r w:rsidR="00CC3DC4">
              <w:rPr>
                <w:noProof/>
                <w:webHidden/>
              </w:rPr>
              <w:fldChar w:fldCharType="end"/>
            </w:r>
          </w:hyperlink>
        </w:p>
        <w:p w14:paraId="4090B055" w14:textId="42BFFA10" w:rsidR="00CC3DC4" w:rsidRDefault="00000000">
          <w:pPr>
            <w:pStyle w:val="TOC2"/>
            <w:tabs>
              <w:tab w:val="right" w:leader="dot" w:pos="9350"/>
            </w:tabs>
            <w:rPr>
              <w:rFonts w:eastAsiaTheme="minorEastAsia"/>
              <w:noProof/>
            </w:rPr>
          </w:pPr>
          <w:hyperlink w:anchor="_Toc2782566" w:history="1">
            <w:r w:rsidR="00CC3DC4" w:rsidRPr="00E87894">
              <w:rPr>
                <w:rStyle w:val="Hyperlink"/>
                <w:noProof/>
              </w:rPr>
              <w:t>Indicators</w:t>
            </w:r>
            <w:r w:rsidR="00CC3DC4">
              <w:rPr>
                <w:noProof/>
                <w:webHidden/>
              </w:rPr>
              <w:tab/>
            </w:r>
            <w:r w:rsidR="00CC3DC4">
              <w:rPr>
                <w:noProof/>
                <w:webHidden/>
              </w:rPr>
              <w:fldChar w:fldCharType="begin"/>
            </w:r>
            <w:r w:rsidR="00CC3DC4">
              <w:rPr>
                <w:noProof/>
                <w:webHidden/>
              </w:rPr>
              <w:instrText xml:space="preserve"> PAGEREF _Toc2782566 \h </w:instrText>
            </w:r>
            <w:r w:rsidR="00CC3DC4">
              <w:rPr>
                <w:noProof/>
                <w:webHidden/>
              </w:rPr>
            </w:r>
            <w:r w:rsidR="00CC3DC4">
              <w:rPr>
                <w:noProof/>
                <w:webHidden/>
              </w:rPr>
              <w:fldChar w:fldCharType="separate"/>
            </w:r>
            <w:r w:rsidR="00CC3DC4">
              <w:rPr>
                <w:noProof/>
                <w:webHidden/>
              </w:rPr>
              <w:t>5</w:t>
            </w:r>
            <w:r w:rsidR="00CC3DC4">
              <w:rPr>
                <w:noProof/>
                <w:webHidden/>
              </w:rPr>
              <w:fldChar w:fldCharType="end"/>
            </w:r>
          </w:hyperlink>
        </w:p>
        <w:p w14:paraId="09C98B71" w14:textId="413FE988" w:rsidR="00CC3DC4" w:rsidRDefault="00000000">
          <w:pPr>
            <w:pStyle w:val="TOC1"/>
            <w:tabs>
              <w:tab w:val="right" w:leader="dot" w:pos="9350"/>
            </w:tabs>
            <w:rPr>
              <w:rFonts w:eastAsiaTheme="minorEastAsia"/>
              <w:noProof/>
            </w:rPr>
          </w:pPr>
          <w:hyperlink w:anchor="_Toc2782567" w:history="1">
            <w:r w:rsidR="00CC3DC4" w:rsidRPr="00E87894">
              <w:rPr>
                <w:rStyle w:val="Hyperlink"/>
                <w:noProof/>
              </w:rPr>
              <w:t>Policy compliance processes</w:t>
            </w:r>
            <w:r w:rsidR="00CC3DC4">
              <w:rPr>
                <w:noProof/>
                <w:webHidden/>
              </w:rPr>
              <w:tab/>
            </w:r>
            <w:r w:rsidR="00CC3DC4">
              <w:rPr>
                <w:noProof/>
                <w:webHidden/>
              </w:rPr>
              <w:fldChar w:fldCharType="begin"/>
            </w:r>
            <w:r w:rsidR="00CC3DC4">
              <w:rPr>
                <w:noProof/>
                <w:webHidden/>
              </w:rPr>
              <w:instrText xml:space="preserve"> PAGEREF _Toc2782567 \h </w:instrText>
            </w:r>
            <w:r w:rsidR="00CC3DC4">
              <w:rPr>
                <w:noProof/>
                <w:webHidden/>
              </w:rPr>
            </w:r>
            <w:r w:rsidR="00CC3DC4">
              <w:rPr>
                <w:noProof/>
                <w:webHidden/>
              </w:rPr>
              <w:fldChar w:fldCharType="separate"/>
            </w:r>
            <w:r w:rsidR="00CC3DC4">
              <w:rPr>
                <w:noProof/>
                <w:webHidden/>
              </w:rPr>
              <w:t>6</w:t>
            </w:r>
            <w:r w:rsidR="00CC3DC4">
              <w:rPr>
                <w:noProof/>
                <w:webHidden/>
              </w:rPr>
              <w:fldChar w:fldCharType="end"/>
            </w:r>
          </w:hyperlink>
        </w:p>
        <w:p w14:paraId="13F72A5F" w14:textId="4C02BF1F" w:rsidR="00CC3DC4" w:rsidRDefault="00000000">
          <w:pPr>
            <w:pStyle w:val="TOC2"/>
            <w:tabs>
              <w:tab w:val="right" w:leader="dot" w:pos="9350"/>
            </w:tabs>
            <w:rPr>
              <w:rFonts w:eastAsiaTheme="minorEastAsia"/>
              <w:noProof/>
            </w:rPr>
          </w:pPr>
          <w:hyperlink w:anchor="_Toc2782568" w:history="1">
            <w:r w:rsidR="00CC3DC4" w:rsidRPr="00E87894">
              <w:rPr>
                <w:rStyle w:val="Hyperlink"/>
                <w:noProof/>
              </w:rPr>
              <w:t>Planning, review, and reporting processes</w:t>
            </w:r>
            <w:r w:rsidR="00CC3DC4">
              <w:rPr>
                <w:noProof/>
                <w:webHidden/>
              </w:rPr>
              <w:tab/>
            </w:r>
            <w:r w:rsidR="00CC3DC4">
              <w:rPr>
                <w:noProof/>
                <w:webHidden/>
              </w:rPr>
              <w:fldChar w:fldCharType="begin"/>
            </w:r>
            <w:r w:rsidR="00CC3DC4">
              <w:rPr>
                <w:noProof/>
                <w:webHidden/>
              </w:rPr>
              <w:instrText xml:space="preserve"> PAGEREF _Toc2782568 \h </w:instrText>
            </w:r>
            <w:r w:rsidR="00CC3DC4">
              <w:rPr>
                <w:noProof/>
                <w:webHidden/>
              </w:rPr>
            </w:r>
            <w:r w:rsidR="00CC3DC4">
              <w:rPr>
                <w:noProof/>
                <w:webHidden/>
              </w:rPr>
              <w:fldChar w:fldCharType="separate"/>
            </w:r>
            <w:r w:rsidR="00CC3DC4">
              <w:rPr>
                <w:noProof/>
                <w:webHidden/>
              </w:rPr>
              <w:t>6</w:t>
            </w:r>
            <w:r w:rsidR="00CC3DC4">
              <w:rPr>
                <w:noProof/>
                <w:webHidden/>
              </w:rPr>
              <w:fldChar w:fldCharType="end"/>
            </w:r>
          </w:hyperlink>
        </w:p>
        <w:p w14:paraId="0C213A75" w14:textId="468C0E68" w:rsidR="00CC3DC4" w:rsidRDefault="00000000">
          <w:pPr>
            <w:pStyle w:val="TOC2"/>
            <w:tabs>
              <w:tab w:val="right" w:leader="dot" w:pos="9350"/>
            </w:tabs>
            <w:rPr>
              <w:rFonts w:eastAsiaTheme="minorEastAsia"/>
              <w:noProof/>
            </w:rPr>
          </w:pPr>
          <w:hyperlink w:anchor="_Toc2782569" w:history="1">
            <w:r w:rsidR="00CC3DC4" w:rsidRPr="00E87894">
              <w:rPr>
                <w:rStyle w:val="Hyperlink"/>
                <w:rFonts w:cstheme="minorHAnsi"/>
                <w:noProof/>
              </w:rPr>
              <w:t>Ongoing monitoring</w:t>
            </w:r>
            <w:r w:rsidR="00CC3DC4">
              <w:rPr>
                <w:noProof/>
                <w:webHidden/>
              </w:rPr>
              <w:tab/>
            </w:r>
            <w:r w:rsidR="00CC3DC4">
              <w:rPr>
                <w:noProof/>
                <w:webHidden/>
              </w:rPr>
              <w:fldChar w:fldCharType="begin"/>
            </w:r>
            <w:r w:rsidR="00CC3DC4">
              <w:rPr>
                <w:noProof/>
                <w:webHidden/>
              </w:rPr>
              <w:instrText xml:space="preserve"> PAGEREF _Toc2782569 \h </w:instrText>
            </w:r>
            <w:r w:rsidR="00CC3DC4">
              <w:rPr>
                <w:noProof/>
                <w:webHidden/>
              </w:rPr>
            </w:r>
            <w:r w:rsidR="00CC3DC4">
              <w:rPr>
                <w:noProof/>
                <w:webHidden/>
              </w:rPr>
              <w:fldChar w:fldCharType="separate"/>
            </w:r>
            <w:r w:rsidR="00CC3DC4">
              <w:rPr>
                <w:noProof/>
                <w:webHidden/>
              </w:rPr>
              <w:t>7</w:t>
            </w:r>
            <w:r w:rsidR="00CC3DC4">
              <w:rPr>
                <w:noProof/>
                <w:webHidden/>
              </w:rPr>
              <w:fldChar w:fldCharType="end"/>
            </w:r>
          </w:hyperlink>
        </w:p>
        <w:p w14:paraId="71CC59F7" w14:textId="587C4556" w:rsidR="00CC3DC4" w:rsidRDefault="00000000">
          <w:pPr>
            <w:pStyle w:val="TOC2"/>
            <w:tabs>
              <w:tab w:val="right" w:leader="dot" w:pos="9350"/>
            </w:tabs>
            <w:rPr>
              <w:rFonts w:eastAsiaTheme="minorEastAsia"/>
              <w:noProof/>
            </w:rPr>
          </w:pPr>
          <w:hyperlink w:anchor="_Toc2782570" w:history="1">
            <w:r w:rsidR="00CC3DC4" w:rsidRPr="00E87894">
              <w:rPr>
                <w:rStyle w:val="Hyperlink"/>
                <w:noProof/>
              </w:rPr>
              <w:t>Violation Triggers and Enforcement Actions</w:t>
            </w:r>
            <w:r w:rsidR="00CC3DC4">
              <w:rPr>
                <w:noProof/>
                <w:webHidden/>
              </w:rPr>
              <w:tab/>
            </w:r>
            <w:r w:rsidR="00CC3DC4">
              <w:rPr>
                <w:noProof/>
                <w:webHidden/>
              </w:rPr>
              <w:fldChar w:fldCharType="begin"/>
            </w:r>
            <w:r w:rsidR="00CC3DC4">
              <w:rPr>
                <w:noProof/>
                <w:webHidden/>
              </w:rPr>
              <w:instrText xml:space="preserve"> PAGEREF _Toc2782570 \h </w:instrText>
            </w:r>
            <w:r w:rsidR="00CC3DC4">
              <w:rPr>
                <w:noProof/>
                <w:webHidden/>
              </w:rPr>
            </w:r>
            <w:r w:rsidR="00CC3DC4">
              <w:rPr>
                <w:noProof/>
                <w:webHidden/>
              </w:rPr>
              <w:fldChar w:fldCharType="separate"/>
            </w:r>
            <w:r w:rsidR="00CC3DC4">
              <w:rPr>
                <w:noProof/>
                <w:webHidden/>
              </w:rPr>
              <w:t>7</w:t>
            </w:r>
            <w:r w:rsidR="00CC3DC4">
              <w:rPr>
                <w:noProof/>
                <w:webHidden/>
              </w:rPr>
              <w:fldChar w:fldCharType="end"/>
            </w:r>
          </w:hyperlink>
        </w:p>
        <w:p w14:paraId="47A4532A" w14:textId="40874FA0" w:rsidR="00CC3DC4" w:rsidRDefault="00000000">
          <w:pPr>
            <w:pStyle w:val="TOC1"/>
            <w:tabs>
              <w:tab w:val="right" w:leader="dot" w:pos="9350"/>
            </w:tabs>
            <w:rPr>
              <w:rFonts w:eastAsiaTheme="minorEastAsia"/>
              <w:noProof/>
            </w:rPr>
          </w:pPr>
          <w:hyperlink w:anchor="_Toc2782571" w:history="1">
            <w:r w:rsidR="00CC3DC4" w:rsidRPr="00E87894">
              <w:rPr>
                <w:rStyle w:val="Hyperlink"/>
                <w:noProof/>
              </w:rPr>
              <w:t>Toolchain</w:t>
            </w:r>
            <w:r w:rsidR="00CC3DC4">
              <w:rPr>
                <w:noProof/>
                <w:webHidden/>
              </w:rPr>
              <w:tab/>
            </w:r>
            <w:r w:rsidR="00CC3DC4">
              <w:rPr>
                <w:noProof/>
                <w:webHidden/>
              </w:rPr>
              <w:fldChar w:fldCharType="begin"/>
            </w:r>
            <w:r w:rsidR="00CC3DC4">
              <w:rPr>
                <w:noProof/>
                <w:webHidden/>
              </w:rPr>
              <w:instrText xml:space="preserve"> PAGEREF _Toc2782571 \h </w:instrText>
            </w:r>
            <w:r w:rsidR="00CC3DC4">
              <w:rPr>
                <w:noProof/>
                <w:webHidden/>
              </w:rPr>
            </w:r>
            <w:r w:rsidR="00CC3DC4">
              <w:rPr>
                <w:noProof/>
                <w:webHidden/>
              </w:rPr>
              <w:fldChar w:fldCharType="separate"/>
            </w:r>
            <w:r w:rsidR="00CC3DC4">
              <w:rPr>
                <w:noProof/>
                <w:webHidden/>
              </w:rPr>
              <w:t>8</w:t>
            </w:r>
            <w:r w:rsidR="00CC3DC4">
              <w:rPr>
                <w:noProof/>
                <w:webHidden/>
              </w:rPr>
              <w:fldChar w:fldCharType="end"/>
            </w:r>
          </w:hyperlink>
        </w:p>
        <w:p w14:paraId="0617449C" w14:textId="5EE4766E" w:rsidR="00CC3DC4" w:rsidRDefault="00000000">
          <w:pPr>
            <w:pStyle w:val="TOC2"/>
            <w:tabs>
              <w:tab w:val="right" w:leader="dot" w:pos="9350"/>
            </w:tabs>
            <w:rPr>
              <w:rFonts w:eastAsiaTheme="minorEastAsia"/>
              <w:noProof/>
            </w:rPr>
          </w:pPr>
          <w:hyperlink w:anchor="_Toc2782572" w:history="1">
            <w:r w:rsidR="00CC3DC4" w:rsidRPr="00E87894">
              <w:rPr>
                <w:rStyle w:val="Hyperlink"/>
                <w:noProof/>
              </w:rPr>
              <w:t>Azure Specific Tooling</w:t>
            </w:r>
            <w:r w:rsidR="00CC3DC4">
              <w:rPr>
                <w:noProof/>
                <w:webHidden/>
              </w:rPr>
              <w:tab/>
            </w:r>
            <w:r w:rsidR="00CC3DC4">
              <w:rPr>
                <w:noProof/>
                <w:webHidden/>
              </w:rPr>
              <w:fldChar w:fldCharType="begin"/>
            </w:r>
            <w:r w:rsidR="00CC3DC4">
              <w:rPr>
                <w:noProof/>
                <w:webHidden/>
              </w:rPr>
              <w:instrText xml:space="preserve"> PAGEREF _Toc2782572 \h </w:instrText>
            </w:r>
            <w:r w:rsidR="00CC3DC4">
              <w:rPr>
                <w:noProof/>
                <w:webHidden/>
              </w:rPr>
            </w:r>
            <w:r w:rsidR="00CC3DC4">
              <w:rPr>
                <w:noProof/>
                <w:webHidden/>
              </w:rPr>
              <w:fldChar w:fldCharType="separate"/>
            </w:r>
            <w:r w:rsidR="00CC3DC4">
              <w:rPr>
                <w:noProof/>
                <w:webHidden/>
              </w:rPr>
              <w:t>8</w:t>
            </w:r>
            <w:r w:rsidR="00CC3DC4">
              <w:rPr>
                <w:noProof/>
                <w:webHidden/>
              </w:rPr>
              <w:fldChar w:fldCharType="end"/>
            </w:r>
          </w:hyperlink>
        </w:p>
        <w:p w14:paraId="45AFB9B0" w14:textId="46A88639" w:rsidR="00CC3DC4" w:rsidRDefault="00000000">
          <w:pPr>
            <w:pStyle w:val="TOC2"/>
            <w:tabs>
              <w:tab w:val="right" w:leader="dot" w:pos="9350"/>
            </w:tabs>
            <w:rPr>
              <w:rFonts w:eastAsiaTheme="minorEastAsia"/>
              <w:noProof/>
            </w:rPr>
          </w:pPr>
          <w:hyperlink w:anchor="_Toc2782573" w:history="1">
            <w:r w:rsidR="00CC3DC4" w:rsidRPr="00E87894">
              <w:rPr>
                <w:rStyle w:val="Hyperlink"/>
                <w:noProof/>
              </w:rPr>
              <w:t>Tooling for other Cloud Providers</w:t>
            </w:r>
            <w:r w:rsidR="00CC3DC4">
              <w:rPr>
                <w:noProof/>
                <w:webHidden/>
              </w:rPr>
              <w:tab/>
            </w:r>
            <w:r w:rsidR="00CC3DC4">
              <w:rPr>
                <w:noProof/>
                <w:webHidden/>
              </w:rPr>
              <w:fldChar w:fldCharType="begin"/>
            </w:r>
            <w:r w:rsidR="00CC3DC4">
              <w:rPr>
                <w:noProof/>
                <w:webHidden/>
              </w:rPr>
              <w:instrText xml:space="preserve"> PAGEREF _Toc2782573 \h </w:instrText>
            </w:r>
            <w:r w:rsidR="00CC3DC4">
              <w:rPr>
                <w:noProof/>
                <w:webHidden/>
              </w:rPr>
            </w:r>
            <w:r w:rsidR="00CC3DC4">
              <w:rPr>
                <w:noProof/>
                <w:webHidden/>
              </w:rPr>
              <w:fldChar w:fldCharType="separate"/>
            </w:r>
            <w:r w:rsidR="00CC3DC4">
              <w:rPr>
                <w:noProof/>
                <w:webHidden/>
              </w:rPr>
              <w:t>8</w:t>
            </w:r>
            <w:r w:rsidR="00CC3DC4">
              <w:rPr>
                <w:noProof/>
                <w:webHidden/>
              </w:rPr>
              <w:fldChar w:fldCharType="end"/>
            </w:r>
          </w:hyperlink>
        </w:p>
        <w:p w14:paraId="42093986" w14:textId="3719F637" w:rsidR="00D97B6A" w:rsidRDefault="00D97B6A">
          <w:r>
            <w:rPr>
              <w:b/>
              <w:bCs/>
              <w:noProof/>
            </w:rPr>
            <w:fldChar w:fldCharType="end"/>
          </w:r>
        </w:p>
      </w:sdtContent>
    </w:sdt>
    <w:p w14:paraId="76F090EF" w14:textId="77777777" w:rsidR="00D97B6A" w:rsidRDefault="00D97B6A" w:rsidP="00D97B6A">
      <w:pPr>
        <w:pStyle w:val="Heading1"/>
      </w:pPr>
      <w:bookmarkStart w:id="1" w:name="_Toc2782561"/>
      <w:r>
        <w:t>Executive Summary</w:t>
      </w:r>
      <w:bookmarkEnd w:id="1"/>
    </w:p>
    <w:p w14:paraId="05F51711" w14:textId="241CAD88" w:rsidR="00D97B6A" w:rsidRDefault="00655C5B" w:rsidP="00540608">
      <w:r w:rsidRPr="00655C5B">
        <w:t>Cloud identity services are intended to expand an organization's authentication and access control capabilities to the internet</w:t>
      </w:r>
      <w:r w:rsidR="00AA6D7A">
        <w:t xml:space="preserve"> </w:t>
      </w:r>
      <w:r w:rsidRPr="00655C5B">
        <w:t xml:space="preserve">and </w:t>
      </w:r>
      <w:r w:rsidR="00AA6D7A">
        <w:t xml:space="preserve">are </w:t>
      </w:r>
      <w:r w:rsidRPr="00655C5B">
        <w:t xml:space="preserve">used to manage users and access </w:t>
      </w:r>
      <w:proofErr w:type="gramStart"/>
      <w:r w:rsidRPr="00655C5B">
        <w:t>policy</w:t>
      </w:r>
      <w:proofErr w:type="gramEnd"/>
      <w:r w:rsidRPr="00655C5B">
        <w:t xml:space="preserve"> across cloud applications and deployments. </w:t>
      </w:r>
      <w:r w:rsidR="00540608">
        <w:t>C</w:t>
      </w:r>
      <w:r w:rsidRPr="00655C5B">
        <w:t>loud-native identity services are capable of varying levels of integration with existing on-premises identity solutions</w:t>
      </w:r>
      <w:r w:rsidR="00540608">
        <w:t xml:space="preserve">, which </w:t>
      </w:r>
      <w:r w:rsidRPr="00655C5B">
        <w:t>can result in cloud identity policy being more complicated than traditional on-premises solutions require.</w:t>
      </w:r>
      <w:r>
        <w:t xml:space="preserve"> </w:t>
      </w:r>
      <w:r w:rsidR="00D774AC" w:rsidRPr="00D774AC">
        <w:t>This document identifies and determines the business’s tolerance for risks, and outlines efforts to remediate these risks. The result is a series of policy statements that should guide the architecture of any solutions deployed to the cloud.</w:t>
      </w:r>
    </w:p>
    <w:p w14:paraId="795762A6" w14:textId="6337F1C7" w:rsidR="007C0911" w:rsidRDefault="00075B22">
      <w:proofErr w:type="gramStart"/>
      <w:r>
        <w:t>This</w:t>
      </w:r>
      <w:proofErr w:type="gramEnd"/>
      <w:r>
        <w:t xml:space="preserve"> policies and guidance in this document </w:t>
      </w:r>
      <w:proofErr w:type="gramStart"/>
      <w:r w:rsidR="0041081A">
        <w:t>has</w:t>
      </w:r>
      <w:proofErr w:type="gramEnd"/>
      <w:r w:rsidR="0041081A">
        <w:t xml:space="preserve"> been developed in conjunction with the </w:t>
      </w:r>
      <w:r w:rsidR="00506AF8">
        <w:t xml:space="preserve">governance </w:t>
      </w:r>
      <w:r w:rsidR="0041081A">
        <w:t xml:space="preserve">best practices documented in the </w:t>
      </w:r>
      <w:hyperlink r:id="rId14" w:history="1">
        <w:r w:rsidR="00506AF8">
          <w:rPr>
            <w:rStyle w:val="Hyperlink"/>
          </w:rPr>
          <w:t>Microsoft Cloud Adoption Framework for Azure (CAF)</w:t>
        </w:r>
      </w:hyperlink>
      <w:r w:rsidR="0041081A">
        <w:t>.</w:t>
      </w:r>
    </w:p>
    <w:p w14:paraId="2870818D" w14:textId="77777777" w:rsidR="007C0911" w:rsidRDefault="007C0911" w:rsidP="007C0911">
      <w:pPr>
        <w:pStyle w:val="Heading1"/>
      </w:pPr>
      <w:bookmarkStart w:id="2" w:name="_Toc2782562"/>
      <w:r>
        <w:t>Policy Statements</w:t>
      </w:r>
      <w:bookmarkEnd w:id="2"/>
    </w:p>
    <w:p w14:paraId="7F26D2D0" w14:textId="45A26A0B" w:rsidR="007C0911" w:rsidRDefault="007C0911" w:rsidP="007C0911">
      <w:r>
        <w:t xml:space="preserve">The following statements should guide </w:t>
      </w:r>
      <w:r w:rsidR="00112639">
        <w:t xml:space="preserve">cloud adoption </w:t>
      </w:r>
      <w:r>
        <w:t xml:space="preserve">architecture decisions to ensure compliance with governance efforts related to </w:t>
      </w:r>
      <w:r w:rsidR="00B5314A">
        <w:t xml:space="preserve">the </w:t>
      </w:r>
      <w:r w:rsidR="00281443">
        <w:t>Identity Baseline</w:t>
      </w:r>
      <w:r w:rsidR="00B5314A">
        <w:t xml:space="preserve"> </w:t>
      </w:r>
      <w:r>
        <w:t xml:space="preserve">discipline. For additional examples of relevant policy statements, see the </w:t>
      </w:r>
      <w:r w:rsidR="000F32C1">
        <w:t xml:space="preserve"> </w:t>
      </w:r>
      <w:hyperlink r:id="rId15" w:history="1">
        <w:r w:rsidR="000F32C1">
          <w:rPr>
            <w:rStyle w:val="Hyperlink"/>
          </w:rPr>
          <w:t>governance theory section of CAF</w:t>
        </w:r>
      </w:hyperlink>
      <w:r>
        <w:t>.</w:t>
      </w:r>
    </w:p>
    <w:p w14:paraId="1EEF7CB6" w14:textId="77777777" w:rsidR="00F9507C" w:rsidRDefault="00F9507C" w:rsidP="00F9507C">
      <w:r w:rsidRPr="00F9507C">
        <w:rPr>
          <w:b/>
        </w:rPr>
        <w:t>Lack of access controls</w:t>
      </w:r>
      <w:r>
        <w:t>: All assets deployed to the cloud should be controlled using identities and RBAC roles approved by current governance policies.</w:t>
      </w:r>
    </w:p>
    <w:p w14:paraId="649008F6" w14:textId="77777777" w:rsidR="00F9507C" w:rsidRDefault="00F9507C" w:rsidP="00F9507C">
      <w:r w:rsidRPr="00F9507C">
        <w:rPr>
          <w:b/>
        </w:rPr>
        <w:t>Weak authentication mechanisms</w:t>
      </w:r>
      <w:r>
        <w:t xml:space="preserve">: All accounts are required to login to </w:t>
      </w:r>
      <w:proofErr w:type="gramStart"/>
      <w:r>
        <w:t>secured</w:t>
      </w:r>
      <w:proofErr w:type="gramEnd"/>
      <w:r>
        <w:t xml:space="preserve"> resources using a multi-factor authentication (MFA) method.</w:t>
      </w:r>
    </w:p>
    <w:p w14:paraId="0F72788A" w14:textId="5FCA1C34" w:rsidR="00374739" w:rsidRPr="007C0911" w:rsidRDefault="00F9507C" w:rsidP="00F9507C">
      <w:r w:rsidRPr="00F9507C">
        <w:rPr>
          <w:b/>
        </w:rPr>
        <w:lastRenderedPageBreak/>
        <w:t>Lack of shared management accounts between on-premises and the cloud</w:t>
      </w:r>
      <w:r>
        <w:t xml:space="preserve">: All groups in the on-premises Active Directory infrastructure that have elevated privileges should be mapped to an approved </w:t>
      </w:r>
      <w:r w:rsidR="00A10190">
        <w:t xml:space="preserve">Microsoft </w:t>
      </w:r>
      <w:proofErr w:type="spellStart"/>
      <w:r w:rsidR="00A10190">
        <w:t>Entra</w:t>
      </w:r>
      <w:proofErr w:type="spellEnd"/>
      <w:r w:rsidR="00A10190">
        <w:t xml:space="preserve"> ID</w:t>
      </w:r>
      <w:r>
        <w:t xml:space="preserve"> RBAC role.</w:t>
      </w:r>
    </w:p>
    <w:p w14:paraId="49FE3FEE" w14:textId="386857E5" w:rsidR="00D97B6A" w:rsidRDefault="00D97B6A" w:rsidP="00D97B6A">
      <w:pPr>
        <w:pStyle w:val="Heading1"/>
      </w:pPr>
      <w:bookmarkStart w:id="3" w:name="_Toc2782563"/>
      <w:r>
        <w:t>Business Risks</w:t>
      </w:r>
      <w:bookmarkEnd w:id="3"/>
    </w:p>
    <w:p w14:paraId="39E7705E" w14:textId="04794F66" w:rsidR="00D97B6A" w:rsidRDefault="00D97B6A" w:rsidP="00B77E55">
      <w:r>
        <w:t xml:space="preserve">The following </w:t>
      </w:r>
      <w:r w:rsidR="00281443">
        <w:t>Identity</w:t>
      </w:r>
      <w:r>
        <w:t xml:space="preserve"> related business risks have been identified as concerns based on the current plans for cloud adoption.</w:t>
      </w:r>
      <w:r w:rsidR="0041081A">
        <w:t xml:space="preserve"> For additional examples of relevant business risks, see the </w:t>
      </w:r>
      <w:hyperlink r:id="rId16" w:history="1">
        <w:r w:rsidR="000F32C1">
          <w:rPr>
            <w:rStyle w:val="Hyperlink"/>
          </w:rPr>
          <w:t>governance theory section of CAF</w:t>
        </w:r>
      </w:hyperlink>
      <w:r w:rsidR="0041081A">
        <w:t>.</w:t>
      </w:r>
    </w:p>
    <w:tbl>
      <w:tblPr>
        <w:tblStyle w:val="GridTable1Light"/>
        <w:tblW w:w="0" w:type="auto"/>
        <w:tblLook w:val="04A0" w:firstRow="1" w:lastRow="0" w:firstColumn="1" w:lastColumn="0" w:noHBand="0" w:noVBand="1"/>
      </w:tblPr>
      <w:tblGrid>
        <w:gridCol w:w="2336"/>
        <w:gridCol w:w="3147"/>
        <w:gridCol w:w="1530"/>
        <w:gridCol w:w="2337"/>
      </w:tblGrid>
      <w:tr w:rsidR="00D97B6A" w14:paraId="40AB96C0" w14:textId="77777777" w:rsidTr="00CA6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CE96FE" w14:textId="77777777" w:rsidR="00D97B6A" w:rsidRDefault="00D97B6A" w:rsidP="00B77E55">
            <w:r>
              <w:t>Risk</w:t>
            </w:r>
          </w:p>
        </w:tc>
        <w:tc>
          <w:tcPr>
            <w:tcW w:w="3148" w:type="dxa"/>
          </w:tcPr>
          <w:p w14:paraId="56838E1A"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Description</w:t>
            </w:r>
          </w:p>
        </w:tc>
        <w:tc>
          <w:tcPr>
            <w:tcW w:w="1527" w:type="dxa"/>
          </w:tcPr>
          <w:p w14:paraId="0FEF50CB" w14:textId="77777777" w:rsidR="00D97B6A" w:rsidRDefault="0041081A" w:rsidP="00B77E55">
            <w:pPr>
              <w:cnfStyle w:val="100000000000" w:firstRow="1" w:lastRow="0" w:firstColumn="0" w:lastColumn="0" w:oddVBand="0" w:evenVBand="0" w:oddHBand="0" w:evenHBand="0" w:firstRowFirstColumn="0" w:firstRowLastColumn="0" w:lastRowFirstColumn="0" w:lastRowLastColumn="0"/>
            </w:pPr>
            <w:r>
              <w:t>Indicators</w:t>
            </w:r>
          </w:p>
        </w:tc>
        <w:tc>
          <w:tcPr>
            <w:tcW w:w="2338" w:type="dxa"/>
          </w:tcPr>
          <w:p w14:paraId="6AFB2AF3"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Resolution</w:t>
            </w:r>
          </w:p>
        </w:tc>
      </w:tr>
      <w:tr w:rsidR="00C77A6C" w14:paraId="48580360" w14:textId="77777777" w:rsidTr="00CA6B7F">
        <w:tc>
          <w:tcPr>
            <w:cnfStyle w:val="001000000000" w:firstRow="0" w:lastRow="0" w:firstColumn="1" w:lastColumn="0" w:oddVBand="0" w:evenVBand="0" w:oddHBand="0" w:evenHBand="0" w:firstRowFirstColumn="0" w:firstRowLastColumn="0" w:lastRowFirstColumn="0" w:lastRowLastColumn="0"/>
            <w:tcW w:w="2337" w:type="dxa"/>
          </w:tcPr>
          <w:p w14:paraId="11C321F0" w14:textId="101B0313" w:rsidR="00C77A6C" w:rsidRDefault="00C77A6C" w:rsidP="00C77A6C">
            <w:r w:rsidRPr="00B3528F">
              <w:rPr>
                <w:rStyle w:val="Strong"/>
                <w:rFonts w:ascii="Segoe UI" w:hAnsi="Segoe UI" w:cs="Segoe UI"/>
                <w:color w:val="000000"/>
              </w:rPr>
              <w:t>Unauthorized access</w:t>
            </w:r>
          </w:p>
        </w:tc>
        <w:tc>
          <w:tcPr>
            <w:tcW w:w="3148" w:type="dxa"/>
          </w:tcPr>
          <w:p w14:paraId="05F9B408" w14:textId="7628D101" w:rsidR="00C77A6C" w:rsidRDefault="00C77A6C" w:rsidP="00C77A6C">
            <w:pPr>
              <w:cnfStyle w:val="000000000000" w:firstRow="0" w:lastRow="0" w:firstColumn="0" w:lastColumn="0" w:oddVBand="0" w:evenVBand="0" w:oddHBand="0" w:evenHBand="0" w:firstRowFirstColumn="0" w:firstRowLastColumn="0" w:lastRowFirstColumn="0" w:lastRowLastColumn="0"/>
            </w:pPr>
            <w:r w:rsidRPr="00B3528F">
              <w:t>Sensitive data and resources that can be accessed by unauthorized users can lead to data leaks or service disruptions, violating security perimeter</w:t>
            </w:r>
            <w:r w:rsidR="00FE0B1A">
              <w:t>s</w:t>
            </w:r>
            <w:r w:rsidRPr="00B3528F">
              <w:t xml:space="preserve"> and risking business or legal liabilities.</w:t>
            </w:r>
          </w:p>
        </w:tc>
        <w:tc>
          <w:tcPr>
            <w:tcW w:w="1527" w:type="dxa"/>
          </w:tcPr>
          <w:p w14:paraId="577C4117" w14:textId="1F13C1EF" w:rsidR="00C77A6C" w:rsidRDefault="00935931" w:rsidP="00C77A6C">
            <w:pPr>
              <w:cnfStyle w:val="000000000000" w:firstRow="0" w:lastRow="0" w:firstColumn="0" w:lastColumn="0" w:oddVBand="0" w:evenVBand="0" w:oddHBand="0" w:evenHBand="0" w:firstRowFirstColumn="0" w:firstRowLastColumn="0" w:lastRowFirstColumn="0" w:lastRowLastColumn="0"/>
            </w:pPr>
            <w:r>
              <w:t>Current</w:t>
            </w:r>
          </w:p>
        </w:tc>
        <w:tc>
          <w:tcPr>
            <w:tcW w:w="2338" w:type="dxa"/>
          </w:tcPr>
          <w:p w14:paraId="54D9F34F" w14:textId="5D07BA45" w:rsidR="00C77A6C" w:rsidRDefault="00BA3373" w:rsidP="00C77A6C">
            <w:pPr>
              <w:cnfStyle w:val="000000000000" w:firstRow="0" w:lastRow="0" w:firstColumn="0" w:lastColumn="0" w:oddVBand="0" w:evenVBand="0" w:oddHBand="0" w:evenHBand="0" w:firstRowFirstColumn="0" w:firstRowLastColumn="0" w:lastRowFirstColumn="0" w:lastRowLastColumn="0"/>
            </w:pPr>
            <w:r>
              <w:t>Policy Statements enforced</w:t>
            </w:r>
          </w:p>
        </w:tc>
      </w:tr>
      <w:tr w:rsidR="00D31E46" w14:paraId="57C52CDF" w14:textId="77777777" w:rsidTr="00CA6B7F">
        <w:tc>
          <w:tcPr>
            <w:cnfStyle w:val="001000000000" w:firstRow="0" w:lastRow="0" w:firstColumn="1" w:lastColumn="0" w:oddVBand="0" w:evenVBand="0" w:oddHBand="0" w:evenHBand="0" w:firstRowFirstColumn="0" w:firstRowLastColumn="0" w:lastRowFirstColumn="0" w:lastRowLastColumn="0"/>
            <w:tcW w:w="2337" w:type="dxa"/>
          </w:tcPr>
          <w:p w14:paraId="7386665E" w14:textId="68897CF5" w:rsidR="00D31E46" w:rsidRDefault="00D31E46" w:rsidP="00D31E46">
            <w:r w:rsidRPr="00B3528F">
              <w:rPr>
                <w:rStyle w:val="Strong"/>
                <w:rFonts w:ascii="Segoe UI" w:hAnsi="Segoe UI" w:cs="Segoe UI"/>
                <w:color w:val="000000"/>
              </w:rPr>
              <w:t>On-premises identity dependencies</w:t>
            </w:r>
          </w:p>
        </w:tc>
        <w:tc>
          <w:tcPr>
            <w:tcW w:w="3148" w:type="dxa"/>
          </w:tcPr>
          <w:p w14:paraId="061224F4" w14:textId="7D8BBE08" w:rsidR="00D31E46" w:rsidRDefault="00D31E46" w:rsidP="00D31E46">
            <w:pPr>
              <w:cnfStyle w:val="000000000000" w:firstRow="0" w:lastRow="0" w:firstColumn="0" w:lastColumn="0" w:oddVBand="0" w:evenVBand="0" w:oddHBand="0" w:evenHBand="0" w:firstRowFirstColumn="0" w:firstRowLastColumn="0" w:lastRowFirstColumn="0" w:lastRowLastColumn="0"/>
            </w:pPr>
            <w:r w:rsidRPr="00B3528F">
              <w:t xml:space="preserve">Legacy authentication mechanisms or third-party multi-factor authentication might not be available in the cloud, requiring either migrating workloads to be retooled, or additional identity services to be deployed to the cloud. Either requirement could delay or prevent </w:t>
            </w:r>
            <w:proofErr w:type="gramStart"/>
            <w:r w:rsidRPr="00B3528F">
              <w:t>migration, and</w:t>
            </w:r>
            <w:proofErr w:type="gramEnd"/>
            <w:r w:rsidRPr="00B3528F">
              <w:t xml:space="preserve"> increase costs.</w:t>
            </w:r>
          </w:p>
        </w:tc>
        <w:tc>
          <w:tcPr>
            <w:tcW w:w="1527" w:type="dxa"/>
          </w:tcPr>
          <w:p w14:paraId="01206169" w14:textId="5ADDBACF" w:rsidR="00D31E46" w:rsidRDefault="00B018D8" w:rsidP="00D31E46">
            <w:pPr>
              <w:cnfStyle w:val="000000000000" w:firstRow="0" w:lastRow="0" w:firstColumn="0" w:lastColumn="0" w:oddVBand="0" w:evenVBand="0" w:oddHBand="0" w:evenHBand="0" w:firstRowFirstColumn="0" w:firstRowLastColumn="0" w:lastRowFirstColumn="0" w:lastRowLastColumn="0"/>
            </w:pPr>
            <w:r>
              <w:t>Cloud workloads dependent on legacy authentication mechanisms</w:t>
            </w:r>
          </w:p>
        </w:tc>
        <w:tc>
          <w:tcPr>
            <w:tcW w:w="2338" w:type="dxa"/>
          </w:tcPr>
          <w:p w14:paraId="5245B888" w14:textId="542A7FE5" w:rsidR="00D31E46" w:rsidRDefault="009B1B97" w:rsidP="00D31E46">
            <w:pPr>
              <w:cnfStyle w:val="000000000000" w:firstRow="0" w:lastRow="0" w:firstColumn="0" w:lastColumn="0" w:oddVBand="0" w:evenVBand="0" w:oddHBand="0" w:evenHBand="0" w:firstRowFirstColumn="0" w:firstRowLastColumn="0" w:lastRowFirstColumn="0" w:lastRowLastColumn="0"/>
            </w:pPr>
            <w:r>
              <w:t>Policy statements drafted but not enforced</w:t>
            </w:r>
          </w:p>
        </w:tc>
      </w:tr>
      <w:tr w:rsidR="00D31E46" w14:paraId="594AAE09" w14:textId="77777777" w:rsidTr="00CA6B7F">
        <w:tc>
          <w:tcPr>
            <w:cnfStyle w:val="001000000000" w:firstRow="0" w:lastRow="0" w:firstColumn="1" w:lastColumn="0" w:oddVBand="0" w:evenVBand="0" w:oddHBand="0" w:evenHBand="0" w:firstRowFirstColumn="0" w:firstRowLastColumn="0" w:lastRowFirstColumn="0" w:lastRowLastColumn="0"/>
            <w:tcW w:w="2337" w:type="dxa"/>
          </w:tcPr>
          <w:p w14:paraId="6A00A960" w14:textId="60B5C3FE" w:rsidR="00D31E46" w:rsidRPr="00B3528F" w:rsidRDefault="00D31E46" w:rsidP="00D31E46">
            <w:pPr>
              <w:rPr>
                <w:rStyle w:val="Strong"/>
                <w:rFonts w:ascii="Segoe UI" w:hAnsi="Segoe UI" w:cs="Segoe UI"/>
                <w:color w:val="000000"/>
              </w:rPr>
            </w:pPr>
            <w:r w:rsidRPr="00B3528F">
              <w:rPr>
                <w:rStyle w:val="Strong"/>
                <w:rFonts w:ascii="Segoe UI" w:hAnsi="Segoe UI" w:cs="Segoe UI"/>
                <w:color w:val="000000"/>
              </w:rPr>
              <w:t>Inefficiency due to multiple identity solutions</w:t>
            </w:r>
          </w:p>
        </w:tc>
        <w:tc>
          <w:tcPr>
            <w:tcW w:w="3148" w:type="dxa"/>
          </w:tcPr>
          <w:p w14:paraId="366EAE3A" w14:textId="10454096" w:rsidR="00D31E46" w:rsidRPr="00B3528F" w:rsidRDefault="00D31E46" w:rsidP="00D31E46">
            <w:pPr>
              <w:cnfStyle w:val="000000000000" w:firstRow="0" w:lastRow="0" w:firstColumn="0" w:lastColumn="0" w:oddVBand="0" w:evenVBand="0" w:oddHBand="0" w:evenHBand="0" w:firstRowFirstColumn="0" w:firstRowLastColumn="0" w:lastRowFirstColumn="0" w:lastRowLastColumn="0"/>
            </w:pPr>
            <w:r w:rsidRPr="00B3528F">
              <w:t xml:space="preserve">Organizations with multiple </w:t>
            </w:r>
            <w:r w:rsidR="001B5194">
              <w:t>directories</w:t>
            </w:r>
            <w:r w:rsidRPr="00B3528F">
              <w:t xml:space="preserve"> can require multiple accounts for users. This can lead to inefficiency for users who need to remember multiple sets of credentials and for IT in managing accounts across multiple systems</w:t>
            </w:r>
            <w:r w:rsidR="00E8433F">
              <w:t>.</w:t>
            </w:r>
          </w:p>
        </w:tc>
        <w:tc>
          <w:tcPr>
            <w:tcW w:w="1527" w:type="dxa"/>
          </w:tcPr>
          <w:p w14:paraId="4F1EC58E" w14:textId="4D88FC80" w:rsidR="00D31E46" w:rsidRDefault="00385882" w:rsidP="00D31E46">
            <w:pPr>
              <w:cnfStyle w:val="000000000000" w:firstRow="0" w:lastRow="0" w:firstColumn="0" w:lastColumn="0" w:oddVBand="0" w:evenVBand="0" w:oddHBand="0" w:evenHBand="0" w:firstRowFirstColumn="0" w:firstRowLastColumn="0" w:lastRowFirstColumn="0" w:lastRowLastColumn="0"/>
            </w:pPr>
            <w:r>
              <w:t xml:space="preserve">More than 3 </w:t>
            </w:r>
            <w:r w:rsidR="00C84D16">
              <w:t xml:space="preserve">deployed </w:t>
            </w:r>
            <w:r>
              <w:t>Active D</w:t>
            </w:r>
            <w:r w:rsidR="00C84D16">
              <w:t>irector</w:t>
            </w:r>
            <w:r>
              <w:t>y</w:t>
            </w:r>
            <w:r w:rsidR="009403AE">
              <w:t xml:space="preserve"> Domains</w:t>
            </w:r>
          </w:p>
        </w:tc>
        <w:tc>
          <w:tcPr>
            <w:tcW w:w="2338" w:type="dxa"/>
          </w:tcPr>
          <w:p w14:paraId="6A8DB44C" w14:textId="7EEAB3F6" w:rsidR="00D31E46" w:rsidRDefault="00E8433F" w:rsidP="00D31E46">
            <w:pPr>
              <w:cnfStyle w:val="000000000000" w:firstRow="0" w:lastRow="0" w:firstColumn="0" w:lastColumn="0" w:oddVBand="0" w:evenVBand="0" w:oddHBand="0" w:evenHBand="0" w:firstRowFirstColumn="0" w:firstRowLastColumn="0" w:lastRowFirstColumn="0" w:lastRowLastColumn="0"/>
            </w:pPr>
            <w:r>
              <w:t>Policy statements drafted but not enforced</w:t>
            </w:r>
          </w:p>
        </w:tc>
      </w:tr>
    </w:tbl>
    <w:p w14:paraId="4446CAE8" w14:textId="77777777" w:rsidR="00D97B6A" w:rsidRDefault="00D97B6A" w:rsidP="00B77E55"/>
    <w:p w14:paraId="6AE30DE8" w14:textId="77777777" w:rsidR="0041081A" w:rsidRDefault="0041081A" w:rsidP="0041081A">
      <w:pPr>
        <w:pStyle w:val="Heading1"/>
      </w:pPr>
      <w:bookmarkStart w:id="4" w:name="_Toc2782564"/>
      <w:r>
        <w:t>Metrics and Indicators</w:t>
      </w:r>
      <w:bookmarkEnd w:id="4"/>
    </w:p>
    <w:p w14:paraId="23995F24" w14:textId="4EB795A7" w:rsidR="0041081A" w:rsidRDefault="0041081A" w:rsidP="0041081A">
      <w:r>
        <w:t xml:space="preserve">The following are key metrics and indicators that will guide the resolution or mitigation of business risks. For additional examples of relevant metrics or indicators, see </w:t>
      </w:r>
      <w:r w:rsidR="00ED3398">
        <w:t xml:space="preserve">the </w:t>
      </w:r>
      <w:hyperlink r:id="rId17" w:history="1">
        <w:r w:rsidR="00ED3398">
          <w:rPr>
            <w:rStyle w:val="Hyperlink"/>
          </w:rPr>
          <w:t>governance theory section of CAF</w:t>
        </w:r>
      </w:hyperlink>
      <w:r>
        <w:t>.</w:t>
      </w:r>
    </w:p>
    <w:p w14:paraId="4DE3A43F" w14:textId="77777777" w:rsidR="0041081A" w:rsidRDefault="0041081A" w:rsidP="0041081A">
      <w:pPr>
        <w:pStyle w:val="Heading2"/>
      </w:pPr>
      <w:bookmarkStart w:id="5" w:name="_Toc2782565"/>
      <w:r>
        <w:t>Metrics</w:t>
      </w:r>
      <w:bookmarkEnd w:id="5"/>
    </w:p>
    <w:p w14:paraId="3120D942" w14:textId="537D394E" w:rsidR="0041081A" w:rsidRDefault="0041081A" w:rsidP="0041081A">
      <w:r>
        <w:t xml:space="preserve">This governance discipline attempts to govern </w:t>
      </w:r>
      <w:r w:rsidR="00783ED8">
        <w:t>or</w:t>
      </w:r>
      <w:r>
        <w:t xml:space="preserve"> improve the following key metrics.</w:t>
      </w:r>
    </w:p>
    <w:p w14:paraId="04444E6E" w14:textId="1ECB704F" w:rsidR="007D2FE3" w:rsidRDefault="007D2FE3" w:rsidP="007D2FE3">
      <w:pPr>
        <w:pStyle w:val="ListParagraph"/>
        <w:numPr>
          <w:ilvl w:val="0"/>
          <w:numId w:val="1"/>
        </w:numPr>
      </w:pPr>
      <w:r>
        <w:t xml:space="preserve">Overall size of directory services infrastructure: Number of directory forests, domains, and tenants used by </w:t>
      </w:r>
      <w:r w:rsidR="004254DF">
        <w:t>the</w:t>
      </w:r>
      <w:r>
        <w:t xml:space="preserve"> organization.</w:t>
      </w:r>
    </w:p>
    <w:p w14:paraId="4B8188CF" w14:textId="19236F0C" w:rsidR="007D2FE3" w:rsidRDefault="007D2FE3" w:rsidP="007D2FE3">
      <w:pPr>
        <w:pStyle w:val="ListParagraph"/>
        <w:numPr>
          <w:ilvl w:val="0"/>
          <w:numId w:val="1"/>
        </w:numPr>
      </w:pPr>
      <w:r>
        <w:lastRenderedPageBreak/>
        <w:t xml:space="preserve">Dependency on legacy or on-premises authentication mechanisms: </w:t>
      </w:r>
      <w:r w:rsidR="00B018D8">
        <w:t xml:space="preserve">Cloud deployed </w:t>
      </w:r>
      <w:r>
        <w:t xml:space="preserve">workloads </w:t>
      </w:r>
      <w:r w:rsidR="00B018D8">
        <w:t xml:space="preserve">are </w:t>
      </w:r>
      <w:r>
        <w:t xml:space="preserve">dependent on legacy authentication mechanisms or </w:t>
      </w:r>
      <w:r w:rsidR="001B5194">
        <w:t>third-party</w:t>
      </w:r>
      <w:r>
        <w:t xml:space="preserve"> multi-factor authentication (MFA) services.</w:t>
      </w:r>
    </w:p>
    <w:p w14:paraId="436A458A" w14:textId="77777777" w:rsidR="007D2FE3" w:rsidRDefault="007D2FE3" w:rsidP="007D2FE3">
      <w:pPr>
        <w:pStyle w:val="ListParagraph"/>
        <w:numPr>
          <w:ilvl w:val="0"/>
          <w:numId w:val="1"/>
        </w:numPr>
      </w:pPr>
      <w:r>
        <w:t>Elevated users: Number of user accounts with elevated access to resources or management tools.</w:t>
      </w:r>
    </w:p>
    <w:p w14:paraId="5EFA9EE4" w14:textId="77777777" w:rsidR="007D2FE3" w:rsidRDefault="007D2FE3" w:rsidP="007D2FE3">
      <w:pPr>
        <w:pStyle w:val="ListParagraph"/>
        <w:numPr>
          <w:ilvl w:val="0"/>
          <w:numId w:val="1"/>
        </w:numPr>
      </w:pPr>
      <w:r>
        <w:t>Use of RBAC: Number of subscriptions, resource groups, or individual resources not managed through role-based access control (RBAC).</w:t>
      </w:r>
    </w:p>
    <w:p w14:paraId="739DAB07" w14:textId="4FAE6FE9" w:rsidR="00BB3D48" w:rsidRDefault="007D2FE3" w:rsidP="007D2FE3">
      <w:pPr>
        <w:pStyle w:val="ListParagraph"/>
        <w:numPr>
          <w:ilvl w:val="0"/>
          <w:numId w:val="1"/>
        </w:numPr>
      </w:pPr>
      <w:r>
        <w:t>Compromised accounts: Number of user accounts that have been compromised.</w:t>
      </w:r>
    </w:p>
    <w:p w14:paraId="02B71D23" w14:textId="77777777" w:rsidR="00BB3D48" w:rsidRDefault="00BB3D48" w:rsidP="00BB3D48">
      <w:pPr>
        <w:pStyle w:val="Heading2"/>
      </w:pPr>
      <w:bookmarkStart w:id="6" w:name="_Toc2782566"/>
      <w:r>
        <w:t>Indicators</w:t>
      </w:r>
      <w:bookmarkEnd w:id="6"/>
    </w:p>
    <w:p w14:paraId="45E58947" w14:textId="77777777" w:rsidR="00BB3D48" w:rsidRDefault="00BB3D48" w:rsidP="00BB3D48">
      <w:r>
        <w:t>The following indicators will trigger changes in policy statements based on changes in metrics and other conditions.</w:t>
      </w:r>
    </w:p>
    <w:p w14:paraId="2B86747B" w14:textId="49592DD3" w:rsidR="00D55CAB" w:rsidRDefault="00D55CAB" w:rsidP="00DD6178">
      <w:pPr>
        <w:pStyle w:val="ListParagraph"/>
        <w:numPr>
          <w:ilvl w:val="0"/>
          <w:numId w:val="3"/>
        </w:numPr>
      </w:pPr>
      <w:r w:rsidRPr="00D55CAB">
        <w:t>Current: Current state of metrics. Any policy statements listed as current should be actively enforced.</w:t>
      </w:r>
    </w:p>
    <w:p w14:paraId="3B758944" w14:textId="5A554D06" w:rsidR="00743C33" w:rsidRPr="00743C33" w:rsidRDefault="00743C33" w:rsidP="00DD6178">
      <w:pPr>
        <w:pStyle w:val="ListParagraph"/>
        <w:numPr>
          <w:ilvl w:val="0"/>
          <w:numId w:val="3"/>
        </w:numPr>
      </w:pPr>
      <w:r w:rsidRPr="00743C33">
        <w:t>Elevated access</w:t>
      </w:r>
      <w:r>
        <w:t>:</w:t>
      </w:r>
      <w:r w:rsidRPr="00743C33">
        <w:t xml:space="preserve"> </w:t>
      </w:r>
      <w:r w:rsidR="00D32FA2">
        <w:t xml:space="preserve">If </w:t>
      </w:r>
      <w:r w:rsidRPr="00743C33">
        <w:t xml:space="preserve">more than </w:t>
      </w:r>
      <w:r w:rsidR="00D32FA2">
        <w:t>15</w:t>
      </w:r>
      <w:r w:rsidRPr="00743C33">
        <w:t xml:space="preserve">% of users </w:t>
      </w:r>
      <w:r w:rsidR="00D32FA2">
        <w:t xml:space="preserve">have </w:t>
      </w:r>
      <w:r w:rsidRPr="00743C33">
        <w:t xml:space="preserve">elevated permissions to management tools and </w:t>
      </w:r>
      <w:proofErr w:type="gramStart"/>
      <w:r w:rsidRPr="00743C33">
        <w:t xml:space="preserve">resources </w:t>
      </w:r>
      <w:r w:rsidR="00840526">
        <w:t>will</w:t>
      </w:r>
      <w:proofErr w:type="gramEnd"/>
      <w:r w:rsidR="00840526">
        <w:t xml:space="preserve"> require </w:t>
      </w:r>
      <w:r w:rsidR="0065326D">
        <w:t>polic</w:t>
      </w:r>
      <w:r w:rsidR="00840526">
        <w:t>ies</w:t>
      </w:r>
      <w:r w:rsidR="0065326D">
        <w:t xml:space="preserve"> to </w:t>
      </w:r>
      <w:r w:rsidR="001E74CA">
        <w:t>limit overprovisioning of access</w:t>
      </w:r>
      <w:r w:rsidR="008B4635">
        <w:t>.</w:t>
      </w:r>
    </w:p>
    <w:p w14:paraId="76FB8902" w14:textId="0E40A997" w:rsidR="00DD6178" w:rsidRDefault="008B4635" w:rsidP="00DD6178">
      <w:pPr>
        <w:pStyle w:val="ListParagraph"/>
        <w:numPr>
          <w:ilvl w:val="0"/>
          <w:numId w:val="3"/>
        </w:numPr>
      </w:pPr>
      <w:r>
        <w:t xml:space="preserve">RBAC: </w:t>
      </w:r>
      <w:r w:rsidR="003D40A5">
        <w:t>I</w:t>
      </w:r>
      <w:r>
        <w:t xml:space="preserve">f fewer than 75% of resources </w:t>
      </w:r>
      <w:r w:rsidR="003D40A5">
        <w:t xml:space="preserve">are using role-based access control </w:t>
      </w:r>
      <w:r w:rsidR="00F77809">
        <w:t xml:space="preserve">methods, </w:t>
      </w:r>
      <w:r w:rsidR="00DE38A8">
        <w:t xml:space="preserve">policy statements </w:t>
      </w:r>
      <w:r w:rsidR="00BC1B3D">
        <w:t xml:space="preserve">requiring </w:t>
      </w:r>
      <w:r w:rsidR="003F6885">
        <w:t xml:space="preserve">RBAC </w:t>
      </w:r>
      <w:r w:rsidR="00BC1B3D">
        <w:t xml:space="preserve">on all resources </w:t>
      </w:r>
      <w:r w:rsidR="003F6885">
        <w:t xml:space="preserve">will be </w:t>
      </w:r>
      <w:r w:rsidR="00BC1B3D">
        <w:t>created</w:t>
      </w:r>
      <w:r w:rsidR="003F6885">
        <w:t>.</w:t>
      </w:r>
    </w:p>
    <w:p w14:paraId="39525E2E" w14:textId="60915E68" w:rsidR="00BC1B3D" w:rsidRDefault="00486847" w:rsidP="00DD6178">
      <w:pPr>
        <w:pStyle w:val="ListParagraph"/>
        <w:numPr>
          <w:ilvl w:val="0"/>
          <w:numId w:val="3"/>
        </w:numPr>
      </w:pPr>
      <w:r w:rsidRPr="00486847">
        <w:t>Authentication failure</w:t>
      </w:r>
      <w:r w:rsidR="00C802AE">
        <w:t>s:</w:t>
      </w:r>
      <w:r w:rsidRPr="00486847">
        <w:t xml:space="preserve"> </w:t>
      </w:r>
      <w:r w:rsidR="00C802AE">
        <w:t xml:space="preserve">If </w:t>
      </w:r>
      <w:r w:rsidRPr="00486847">
        <w:t xml:space="preserve">authentication failures represent more than </w:t>
      </w:r>
      <w:r w:rsidR="00C802AE">
        <w:t>15</w:t>
      </w:r>
      <w:r w:rsidRPr="00486847">
        <w:t>% of attempts</w:t>
      </w:r>
      <w:r w:rsidR="002340B4">
        <w:t>,</w:t>
      </w:r>
      <w:r w:rsidR="008045A0">
        <w:t xml:space="preserve"> polic</w:t>
      </w:r>
      <w:r w:rsidR="000D0706">
        <w:t>ies</w:t>
      </w:r>
      <w:r w:rsidR="008045A0">
        <w:t xml:space="preserve"> </w:t>
      </w:r>
      <w:r w:rsidR="000D0706">
        <w:t xml:space="preserve">are </w:t>
      </w:r>
      <w:r w:rsidR="008045A0">
        <w:t>require</w:t>
      </w:r>
      <w:r w:rsidR="000D0706">
        <w:t>d</w:t>
      </w:r>
      <w:r w:rsidR="00B95B2D">
        <w:t xml:space="preserve"> to </w:t>
      </w:r>
      <w:proofErr w:type="gramStart"/>
      <w:r w:rsidR="00B95B2D">
        <w:t xml:space="preserve">ensure </w:t>
      </w:r>
      <w:r w:rsidR="008045A0">
        <w:t xml:space="preserve"> </w:t>
      </w:r>
      <w:r w:rsidR="00172B93">
        <w:t>IT</w:t>
      </w:r>
      <w:proofErr w:type="gramEnd"/>
      <w:r w:rsidR="00172B93">
        <w:t xml:space="preserve"> investigate</w:t>
      </w:r>
      <w:r w:rsidR="00B95B2D">
        <w:t>s</w:t>
      </w:r>
      <w:r w:rsidR="00172B93">
        <w:t xml:space="preserve"> </w:t>
      </w:r>
      <w:r w:rsidRPr="00486847">
        <w:t>that authentication methods are not under external attack, and that users are able to use authentication methods correctly.</w:t>
      </w:r>
    </w:p>
    <w:p w14:paraId="326428B6" w14:textId="56330725" w:rsidR="00C87288" w:rsidRPr="00C87288" w:rsidRDefault="00CB5D1D" w:rsidP="00DD6178">
      <w:pPr>
        <w:pStyle w:val="ListParagraph"/>
        <w:numPr>
          <w:ilvl w:val="0"/>
          <w:numId w:val="3"/>
        </w:numPr>
      </w:pPr>
      <w:r>
        <w:t>Directory services complexity</w:t>
      </w:r>
      <w:r w:rsidR="00761DFD">
        <w:t>:</w:t>
      </w:r>
      <w:r w:rsidR="00C87288" w:rsidRPr="00C87288">
        <w:t xml:space="preserve"> </w:t>
      </w:r>
      <w:r w:rsidR="00C87288">
        <w:t xml:space="preserve">If </w:t>
      </w:r>
      <w:r w:rsidR="001512A4">
        <w:t xml:space="preserve">more than </w:t>
      </w:r>
      <w:r w:rsidR="00761DFD">
        <w:t xml:space="preserve">3 </w:t>
      </w:r>
      <w:r w:rsidR="00C57528">
        <w:t xml:space="preserve">forests, domains, or directory tenants are used </w:t>
      </w:r>
      <w:r w:rsidR="001512A4">
        <w:t xml:space="preserve">to provide cloud-based directory services, </w:t>
      </w:r>
      <w:r w:rsidR="00B95B2D">
        <w:t xml:space="preserve">policies are required </w:t>
      </w:r>
      <w:r w:rsidR="002E750B">
        <w:t xml:space="preserve">to ensure </w:t>
      </w:r>
      <w:r w:rsidR="00483E6F">
        <w:t xml:space="preserve">directory </w:t>
      </w:r>
      <w:r w:rsidR="00C57528">
        <w:t>synchroniz</w:t>
      </w:r>
      <w:r w:rsidR="00483E6F">
        <w:t xml:space="preserve">ation </w:t>
      </w:r>
      <w:r w:rsidR="002E750B">
        <w:t xml:space="preserve">allowing for </w:t>
      </w:r>
      <w:r w:rsidR="00483E6F">
        <w:t>common credentials between directories</w:t>
      </w:r>
      <w:r w:rsidR="00C87288" w:rsidRPr="00C87288">
        <w:t>.</w:t>
      </w:r>
    </w:p>
    <w:p w14:paraId="47F557BD" w14:textId="77777777" w:rsidR="00C539D2" w:rsidRPr="00486847" w:rsidRDefault="00C539D2" w:rsidP="00D93ADF">
      <w:pPr>
        <w:pStyle w:val="ListParagraph"/>
      </w:pPr>
    </w:p>
    <w:p w14:paraId="2A4D45EE" w14:textId="77777777" w:rsidR="003F6885" w:rsidRPr="00D55CAB" w:rsidRDefault="003F6885" w:rsidP="00C802AE">
      <w:pPr>
        <w:ind w:left="720"/>
        <w:contextualSpacing/>
      </w:pPr>
    </w:p>
    <w:p w14:paraId="386DBE95" w14:textId="77777777" w:rsidR="003609AA" w:rsidRDefault="003609AA">
      <w:pPr>
        <w:rPr>
          <w:rFonts w:asciiTheme="majorHAnsi" w:eastAsiaTheme="majorEastAsia" w:hAnsiTheme="majorHAnsi" w:cstheme="majorBidi"/>
          <w:color w:val="2F5496" w:themeColor="accent1" w:themeShade="BF"/>
          <w:sz w:val="32"/>
          <w:szCs w:val="32"/>
        </w:rPr>
      </w:pPr>
      <w:r>
        <w:br w:type="page"/>
      </w:r>
    </w:p>
    <w:p w14:paraId="65352DE6" w14:textId="283453EF" w:rsidR="0041081A" w:rsidRDefault="00980F2E" w:rsidP="00BB3D48">
      <w:pPr>
        <w:pStyle w:val="Heading1"/>
      </w:pPr>
      <w:bookmarkStart w:id="7" w:name="_Toc2782567"/>
      <w:r>
        <w:lastRenderedPageBreak/>
        <w:t xml:space="preserve">Policy </w:t>
      </w:r>
      <w:r w:rsidR="00FF1F15">
        <w:t>compliance processes</w:t>
      </w:r>
      <w:bookmarkEnd w:id="7"/>
    </w:p>
    <w:p w14:paraId="23013F16" w14:textId="46952975" w:rsidR="00405D74" w:rsidRDefault="00405D74" w:rsidP="00405D74">
      <w:r>
        <w:t xml:space="preserve">The following section outlines the processes that will ensure cloud deployments remain in compliance with </w:t>
      </w:r>
      <w:r w:rsidR="00281443">
        <w:t>Identity Baseline</w:t>
      </w:r>
      <w:r>
        <w:t xml:space="preserve"> policies. This includes an overview of the planning, review and reporting processes performed by the Cloud Governance team, as well as the ongoing monitoring and enforcement processes that </w:t>
      </w:r>
      <w:r w:rsidRPr="009C711B">
        <w:t xml:space="preserve">can be automated or supplemented with tooling </w:t>
      </w:r>
      <w:r>
        <w:t xml:space="preserve">to </w:t>
      </w:r>
      <w:r w:rsidRPr="009C711B">
        <w:t>allow for faster response to policy deviation.</w:t>
      </w:r>
    </w:p>
    <w:p w14:paraId="01DDFC3F" w14:textId="79B24280" w:rsidR="00405D74" w:rsidRDefault="00405D74" w:rsidP="00405D74">
      <w:r>
        <w:t xml:space="preserve">For additional examples of relevant policy compliance processes, see the </w:t>
      </w:r>
      <w:hyperlink r:id="rId18" w:history="1">
        <w:r>
          <w:rPr>
            <w:rStyle w:val="Hyperlink"/>
          </w:rPr>
          <w:t>governance theory section of CAF</w:t>
        </w:r>
      </w:hyperlink>
      <w:r>
        <w:t>.</w:t>
      </w:r>
    </w:p>
    <w:p w14:paraId="4DB8F173" w14:textId="2E211680" w:rsidR="00BB3D48" w:rsidRDefault="00CF0274" w:rsidP="00BB3D48">
      <w:pPr>
        <w:pStyle w:val="Heading2"/>
      </w:pPr>
      <w:bookmarkStart w:id="8" w:name="_Toc2782568"/>
      <w:r>
        <w:t>Planning</w:t>
      </w:r>
      <w:r w:rsidR="0080386C">
        <w:t>, review, and reporting processes</w:t>
      </w:r>
      <w:bookmarkEnd w:id="8"/>
    </w:p>
    <w:p w14:paraId="2E632AC4" w14:textId="29E058DC" w:rsidR="00C3570A" w:rsidRDefault="00C3570A" w:rsidP="00C3570A">
      <w:r w:rsidRPr="00652ACD">
        <w:rPr>
          <w:rStyle w:val="IntenseEmphasis"/>
        </w:rPr>
        <w:t>Initial risk assessment and planning</w:t>
      </w:r>
      <w:r>
        <w:t xml:space="preserve">: As part of </w:t>
      </w:r>
      <w:r w:rsidR="004254DF">
        <w:t>the</w:t>
      </w:r>
      <w:r>
        <w:t xml:space="preserve"> initial adoption of the Identity Baseline discipline, </w:t>
      </w:r>
      <w:r w:rsidR="00067484">
        <w:t xml:space="preserve">the Cloud Governance team will </w:t>
      </w:r>
      <w:r>
        <w:t xml:space="preserve">identify </w:t>
      </w:r>
      <w:r w:rsidR="004254DF">
        <w:t xml:space="preserve">the </w:t>
      </w:r>
      <w:r>
        <w:t xml:space="preserve">core business risks and tolerances related to cloud identity management. </w:t>
      </w:r>
      <w:r w:rsidR="00AA7982">
        <w:t>The team will u</w:t>
      </w:r>
      <w:r>
        <w:t xml:space="preserve">se this information to discuss specific technical risks with members of </w:t>
      </w:r>
      <w:r w:rsidR="00A0685C">
        <w:t xml:space="preserve">the </w:t>
      </w:r>
      <w:r>
        <w:t xml:space="preserve">IT teams responsible for managing identity services and develop a baseline set of security policies for mitigating these risks </w:t>
      </w:r>
      <w:r w:rsidR="003F4B8F">
        <w:t xml:space="preserve">as part of </w:t>
      </w:r>
      <w:r>
        <w:t>establish</w:t>
      </w:r>
      <w:r w:rsidR="003F4B8F">
        <w:t>ing</w:t>
      </w:r>
      <w:r>
        <w:t xml:space="preserve"> </w:t>
      </w:r>
      <w:proofErr w:type="gramStart"/>
      <w:r w:rsidR="00A0685C">
        <w:t xml:space="preserve">an </w:t>
      </w:r>
      <w:r>
        <w:t xml:space="preserve"> initial</w:t>
      </w:r>
      <w:proofErr w:type="gramEnd"/>
      <w:r>
        <w:t xml:space="preserve"> governance strategy.</w:t>
      </w:r>
    </w:p>
    <w:p w14:paraId="35C78606" w14:textId="727C8232" w:rsidR="00C3570A" w:rsidRDefault="00C3570A" w:rsidP="00C3570A">
      <w:r w:rsidRPr="00652ACD">
        <w:rPr>
          <w:rStyle w:val="IntenseEmphasis"/>
        </w:rPr>
        <w:t>Deployment planning</w:t>
      </w:r>
      <w:r>
        <w:t xml:space="preserve">: Before any </w:t>
      </w:r>
      <w:r w:rsidR="007569FB">
        <w:t xml:space="preserve">workload </w:t>
      </w:r>
      <w:r>
        <w:t>deployment</w:t>
      </w:r>
      <w:r w:rsidR="007569FB">
        <w:t>s</w:t>
      </w:r>
      <w:r>
        <w:t xml:space="preserve">, </w:t>
      </w:r>
      <w:r w:rsidR="00B333E9">
        <w:t xml:space="preserve">the Cloud Governance team will </w:t>
      </w:r>
      <w:r>
        <w:t xml:space="preserve">review the access needs </w:t>
      </w:r>
      <w:r w:rsidR="007569FB">
        <w:t xml:space="preserve">of the </w:t>
      </w:r>
      <w:r>
        <w:t xml:space="preserve">workloads and develop an access control strategy that aligns with established corporate identity policy. </w:t>
      </w:r>
      <w:r w:rsidR="007569FB">
        <w:t>The team will d</w:t>
      </w:r>
      <w:r>
        <w:t xml:space="preserve">ocument any gaps between </w:t>
      </w:r>
      <w:r w:rsidR="007569FB">
        <w:t xml:space="preserve">these </w:t>
      </w:r>
      <w:r>
        <w:t>needs and current policy to determine if policy updates are required, and modify policy as needed.</w:t>
      </w:r>
    </w:p>
    <w:p w14:paraId="77FACBD3" w14:textId="77777777" w:rsidR="00C3570A" w:rsidRDefault="00C3570A" w:rsidP="00C3570A">
      <w:r w:rsidRPr="00652ACD">
        <w:rPr>
          <w:rStyle w:val="IntenseEmphasis"/>
        </w:rPr>
        <w:t>Deployment testing</w:t>
      </w:r>
      <w:r>
        <w:t>: As part of the deployment, the Cloud Governance team, in cooperation with IT teams responsible for identity services, will be responsible for reviewing the deployment to validate identity policy compliance.</w:t>
      </w:r>
    </w:p>
    <w:p w14:paraId="6B9F40B8" w14:textId="390427AB" w:rsidR="00C3570A" w:rsidRDefault="00C3570A" w:rsidP="00C3570A">
      <w:r w:rsidRPr="00652ACD">
        <w:rPr>
          <w:rStyle w:val="IntenseEmphasis"/>
        </w:rPr>
        <w:t>Annual planning</w:t>
      </w:r>
      <w:r>
        <w:t xml:space="preserve">: On an annual basis, </w:t>
      </w:r>
      <w:r w:rsidR="002A215B">
        <w:t xml:space="preserve">the Cloud Governance team will </w:t>
      </w:r>
      <w:r>
        <w:t xml:space="preserve">perform a high-level review of identity management strategy. </w:t>
      </w:r>
      <w:r w:rsidR="002A215B">
        <w:t>This review will e</w:t>
      </w:r>
      <w:r>
        <w:t xml:space="preserve">xplore planned changes to the identity services environment and updated cloud adoption strategies to identify </w:t>
      </w:r>
      <w:r w:rsidR="00F50F73">
        <w:t xml:space="preserve">the </w:t>
      </w:r>
      <w:r>
        <w:t xml:space="preserve">potential </w:t>
      </w:r>
      <w:r w:rsidR="00F50F73">
        <w:t xml:space="preserve">for increased </w:t>
      </w:r>
      <w:r>
        <w:t>risk</w:t>
      </w:r>
      <w:r w:rsidR="00F50F73">
        <w:t xml:space="preserve"> </w:t>
      </w:r>
      <w:r>
        <w:t xml:space="preserve">or </w:t>
      </w:r>
      <w:r w:rsidR="00F50F73">
        <w:t xml:space="preserve">the </w:t>
      </w:r>
      <w:r>
        <w:t>need to modify current identity infrastructure patterns. Also</w:t>
      </w:r>
      <w:r w:rsidR="00F50F73">
        <w:t>,</w:t>
      </w:r>
      <w:r w:rsidR="00D14923">
        <w:t xml:space="preserve"> the team will use </w:t>
      </w:r>
      <w:r>
        <w:t xml:space="preserve">this </w:t>
      </w:r>
      <w:r w:rsidR="000B3CFE">
        <w:t xml:space="preserve">process </w:t>
      </w:r>
      <w:r>
        <w:t>to review the latest identity management best practices and integrate these into policies and review processes.</w:t>
      </w:r>
    </w:p>
    <w:p w14:paraId="4D9FEADE" w14:textId="2D7A0645" w:rsidR="00C3570A" w:rsidRDefault="00C3570A" w:rsidP="00C3570A">
      <w:r w:rsidRPr="00652ACD">
        <w:rPr>
          <w:rStyle w:val="IntenseEmphasis"/>
        </w:rPr>
        <w:t>Quarterly planning</w:t>
      </w:r>
      <w:r>
        <w:t xml:space="preserve">: On a quarterly basis </w:t>
      </w:r>
      <w:r w:rsidR="00D14923">
        <w:t xml:space="preserve">the Cloud Governance team will </w:t>
      </w:r>
      <w:r>
        <w:t>perform a general review of identity and access control audit data</w:t>
      </w:r>
      <w:r w:rsidR="00680506">
        <w:t xml:space="preserve">. The team will </w:t>
      </w:r>
      <w:r>
        <w:t>meet with cloud adoption teams to identify any potential new risks or operational requirements that would require updates to identity policy or changes in access control strategy.</w:t>
      </w:r>
    </w:p>
    <w:p w14:paraId="6EBBA984" w14:textId="518A3235" w:rsidR="00C3570A" w:rsidRDefault="00A90A39" w:rsidP="00C3570A">
      <w:r>
        <w:t xml:space="preserve">The </w:t>
      </w:r>
      <w:r w:rsidR="000B3CFE">
        <w:t xml:space="preserve">quarterly </w:t>
      </w:r>
      <w:r w:rsidR="00C3570A">
        <w:t xml:space="preserve">planning </w:t>
      </w:r>
      <w:r w:rsidR="00A472D3">
        <w:t xml:space="preserve">process </w:t>
      </w:r>
      <w:r w:rsidR="00496129">
        <w:t xml:space="preserve">will </w:t>
      </w:r>
      <w:r w:rsidR="00C3570A">
        <w:t xml:space="preserve">also </w:t>
      </w:r>
      <w:r w:rsidR="00A472D3">
        <w:t xml:space="preserve">include an </w:t>
      </w:r>
      <w:r w:rsidR="00C3570A">
        <w:t>evaluat</w:t>
      </w:r>
      <w:r w:rsidR="00A472D3">
        <w:t xml:space="preserve">ion of </w:t>
      </w:r>
      <w:r w:rsidR="001858EB">
        <w:t xml:space="preserve">the Cloud Governance team's </w:t>
      </w:r>
      <w:r w:rsidR="00C3570A">
        <w:t xml:space="preserve">current membership </w:t>
      </w:r>
      <w:r w:rsidR="001858EB">
        <w:t xml:space="preserve">to identify </w:t>
      </w:r>
      <w:r w:rsidR="00C3570A">
        <w:t xml:space="preserve">knowledge gaps related to new or evolving </w:t>
      </w:r>
      <w:proofErr w:type="gramStart"/>
      <w:r w:rsidR="00C3570A">
        <w:t>policy</w:t>
      </w:r>
      <w:proofErr w:type="gramEnd"/>
      <w:r w:rsidR="00C3570A">
        <w:t xml:space="preserve"> and risks related to identity. </w:t>
      </w:r>
      <w:r w:rsidR="00496129">
        <w:t xml:space="preserve">The </w:t>
      </w:r>
      <w:r w:rsidR="00132CCC">
        <w:t xml:space="preserve">Cloud Governance team </w:t>
      </w:r>
      <w:r w:rsidR="00496129">
        <w:t>will invite r</w:t>
      </w:r>
      <w:r w:rsidR="00C3570A">
        <w:t xml:space="preserve">elevant IT staff to participate in reviews and planning as either temporary technical advisors or permanent members of </w:t>
      </w:r>
      <w:r w:rsidR="001F3AC6">
        <w:t>the</w:t>
      </w:r>
      <w:r w:rsidR="00C3570A">
        <w:t xml:space="preserve"> team.</w:t>
      </w:r>
    </w:p>
    <w:p w14:paraId="649AADCD" w14:textId="3D70ABFD" w:rsidR="00C3570A" w:rsidRDefault="00C3570A" w:rsidP="00C3570A">
      <w:r w:rsidRPr="00652ACD">
        <w:rPr>
          <w:rStyle w:val="IntenseEmphasis"/>
        </w:rPr>
        <w:t>Education and Training</w:t>
      </w:r>
      <w:r>
        <w:t>: On a bi-monthly basis,</w:t>
      </w:r>
      <w:r w:rsidR="00132CCC">
        <w:t xml:space="preserve"> the Cloud Governance team will offer</w:t>
      </w:r>
      <w:r>
        <w:t xml:space="preserve"> training sessions to make sure IT staff and developers are </w:t>
      </w:r>
      <w:proofErr w:type="gramStart"/>
      <w:r>
        <w:t>up-to-date</w:t>
      </w:r>
      <w:proofErr w:type="gramEnd"/>
      <w:r>
        <w:t xml:space="preserve"> on the latest identity policy requirements. As part of this process </w:t>
      </w:r>
      <w:r w:rsidR="00B61600">
        <w:t xml:space="preserve">the team will </w:t>
      </w:r>
      <w:r w:rsidR="00132CCC">
        <w:t xml:space="preserve">also </w:t>
      </w:r>
      <w:r>
        <w:t>review and update any documentation, guidance, or other training assets to ensure they are in sync with the latest corporate policy statements.</w:t>
      </w:r>
    </w:p>
    <w:p w14:paraId="171CDACA" w14:textId="5FB84AD4" w:rsidR="00F00148" w:rsidRDefault="00C3570A" w:rsidP="00C3570A">
      <w:r w:rsidRPr="00652ACD">
        <w:rPr>
          <w:rStyle w:val="IntenseEmphasis"/>
        </w:rPr>
        <w:t>Monthly audit and reporting reviews</w:t>
      </w:r>
      <w:r>
        <w:t xml:space="preserve">: </w:t>
      </w:r>
      <w:r w:rsidR="00E46CC8">
        <w:t>The Cloud Governance team will conduct a</w:t>
      </w:r>
      <w:r>
        <w:t xml:space="preserve">n audit on all cloud deployments </w:t>
      </w:r>
      <w:proofErr w:type="gramStart"/>
      <w:r w:rsidR="00C43667">
        <w:t xml:space="preserve">on a </w:t>
      </w:r>
      <w:r w:rsidR="007E4A2D">
        <w:t xml:space="preserve">monthly </w:t>
      </w:r>
      <w:r w:rsidR="00C43667">
        <w:t>basis</w:t>
      </w:r>
      <w:proofErr w:type="gramEnd"/>
      <w:r w:rsidR="00C43667">
        <w:t xml:space="preserve"> </w:t>
      </w:r>
      <w:r>
        <w:t xml:space="preserve">to </w:t>
      </w:r>
      <w:proofErr w:type="gramStart"/>
      <w:r>
        <w:t>assure</w:t>
      </w:r>
      <w:proofErr w:type="gramEnd"/>
      <w:r>
        <w:t xml:space="preserve"> their continued alignment with identity policy. </w:t>
      </w:r>
      <w:r w:rsidR="007E4A2D">
        <w:t>T</w:t>
      </w:r>
      <w:r>
        <w:t xml:space="preserve">his review </w:t>
      </w:r>
      <w:r w:rsidR="002D346E">
        <w:t xml:space="preserve">will </w:t>
      </w:r>
      <w:r>
        <w:t xml:space="preserve">check user access against business change to ensure users have correct access to cloud resources </w:t>
      </w:r>
      <w:r>
        <w:lastRenderedPageBreak/>
        <w:t xml:space="preserve">and ensure access strategies such as RBAC are being followed consistently. </w:t>
      </w:r>
      <w:r w:rsidR="002D346E">
        <w:t>P</w:t>
      </w:r>
      <w:r>
        <w:t xml:space="preserve">rivileged accounts </w:t>
      </w:r>
      <w:r w:rsidR="002D346E">
        <w:t>will be identified</w:t>
      </w:r>
      <w:r w:rsidR="001F3AC6">
        <w:t>,</w:t>
      </w:r>
      <w:r w:rsidR="002D346E">
        <w:t xml:space="preserve"> </w:t>
      </w:r>
      <w:r>
        <w:t>and their purpose</w:t>
      </w:r>
      <w:r w:rsidR="002D346E">
        <w:t xml:space="preserve"> documented</w:t>
      </w:r>
      <w:r>
        <w:t xml:space="preserve">. This review process </w:t>
      </w:r>
      <w:r w:rsidR="00C43667">
        <w:t xml:space="preserve">will result in </w:t>
      </w:r>
      <w:r>
        <w:t>a report for the Cloud Strategy team and each cloud adoption team detailing overall adherence to policy. The report is also stored for auditing and legal purposes.</w:t>
      </w:r>
    </w:p>
    <w:p w14:paraId="70CADEE7" w14:textId="48A25828" w:rsidR="00580732" w:rsidRDefault="00580732" w:rsidP="00580732">
      <w:pPr>
        <w:pStyle w:val="Heading2"/>
        <w:rPr>
          <w:rFonts w:cstheme="minorHAnsi"/>
        </w:rPr>
      </w:pPr>
      <w:bookmarkStart w:id="9" w:name="_Toc2782569"/>
      <w:r w:rsidRPr="0001299E">
        <w:rPr>
          <w:rFonts w:cstheme="minorHAnsi"/>
        </w:rPr>
        <w:t>Ongoing monitoring</w:t>
      </w:r>
      <w:bookmarkEnd w:id="9"/>
    </w:p>
    <w:p w14:paraId="2307D511" w14:textId="1D6E83EF" w:rsidR="00A22D4B" w:rsidRPr="00A22D4B" w:rsidRDefault="00A22D4B" w:rsidP="00A22D4B">
      <w:pPr>
        <w:rPr>
          <w:rFonts w:cstheme="minorHAnsi"/>
        </w:rPr>
      </w:pPr>
      <w:r w:rsidRPr="00A22D4B">
        <w:rPr>
          <w:rFonts w:cstheme="minorHAnsi"/>
        </w:rPr>
        <w:t xml:space="preserve">IT teams will implement automated monitoring systems for the organization's </w:t>
      </w:r>
      <w:r w:rsidR="003F68CE">
        <w:rPr>
          <w:rFonts w:cstheme="minorHAnsi"/>
        </w:rPr>
        <w:t xml:space="preserve">identity </w:t>
      </w:r>
      <w:r w:rsidRPr="00A22D4B">
        <w:rPr>
          <w:rFonts w:cstheme="minorHAnsi"/>
        </w:rPr>
        <w:t>infrastructure, capturing relevant log data needed to evaluate risks</w:t>
      </w:r>
      <w:r w:rsidR="005E128D">
        <w:rPr>
          <w:rFonts w:cstheme="minorHAnsi"/>
        </w:rPr>
        <w:t xml:space="preserve"> related to identity services</w:t>
      </w:r>
      <w:r w:rsidRPr="00A22D4B">
        <w:rPr>
          <w:rFonts w:cstheme="minorHAnsi"/>
        </w:rPr>
        <w:t xml:space="preserve">. </w:t>
      </w:r>
      <w:r w:rsidR="00AC69B5">
        <w:rPr>
          <w:rFonts w:cstheme="minorHAnsi"/>
        </w:rPr>
        <w:t>They will</w:t>
      </w:r>
      <w:r w:rsidR="006443EC">
        <w:rPr>
          <w:rFonts w:cstheme="minorHAnsi"/>
        </w:rPr>
        <w:t xml:space="preserve"> also</w:t>
      </w:r>
      <w:r w:rsidR="00AC69B5">
        <w:rPr>
          <w:rFonts w:cstheme="minorHAnsi"/>
        </w:rPr>
        <w:t xml:space="preserve"> </w:t>
      </w:r>
      <w:proofErr w:type="gramStart"/>
      <w:r w:rsidR="00AC69B5">
        <w:rPr>
          <w:rFonts w:cstheme="minorHAnsi"/>
        </w:rPr>
        <w:t>e</w:t>
      </w:r>
      <w:r w:rsidRPr="00A22D4B">
        <w:rPr>
          <w:rFonts w:cstheme="minorHAnsi"/>
        </w:rPr>
        <w:t xml:space="preserve">stablish  </w:t>
      </w:r>
      <w:r w:rsidR="006443EC" w:rsidRPr="00BA237C">
        <w:rPr>
          <w:rFonts w:cstheme="minorHAnsi"/>
        </w:rPr>
        <w:t>reporting</w:t>
      </w:r>
      <w:proofErr w:type="gramEnd"/>
      <w:r w:rsidR="006443EC" w:rsidRPr="00BA237C">
        <w:rPr>
          <w:rFonts w:cstheme="minorHAnsi"/>
        </w:rPr>
        <w:t xml:space="preserve"> and alerting</w:t>
      </w:r>
      <w:r w:rsidRPr="00A22D4B">
        <w:rPr>
          <w:rFonts w:cstheme="minorHAnsi"/>
        </w:rPr>
        <w:t xml:space="preserve"> systems to ensure prompt detection and mitigation of potential security policy violations.</w:t>
      </w:r>
    </w:p>
    <w:p w14:paraId="5C2CFDD8" w14:textId="5394B1E5" w:rsidR="00BB3D48" w:rsidRDefault="00BB3D48" w:rsidP="00BB3D48">
      <w:pPr>
        <w:pStyle w:val="Heading2"/>
      </w:pPr>
      <w:bookmarkStart w:id="10" w:name="_Toc2782570"/>
      <w:r>
        <w:t>Violation Triggers and Enforcement Actions</w:t>
      </w:r>
      <w:bookmarkEnd w:id="10"/>
    </w:p>
    <w:p w14:paraId="50E40CB3" w14:textId="77777777" w:rsidR="00C21B86" w:rsidRPr="00C21B86" w:rsidRDefault="00C21B86" w:rsidP="00C21B86">
      <w:pPr>
        <w:rPr>
          <w:rFonts w:cstheme="minorHAnsi"/>
        </w:rPr>
      </w:pPr>
      <w:r w:rsidRPr="00C21B86">
        <w:rPr>
          <w:rStyle w:val="IntenseEmphasis"/>
        </w:rPr>
        <w:t>Suspicious activity detected</w:t>
      </w:r>
      <w:r w:rsidRPr="00C21B86">
        <w:rPr>
          <w:rFonts w:cstheme="minorHAnsi"/>
        </w:rPr>
        <w:t>: User logins detected from anonymous proxy IP addresses, unfamiliar locations, or successive logins from impossibly distant geographical locations may indicate a potential account breach or malicious access attempt. Login will be blocked until user identity can be verified and password reset.</w:t>
      </w:r>
    </w:p>
    <w:p w14:paraId="57C80113" w14:textId="77777777" w:rsidR="00C21B86" w:rsidRPr="00C21B86" w:rsidRDefault="00C21B86" w:rsidP="00C21B86">
      <w:pPr>
        <w:rPr>
          <w:rFonts w:cstheme="minorHAnsi"/>
        </w:rPr>
      </w:pPr>
      <w:r w:rsidRPr="00C21B86">
        <w:rPr>
          <w:rStyle w:val="IntenseEmphasis"/>
        </w:rPr>
        <w:t>Leaked user credentials</w:t>
      </w:r>
      <w:r w:rsidRPr="00C21B86">
        <w:rPr>
          <w:rFonts w:cstheme="minorHAnsi"/>
        </w:rPr>
        <w:t>: Accounts that have their username and password leaked to the internet will be disabled until user identity can be verified and password reset.</w:t>
      </w:r>
    </w:p>
    <w:p w14:paraId="0A1143F4" w14:textId="2EDE0BC6" w:rsidR="007C0911" w:rsidRDefault="00C21B86" w:rsidP="00C21B86">
      <w:pPr>
        <w:rPr>
          <w:rFonts w:cstheme="minorHAnsi"/>
        </w:rPr>
      </w:pPr>
      <w:r w:rsidRPr="00C21B86">
        <w:rPr>
          <w:rStyle w:val="IntenseEmphasis"/>
        </w:rPr>
        <w:t>Insufficient access controls detected</w:t>
      </w:r>
      <w:r w:rsidRPr="00C21B86">
        <w:rPr>
          <w:rFonts w:cstheme="minorHAnsi"/>
        </w:rPr>
        <w:t>: Any protected assets where access restrictions do not meet security requirements will have access blocked until the resource is brought into compliance.</w:t>
      </w:r>
    </w:p>
    <w:p w14:paraId="536893B3" w14:textId="77777777" w:rsidR="007C0911" w:rsidRDefault="007C0911">
      <w:pPr>
        <w:rPr>
          <w:rFonts w:cstheme="minorHAnsi"/>
        </w:rPr>
      </w:pPr>
      <w:r>
        <w:rPr>
          <w:rFonts w:cstheme="minorHAnsi"/>
        </w:rPr>
        <w:br w:type="page"/>
      </w:r>
    </w:p>
    <w:p w14:paraId="6DF70C5F" w14:textId="77777777" w:rsidR="007C0911" w:rsidRDefault="007C0911" w:rsidP="007C0911">
      <w:pPr>
        <w:pStyle w:val="Heading1"/>
      </w:pPr>
      <w:bookmarkStart w:id="11" w:name="_Toc2782571"/>
      <w:r>
        <w:lastRenderedPageBreak/>
        <w:t>Toolchain</w:t>
      </w:r>
      <w:bookmarkEnd w:id="11"/>
    </w:p>
    <w:p w14:paraId="39A28A41" w14:textId="519BD14C" w:rsidR="007C0911" w:rsidRDefault="007C0911" w:rsidP="00BB3D48">
      <w:pPr>
        <w:rPr>
          <w:rFonts w:cstheme="minorHAnsi"/>
        </w:rPr>
      </w:pPr>
      <w:r>
        <w:rPr>
          <w:rFonts w:cstheme="minorHAnsi"/>
        </w:rPr>
        <w:t xml:space="preserve">The following cloud provider specific tools will be implemented to automate the policy statements in this document. </w:t>
      </w:r>
      <w:r>
        <w:t xml:space="preserve">For additional examples of relevant tooling specific to Azure, see the </w:t>
      </w:r>
      <w:hyperlink r:id="rId19" w:history="1">
        <w:r w:rsidR="00ED3398">
          <w:rPr>
            <w:rStyle w:val="Hyperlink"/>
          </w:rPr>
          <w:t>governance theory section of CAF</w:t>
        </w:r>
      </w:hyperlink>
      <w:r>
        <w:t>.</w:t>
      </w:r>
    </w:p>
    <w:p w14:paraId="2B9EAF43" w14:textId="77777777" w:rsidR="007C0911" w:rsidRDefault="007C0911" w:rsidP="007C0911">
      <w:pPr>
        <w:pStyle w:val="Heading2"/>
      </w:pPr>
      <w:bookmarkStart w:id="12" w:name="_Toc2782572"/>
      <w:r>
        <w:t>Azure Specific Tooling</w:t>
      </w:r>
      <w:bookmarkEnd w:id="12"/>
    </w:p>
    <w:p w14:paraId="16DD41FA" w14:textId="57BBB48D" w:rsidR="007D7AC3" w:rsidRDefault="007D7AC3" w:rsidP="007D7AC3">
      <w:pPr>
        <w:rPr>
          <w:rStyle w:val="Hyperlink"/>
          <w:rFonts w:cstheme="minorHAnsi"/>
        </w:rPr>
      </w:pPr>
      <w:r>
        <w:rPr>
          <w:rFonts w:cstheme="minorHAnsi"/>
        </w:rPr>
        <w:t xml:space="preserve">Cloud-based </w:t>
      </w:r>
      <w:r w:rsidR="00C73489">
        <w:rPr>
          <w:rFonts w:cstheme="minorHAnsi"/>
        </w:rPr>
        <w:t>authentication and access control</w:t>
      </w:r>
      <w:r w:rsidRPr="004E56BA">
        <w:rPr>
          <w:rFonts w:cstheme="minorHAnsi"/>
        </w:rPr>
        <w:t xml:space="preserve">: </w:t>
      </w:r>
      <w:hyperlink r:id="rId20" w:history="1">
        <w:r w:rsidR="00DB2B37">
          <w:rPr>
            <w:rStyle w:val="Hyperlink"/>
            <w:rFonts w:cstheme="minorHAnsi"/>
          </w:rPr>
          <w:t xml:space="preserve">Microsoft </w:t>
        </w:r>
        <w:proofErr w:type="spellStart"/>
        <w:r w:rsidR="00DB2B37">
          <w:rPr>
            <w:rStyle w:val="Hyperlink"/>
            <w:rFonts w:cstheme="minorHAnsi"/>
          </w:rPr>
          <w:t>Entra</w:t>
        </w:r>
        <w:proofErr w:type="spellEnd"/>
        <w:r w:rsidR="00DB2B37">
          <w:rPr>
            <w:rStyle w:val="Hyperlink"/>
            <w:rFonts w:cstheme="minorHAnsi"/>
          </w:rPr>
          <w:t xml:space="preserve"> ID</w:t>
        </w:r>
      </w:hyperlink>
    </w:p>
    <w:p w14:paraId="763F6E8D" w14:textId="7F97CC16" w:rsidR="00C73489" w:rsidRDefault="002240DF" w:rsidP="007D7AC3">
      <w:pPr>
        <w:rPr>
          <w:rFonts w:cstheme="minorHAnsi"/>
        </w:rPr>
      </w:pPr>
      <w:r>
        <w:rPr>
          <w:rFonts w:cstheme="minorHAnsi"/>
        </w:rPr>
        <w:t>Directory synchronization between o</w:t>
      </w:r>
      <w:r w:rsidR="00DE005F">
        <w:rPr>
          <w:rFonts w:cstheme="minorHAnsi"/>
        </w:rPr>
        <w:t xml:space="preserve">n-premises </w:t>
      </w:r>
      <w:r>
        <w:rPr>
          <w:rFonts w:cstheme="minorHAnsi"/>
        </w:rPr>
        <w:t>and cloud:</w:t>
      </w:r>
      <w:r w:rsidR="00DB2B37">
        <w:rPr>
          <w:rFonts w:cstheme="minorHAnsi"/>
        </w:rPr>
        <w:t xml:space="preserve"> </w:t>
      </w:r>
      <w:hyperlink r:id="rId21" w:history="1">
        <w:r w:rsidR="00DB2B37" w:rsidRPr="00DB2B37">
          <w:rPr>
            <w:rStyle w:val="Hyperlink"/>
            <w:rFonts w:cstheme="minorHAnsi"/>
          </w:rPr>
          <w:t xml:space="preserve">Microsoft </w:t>
        </w:r>
        <w:proofErr w:type="spellStart"/>
        <w:r w:rsidR="00DB2B37" w:rsidRPr="00DB2B37">
          <w:rPr>
            <w:rStyle w:val="Hyperlink"/>
            <w:rFonts w:cstheme="minorHAnsi"/>
          </w:rPr>
          <w:t>Entra</w:t>
        </w:r>
        <w:proofErr w:type="spellEnd"/>
        <w:r w:rsidR="00DB2B37" w:rsidRPr="00DB2B37">
          <w:rPr>
            <w:rStyle w:val="Hyperlink"/>
            <w:rFonts w:cstheme="minorHAnsi"/>
          </w:rPr>
          <w:t xml:space="preserve"> Cloud Sync</w:t>
        </w:r>
      </w:hyperlink>
      <w:r w:rsidR="00DB2B37">
        <w:rPr>
          <w:rFonts w:cstheme="minorHAnsi"/>
        </w:rPr>
        <w:t xml:space="preserve"> </w:t>
      </w:r>
    </w:p>
    <w:p w14:paraId="4EDC3380" w14:textId="053795C2" w:rsidR="00895BF8" w:rsidRDefault="00081AED" w:rsidP="007D7AC3">
      <w:pPr>
        <w:rPr>
          <w:rFonts w:cstheme="minorHAnsi"/>
        </w:rPr>
      </w:pPr>
      <w:r>
        <w:rPr>
          <w:rFonts w:cstheme="minorHAnsi"/>
        </w:rPr>
        <w:t xml:space="preserve">Cloud hosted support for </w:t>
      </w:r>
      <w:r w:rsidR="005D0E41">
        <w:rPr>
          <w:rFonts w:cstheme="minorHAnsi"/>
        </w:rPr>
        <w:t xml:space="preserve">directory services and legacy authentication: </w:t>
      </w:r>
      <w:hyperlink r:id="rId22" w:history="1">
        <w:r w:rsidR="005D0E41" w:rsidRPr="007741DB">
          <w:rPr>
            <w:rStyle w:val="Hyperlink"/>
            <w:rFonts w:cstheme="minorHAnsi"/>
          </w:rPr>
          <w:t>Active Direct</w:t>
        </w:r>
        <w:r w:rsidR="005D0E41" w:rsidRPr="007741DB">
          <w:rPr>
            <w:rStyle w:val="Hyperlink"/>
            <w:rFonts w:cstheme="minorHAnsi"/>
          </w:rPr>
          <w:t>o</w:t>
        </w:r>
        <w:r w:rsidR="005D0E41" w:rsidRPr="007741DB">
          <w:rPr>
            <w:rStyle w:val="Hyperlink"/>
            <w:rFonts w:cstheme="minorHAnsi"/>
          </w:rPr>
          <w:t>ry Domain Services</w:t>
        </w:r>
      </w:hyperlink>
    </w:p>
    <w:p w14:paraId="4078DC8A" w14:textId="7BC4023D" w:rsidR="001166DD" w:rsidRPr="004E56BA" w:rsidRDefault="001166DD" w:rsidP="007D7AC3">
      <w:pPr>
        <w:rPr>
          <w:rFonts w:cstheme="minorHAnsi"/>
        </w:rPr>
      </w:pPr>
      <w:r>
        <w:rPr>
          <w:rFonts w:cstheme="minorHAnsi"/>
        </w:rPr>
        <w:t xml:space="preserve">Federated authentication between trusted directories: </w:t>
      </w:r>
      <w:hyperlink r:id="rId23" w:history="1">
        <w:r w:rsidR="00DB2B37">
          <w:rPr>
            <w:rStyle w:val="Hyperlink"/>
            <w:rFonts w:cstheme="minorHAnsi"/>
          </w:rPr>
          <w:t xml:space="preserve">Microsoft </w:t>
        </w:r>
        <w:proofErr w:type="spellStart"/>
        <w:r w:rsidR="00DB2B37">
          <w:rPr>
            <w:rStyle w:val="Hyperlink"/>
            <w:rFonts w:cstheme="minorHAnsi"/>
          </w:rPr>
          <w:t>Entra</w:t>
        </w:r>
        <w:proofErr w:type="spellEnd"/>
        <w:r w:rsidR="00DB2B37">
          <w:rPr>
            <w:rStyle w:val="Hyperlink"/>
            <w:rFonts w:cstheme="minorHAnsi"/>
          </w:rPr>
          <w:t xml:space="preserve"> Connect and federation</w:t>
        </w:r>
      </w:hyperlink>
      <w:r w:rsidR="00244E71" w:rsidRPr="00244E71">
        <w:rPr>
          <w:rFonts w:cstheme="minorHAnsi"/>
        </w:rPr>
        <w:t xml:space="preserve"> </w:t>
      </w:r>
    </w:p>
    <w:p w14:paraId="5C950F38" w14:textId="77777777" w:rsidR="00BB3D48" w:rsidRDefault="007C0911" w:rsidP="007C0911">
      <w:pPr>
        <w:pStyle w:val="Heading2"/>
      </w:pPr>
      <w:bookmarkStart w:id="13" w:name="_Toc2782573"/>
      <w:r>
        <w:t>Tooling for other Cloud Providers</w:t>
      </w:r>
      <w:bookmarkEnd w:id="13"/>
    </w:p>
    <w:p w14:paraId="5D75C26A" w14:textId="77777777" w:rsidR="007C0911" w:rsidRPr="00BB3D48" w:rsidRDefault="007C0911" w:rsidP="00BB3D48">
      <w:pPr>
        <w:rPr>
          <w:rFonts w:cstheme="minorHAnsi"/>
        </w:rPr>
      </w:pPr>
      <w:r>
        <w:rPr>
          <w:rFonts w:cstheme="minorHAnsi"/>
        </w:rPr>
        <w:t>List similar tools for other cloud providers, as needed.</w:t>
      </w:r>
    </w:p>
    <w:p w14:paraId="09B04C01" w14:textId="77777777" w:rsidR="00BB3D48" w:rsidRPr="00BB3D48" w:rsidRDefault="00BB3D48" w:rsidP="00BB3D48">
      <w:pPr>
        <w:rPr>
          <w:rFonts w:cstheme="minorHAnsi"/>
        </w:rPr>
      </w:pPr>
    </w:p>
    <w:sectPr w:rsidR="00BB3D48" w:rsidRPr="00BB3D48" w:rsidSect="00A03C76">
      <w:headerReference w:type="even" r:id="rId24"/>
      <w:headerReference w:type="default" r:id="rId25"/>
      <w:footerReference w:type="even" r:id="rId26"/>
      <w:footerReference w:type="default" r:id="rId27"/>
      <w:headerReference w:type="first" r:id="rId28"/>
      <w:footerReference w:type="first" r:id="rId2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063A8" w14:textId="77777777" w:rsidR="00A03C76" w:rsidRDefault="00A03C76" w:rsidP="003609AA">
      <w:pPr>
        <w:spacing w:after="0" w:line="240" w:lineRule="auto"/>
      </w:pPr>
      <w:r>
        <w:separator/>
      </w:r>
    </w:p>
  </w:endnote>
  <w:endnote w:type="continuationSeparator" w:id="0">
    <w:p w14:paraId="4B8F4F11" w14:textId="77777777" w:rsidR="00A03C76" w:rsidRDefault="00A03C76" w:rsidP="0036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FB8B8" w14:textId="77777777" w:rsidR="007F2C30" w:rsidRDefault="007F2C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3BF4D" w14:textId="77777777" w:rsidR="007F2C30" w:rsidRDefault="007F2C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4E8CF9" w14:textId="77777777" w:rsidR="007F2C30" w:rsidRDefault="007F2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79735" w14:textId="77777777" w:rsidR="00A03C76" w:rsidRDefault="00A03C76" w:rsidP="003609AA">
      <w:pPr>
        <w:spacing w:after="0" w:line="240" w:lineRule="auto"/>
      </w:pPr>
      <w:r>
        <w:separator/>
      </w:r>
    </w:p>
  </w:footnote>
  <w:footnote w:type="continuationSeparator" w:id="0">
    <w:p w14:paraId="5DF79C66" w14:textId="77777777" w:rsidR="00A03C76" w:rsidRDefault="00A03C76" w:rsidP="00360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638D9" w14:textId="77777777" w:rsidR="003609AA" w:rsidRDefault="00000000">
    <w:pPr>
      <w:pStyle w:val="Header"/>
    </w:pPr>
    <w:r>
      <w:rPr>
        <w:noProof/>
      </w:rPr>
      <w:pict w14:anchorId="7AE505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6" o:spid="_x0000_s1026" type="#_x0000_t136" style="position:absolute;margin-left:0;margin-top:0;width:577.35pt;height:82.45pt;rotation:315;z-index:-251655168;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D826E" w14:textId="77777777" w:rsidR="003609AA" w:rsidRDefault="00000000">
    <w:pPr>
      <w:pStyle w:val="Header"/>
    </w:pPr>
    <w:r>
      <w:rPr>
        <w:noProof/>
      </w:rPr>
      <w:pict w14:anchorId="3F1E30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7" o:spid="_x0000_s1027" type="#_x0000_t136" style="position:absolute;margin-left:0;margin-top:0;width:577.35pt;height:82.45pt;rotation:315;z-index:-251653120;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3F492" w14:textId="77777777" w:rsidR="003609AA" w:rsidRDefault="00000000">
    <w:pPr>
      <w:pStyle w:val="Header"/>
    </w:pPr>
    <w:r>
      <w:rPr>
        <w:noProof/>
      </w:rPr>
      <w:pict w14:anchorId="043189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5" o:spid="_x0000_s1025" type="#_x0000_t136" style="position:absolute;margin-left:0;margin-top:0;width:577.35pt;height:82.45pt;rotation:315;z-index:-251657216;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33580"/>
    <w:multiLevelType w:val="hybridMultilevel"/>
    <w:tmpl w:val="72B4C8FE"/>
    <w:lvl w:ilvl="0" w:tplc="214E07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21F63"/>
    <w:multiLevelType w:val="hybridMultilevel"/>
    <w:tmpl w:val="1A5A6F66"/>
    <w:lvl w:ilvl="0" w:tplc="21088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63B82"/>
    <w:multiLevelType w:val="hybridMultilevel"/>
    <w:tmpl w:val="6618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6690201">
    <w:abstractNumId w:val="1"/>
  </w:num>
  <w:num w:numId="2" w16cid:durableId="1441532499">
    <w:abstractNumId w:val="0"/>
  </w:num>
  <w:num w:numId="3" w16cid:durableId="388460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55"/>
    <w:rsid w:val="00067484"/>
    <w:rsid w:val="00067A97"/>
    <w:rsid w:val="00075B22"/>
    <w:rsid w:val="00081AED"/>
    <w:rsid w:val="00086DA9"/>
    <w:rsid w:val="000943D2"/>
    <w:rsid w:val="000B3CFE"/>
    <w:rsid w:val="000B5A45"/>
    <w:rsid w:val="000D0706"/>
    <w:rsid w:val="000D269D"/>
    <w:rsid w:val="000E673D"/>
    <w:rsid w:val="000F32C1"/>
    <w:rsid w:val="00112639"/>
    <w:rsid w:val="001166DD"/>
    <w:rsid w:val="00122F60"/>
    <w:rsid w:val="00132CCC"/>
    <w:rsid w:val="001512A4"/>
    <w:rsid w:val="00172B93"/>
    <w:rsid w:val="001858EB"/>
    <w:rsid w:val="00187B7E"/>
    <w:rsid w:val="001A1D29"/>
    <w:rsid w:val="001B5194"/>
    <w:rsid w:val="001B5B06"/>
    <w:rsid w:val="001C6526"/>
    <w:rsid w:val="001E74CA"/>
    <w:rsid w:val="001F3AC6"/>
    <w:rsid w:val="002014D9"/>
    <w:rsid w:val="002240DF"/>
    <w:rsid w:val="002340B4"/>
    <w:rsid w:val="00244E71"/>
    <w:rsid w:val="00281443"/>
    <w:rsid w:val="0029156E"/>
    <w:rsid w:val="002A215B"/>
    <w:rsid w:val="002B3EEE"/>
    <w:rsid w:val="002D346E"/>
    <w:rsid w:val="002E750B"/>
    <w:rsid w:val="003609AA"/>
    <w:rsid w:val="00374739"/>
    <w:rsid w:val="00385882"/>
    <w:rsid w:val="003C5C37"/>
    <w:rsid w:val="003D40A5"/>
    <w:rsid w:val="003D63E4"/>
    <w:rsid w:val="003E470B"/>
    <w:rsid w:val="003F4B8F"/>
    <w:rsid w:val="003F6885"/>
    <w:rsid w:val="003F68CE"/>
    <w:rsid w:val="00405D74"/>
    <w:rsid w:val="0041081A"/>
    <w:rsid w:val="004254DF"/>
    <w:rsid w:val="0047769F"/>
    <w:rsid w:val="00480955"/>
    <w:rsid w:val="00483E6F"/>
    <w:rsid w:val="00486847"/>
    <w:rsid w:val="004938C1"/>
    <w:rsid w:val="00496129"/>
    <w:rsid w:val="004D26BE"/>
    <w:rsid w:val="004D4286"/>
    <w:rsid w:val="004F2A2E"/>
    <w:rsid w:val="00506AF8"/>
    <w:rsid w:val="00522556"/>
    <w:rsid w:val="00540608"/>
    <w:rsid w:val="005436FD"/>
    <w:rsid w:val="00566B63"/>
    <w:rsid w:val="00580732"/>
    <w:rsid w:val="00586524"/>
    <w:rsid w:val="005D0E41"/>
    <w:rsid w:val="005E09F5"/>
    <w:rsid w:val="005E128D"/>
    <w:rsid w:val="005F3836"/>
    <w:rsid w:val="006353D0"/>
    <w:rsid w:val="006443EC"/>
    <w:rsid w:val="00652ACD"/>
    <w:rsid w:val="0065326D"/>
    <w:rsid w:val="00655C5B"/>
    <w:rsid w:val="00680506"/>
    <w:rsid w:val="006A1163"/>
    <w:rsid w:val="006B10C4"/>
    <w:rsid w:val="007327D4"/>
    <w:rsid w:val="00743C33"/>
    <w:rsid w:val="007569FB"/>
    <w:rsid w:val="00761DFD"/>
    <w:rsid w:val="007741DB"/>
    <w:rsid w:val="00783ED8"/>
    <w:rsid w:val="007B7FEA"/>
    <w:rsid w:val="007C0911"/>
    <w:rsid w:val="007D2FE3"/>
    <w:rsid w:val="007D7AC3"/>
    <w:rsid w:val="007E4A2D"/>
    <w:rsid w:val="007F2C30"/>
    <w:rsid w:val="0080386C"/>
    <w:rsid w:val="008045A0"/>
    <w:rsid w:val="00840526"/>
    <w:rsid w:val="00846725"/>
    <w:rsid w:val="00867041"/>
    <w:rsid w:val="00874EB0"/>
    <w:rsid w:val="00895BF8"/>
    <w:rsid w:val="008A24F1"/>
    <w:rsid w:val="008B4635"/>
    <w:rsid w:val="008B5F48"/>
    <w:rsid w:val="00907769"/>
    <w:rsid w:val="00927F2E"/>
    <w:rsid w:val="00935931"/>
    <w:rsid w:val="009403AE"/>
    <w:rsid w:val="009648E8"/>
    <w:rsid w:val="00980F2E"/>
    <w:rsid w:val="00984F68"/>
    <w:rsid w:val="009B1B97"/>
    <w:rsid w:val="009B5DA2"/>
    <w:rsid w:val="009D5CFF"/>
    <w:rsid w:val="00A03C76"/>
    <w:rsid w:val="00A0685C"/>
    <w:rsid w:val="00A10190"/>
    <w:rsid w:val="00A22D4B"/>
    <w:rsid w:val="00A302F2"/>
    <w:rsid w:val="00A32D07"/>
    <w:rsid w:val="00A40CA4"/>
    <w:rsid w:val="00A472D3"/>
    <w:rsid w:val="00A90A39"/>
    <w:rsid w:val="00A94258"/>
    <w:rsid w:val="00AA6D7A"/>
    <w:rsid w:val="00AA7982"/>
    <w:rsid w:val="00AC1D48"/>
    <w:rsid w:val="00AC69B5"/>
    <w:rsid w:val="00B018D8"/>
    <w:rsid w:val="00B21053"/>
    <w:rsid w:val="00B333E9"/>
    <w:rsid w:val="00B42277"/>
    <w:rsid w:val="00B45F04"/>
    <w:rsid w:val="00B5314A"/>
    <w:rsid w:val="00B61600"/>
    <w:rsid w:val="00B77E55"/>
    <w:rsid w:val="00B95B2D"/>
    <w:rsid w:val="00BA3373"/>
    <w:rsid w:val="00BB3D48"/>
    <w:rsid w:val="00BC1B3D"/>
    <w:rsid w:val="00C21B86"/>
    <w:rsid w:val="00C26A0F"/>
    <w:rsid w:val="00C3570A"/>
    <w:rsid w:val="00C43667"/>
    <w:rsid w:val="00C539D2"/>
    <w:rsid w:val="00C57528"/>
    <w:rsid w:val="00C73489"/>
    <w:rsid w:val="00C77A6C"/>
    <w:rsid w:val="00C802AE"/>
    <w:rsid w:val="00C84D16"/>
    <w:rsid w:val="00C87288"/>
    <w:rsid w:val="00CA6B7F"/>
    <w:rsid w:val="00CB5D1D"/>
    <w:rsid w:val="00CC3DC4"/>
    <w:rsid w:val="00CF0103"/>
    <w:rsid w:val="00CF0274"/>
    <w:rsid w:val="00CF7E50"/>
    <w:rsid w:val="00D14923"/>
    <w:rsid w:val="00D31764"/>
    <w:rsid w:val="00D31E46"/>
    <w:rsid w:val="00D32FA2"/>
    <w:rsid w:val="00D55CAB"/>
    <w:rsid w:val="00D774AC"/>
    <w:rsid w:val="00D93ADF"/>
    <w:rsid w:val="00D97B6A"/>
    <w:rsid w:val="00DB2B37"/>
    <w:rsid w:val="00DD6178"/>
    <w:rsid w:val="00DE005F"/>
    <w:rsid w:val="00DE38A8"/>
    <w:rsid w:val="00E253BB"/>
    <w:rsid w:val="00E46CC8"/>
    <w:rsid w:val="00E8433F"/>
    <w:rsid w:val="00EC32B3"/>
    <w:rsid w:val="00ED3398"/>
    <w:rsid w:val="00F00148"/>
    <w:rsid w:val="00F50F73"/>
    <w:rsid w:val="00F57310"/>
    <w:rsid w:val="00F60D4B"/>
    <w:rsid w:val="00F77809"/>
    <w:rsid w:val="00F9507C"/>
    <w:rsid w:val="00FA76E4"/>
    <w:rsid w:val="00FB14E0"/>
    <w:rsid w:val="00FE0B1A"/>
    <w:rsid w:val="00FF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55B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769"/>
    <w:pPr>
      <w:keepNext/>
      <w:keepLines/>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769"/>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6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7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5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97B6A"/>
    <w:pPr>
      <w:outlineLvl w:val="9"/>
    </w:pPr>
  </w:style>
  <w:style w:type="paragraph" w:styleId="TOC1">
    <w:name w:val="toc 1"/>
    <w:basedOn w:val="Normal"/>
    <w:next w:val="Normal"/>
    <w:autoRedefine/>
    <w:uiPriority w:val="39"/>
    <w:unhideWhenUsed/>
    <w:rsid w:val="00D97B6A"/>
    <w:pPr>
      <w:spacing w:after="100"/>
    </w:pPr>
  </w:style>
  <w:style w:type="character" w:styleId="Hyperlink">
    <w:name w:val="Hyperlink"/>
    <w:basedOn w:val="DefaultParagraphFont"/>
    <w:uiPriority w:val="99"/>
    <w:unhideWhenUsed/>
    <w:rsid w:val="00D97B6A"/>
    <w:rPr>
      <w:color w:val="0563C1" w:themeColor="hyperlink"/>
      <w:u w:val="single"/>
    </w:rPr>
  </w:style>
  <w:style w:type="table" w:styleId="TableGrid">
    <w:name w:val="Table Grid"/>
    <w:basedOn w:val="TableNormal"/>
    <w:uiPriority w:val="39"/>
    <w:rsid w:val="00D9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081A"/>
    <w:rPr>
      <w:color w:val="605E5C"/>
      <w:shd w:val="clear" w:color="auto" w:fill="E1DFDD"/>
    </w:rPr>
  </w:style>
  <w:style w:type="paragraph" w:styleId="ListParagraph">
    <w:name w:val="List Paragraph"/>
    <w:basedOn w:val="Normal"/>
    <w:uiPriority w:val="34"/>
    <w:qFormat/>
    <w:rsid w:val="0041081A"/>
    <w:pPr>
      <w:ind w:left="720"/>
      <w:contextualSpacing/>
    </w:pPr>
  </w:style>
  <w:style w:type="character" w:customStyle="1" w:styleId="Heading2Char">
    <w:name w:val="Heading 2 Char"/>
    <w:basedOn w:val="DefaultParagraphFont"/>
    <w:link w:val="Heading2"/>
    <w:uiPriority w:val="9"/>
    <w:rsid w:val="009077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B3D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D48"/>
    <w:rPr>
      <w:b/>
      <w:bCs/>
    </w:rPr>
  </w:style>
  <w:style w:type="character" w:styleId="IntenseEmphasis">
    <w:name w:val="Intense Emphasis"/>
    <w:basedOn w:val="DefaultParagraphFont"/>
    <w:uiPriority w:val="21"/>
    <w:qFormat/>
    <w:rsid w:val="007C0911"/>
    <w:rPr>
      <w:i/>
      <w:iCs/>
      <w:color w:val="4472C4" w:themeColor="accent1"/>
    </w:rPr>
  </w:style>
  <w:style w:type="paragraph" w:styleId="TOC2">
    <w:name w:val="toc 2"/>
    <w:basedOn w:val="Normal"/>
    <w:next w:val="Normal"/>
    <w:autoRedefine/>
    <w:uiPriority w:val="39"/>
    <w:unhideWhenUsed/>
    <w:rsid w:val="003609AA"/>
    <w:pPr>
      <w:spacing w:after="100"/>
      <w:ind w:left="220"/>
    </w:pPr>
  </w:style>
  <w:style w:type="paragraph" w:styleId="Header">
    <w:name w:val="header"/>
    <w:basedOn w:val="Normal"/>
    <w:link w:val="HeaderChar"/>
    <w:uiPriority w:val="99"/>
    <w:unhideWhenUsed/>
    <w:rsid w:val="00360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AA"/>
  </w:style>
  <w:style w:type="paragraph" w:styleId="Footer">
    <w:name w:val="footer"/>
    <w:basedOn w:val="Normal"/>
    <w:link w:val="FooterChar"/>
    <w:uiPriority w:val="99"/>
    <w:unhideWhenUsed/>
    <w:rsid w:val="0036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AA"/>
  </w:style>
  <w:style w:type="table" w:styleId="GridTable1Light">
    <w:name w:val="Grid Table 1 Light"/>
    <w:basedOn w:val="TableNormal"/>
    <w:uiPriority w:val="46"/>
    <w:rsid w:val="00CA6B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DB2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20808">
      <w:bodyDiv w:val="1"/>
      <w:marLeft w:val="0"/>
      <w:marRight w:val="0"/>
      <w:marTop w:val="0"/>
      <w:marBottom w:val="0"/>
      <w:divBdr>
        <w:top w:val="none" w:sz="0" w:space="0" w:color="auto"/>
        <w:left w:val="none" w:sz="0" w:space="0" w:color="auto"/>
        <w:bottom w:val="none" w:sz="0" w:space="0" w:color="auto"/>
        <w:right w:val="none" w:sz="0" w:space="0" w:color="auto"/>
      </w:divBdr>
      <w:divsChild>
        <w:div w:id="51538511">
          <w:marLeft w:val="0"/>
          <w:marRight w:val="0"/>
          <w:marTop w:val="0"/>
          <w:marBottom w:val="0"/>
          <w:divBdr>
            <w:top w:val="none" w:sz="0" w:space="0" w:color="auto"/>
            <w:left w:val="none" w:sz="0" w:space="0" w:color="auto"/>
            <w:bottom w:val="none" w:sz="0" w:space="0" w:color="auto"/>
            <w:right w:val="none" w:sz="0" w:space="0" w:color="auto"/>
          </w:divBdr>
          <w:divsChild>
            <w:div w:id="14619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4698">
      <w:bodyDiv w:val="1"/>
      <w:marLeft w:val="0"/>
      <w:marRight w:val="0"/>
      <w:marTop w:val="0"/>
      <w:marBottom w:val="0"/>
      <w:divBdr>
        <w:top w:val="none" w:sz="0" w:space="0" w:color="auto"/>
        <w:left w:val="none" w:sz="0" w:space="0" w:color="auto"/>
        <w:bottom w:val="none" w:sz="0" w:space="0" w:color="auto"/>
        <w:right w:val="none" w:sz="0" w:space="0" w:color="auto"/>
      </w:divBdr>
    </w:div>
    <w:div w:id="1229149029">
      <w:bodyDiv w:val="1"/>
      <w:marLeft w:val="0"/>
      <w:marRight w:val="0"/>
      <w:marTop w:val="0"/>
      <w:marBottom w:val="0"/>
      <w:divBdr>
        <w:top w:val="none" w:sz="0" w:space="0" w:color="auto"/>
        <w:left w:val="none" w:sz="0" w:space="0" w:color="auto"/>
        <w:bottom w:val="none" w:sz="0" w:space="0" w:color="auto"/>
        <w:right w:val="none" w:sz="0" w:space="0" w:color="auto"/>
      </w:divBdr>
    </w:div>
    <w:div w:id="1300571633">
      <w:bodyDiv w:val="1"/>
      <w:marLeft w:val="0"/>
      <w:marRight w:val="0"/>
      <w:marTop w:val="0"/>
      <w:marBottom w:val="0"/>
      <w:divBdr>
        <w:top w:val="none" w:sz="0" w:space="0" w:color="auto"/>
        <w:left w:val="none" w:sz="0" w:space="0" w:color="auto"/>
        <w:bottom w:val="none" w:sz="0" w:space="0" w:color="auto"/>
        <w:right w:val="none" w:sz="0" w:space="0" w:color="auto"/>
      </w:divBdr>
    </w:div>
    <w:div w:id="1396732779">
      <w:bodyDiv w:val="1"/>
      <w:marLeft w:val="0"/>
      <w:marRight w:val="0"/>
      <w:marTop w:val="0"/>
      <w:marBottom w:val="0"/>
      <w:divBdr>
        <w:top w:val="none" w:sz="0" w:space="0" w:color="auto"/>
        <w:left w:val="none" w:sz="0" w:space="0" w:color="auto"/>
        <w:bottom w:val="none" w:sz="0" w:space="0" w:color="auto"/>
        <w:right w:val="none" w:sz="0" w:space="0" w:color="auto"/>
      </w:divBdr>
    </w:div>
    <w:div w:id="1417482345">
      <w:bodyDiv w:val="1"/>
      <w:marLeft w:val="0"/>
      <w:marRight w:val="0"/>
      <w:marTop w:val="0"/>
      <w:marBottom w:val="0"/>
      <w:divBdr>
        <w:top w:val="none" w:sz="0" w:space="0" w:color="auto"/>
        <w:left w:val="none" w:sz="0" w:space="0" w:color="auto"/>
        <w:bottom w:val="none" w:sz="0" w:space="0" w:color="auto"/>
        <w:right w:val="none" w:sz="0" w:space="0" w:color="auto"/>
      </w:divBdr>
    </w:div>
    <w:div w:id="1485584941">
      <w:bodyDiv w:val="1"/>
      <w:marLeft w:val="0"/>
      <w:marRight w:val="0"/>
      <w:marTop w:val="0"/>
      <w:marBottom w:val="0"/>
      <w:divBdr>
        <w:top w:val="none" w:sz="0" w:space="0" w:color="auto"/>
        <w:left w:val="none" w:sz="0" w:space="0" w:color="auto"/>
        <w:bottom w:val="none" w:sz="0" w:space="0" w:color="auto"/>
        <w:right w:val="none" w:sz="0" w:space="0" w:color="auto"/>
      </w:divBdr>
    </w:div>
    <w:div w:id="1695037097">
      <w:bodyDiv w:val="1"/>
      <w:marLeft w:val="0"/>
      <w:marRight w:val="0"/>
      <w:marTop w:val="0"/>
      <w:marBottom w:val="0"/>
      <w:divBdr>
        <w:top w:val="none" w:sz="0" w:space="0" w:color="auto"/>
        <w:left w:val="none" w:sz="0" w:space="0" w:color="auto"/>
        <w:bottom w:val="none" w:sz="0" w:space="0" w:color="auto"/>
        <w:right w:val="none" w:sz="0" w:space="0" w:color="auto"/>
      </w:divBdr>
    </w:div>
    <w:div w:id="1757900106">
      <w:bodyDiv w:val="1"/>
      <w:marLeft w:val="0"/>
      <w:marRight w:val="0"/>
      <w:marTop w:val="0"/>
      <w:marBottom w:val="0"/>
      <w:divBdr>
        <w:top w:val="none" w:sz="0" w:space="0" w:color="auto"/>
        <w:left w:val="none" w:sz="0" w:space="0" w:color="auto"/>
        <w:bottom w:val="none" w:sz="0" w:space="0" w:color="auto"/>
        <w:right w:val="none" w:sz="0" w:space="0" w:color="auto"/>
      </w:divBdr>
    </w:div>
    <w:div w:id="1815563932">
      <w:bodyDiv w:val="1"/>
      <w:marLeft w:val="0"/>
      <w:marRight w:val="0"/>
      <w:marTop w:val="0"/>
      <w:marBottom w:val="0"/>
      <w:divBdr>
        <w:top w:val="none" w:sz="0" w:space="0" w:color="auto"/>
        <w:left w:val="none" w:sz="0" w:space="0" w:color="auto"/>
        <w:bottom w:val="none" w:sz="0" w:space="0" w:color="auto"/>
        <w:right w:val="none" w:sz="0" w:space="0" w:color="auto"/>
      </w:divBdr>
    </w:div>
    <w:div w:id="1962420857">
      <w:bodyDiv w:val="1"/>
      <w:marLeft w:val="0"/>
      <w:marRight w:val="0"/>
      <w:marTop w:val="0"/>
      <w:marBottom w:val="0"/>
      <w:divBdr>
        <w:top w:val="none" w:sz="0" w:space="0" w:color="auto"/>
        <w:left w:val="none" w:sz="0" w:space="0" w:color="auto"/>
        <w:bottom w:val="none" w:sz="0" w:space="0" w:color="auto"/>
        <w:right w:val="none" w:sz="0" w:space="0" w:color="auto"/>
      </w:divBdr>
    </w:div>
    <w:div w:id="1983654654">
      <w:bodyDiv w:val="1"/>
      <w:marLeft w:val="0"/>
      <w:marRight w:val="0"/>
      <w:marTop w:val="0"/>
      <w:marBottom w:val="0"/>
      <w:divBdr>
        <w:top w:val="none" w:sz="0" w:space="0" w:color="auto"/>
        <w:left w:val="none" w:sz="0" w:space="0" w:color="auto"/>
        <w:bottom w:val="none" w:sz="0" w:space="0" w:color="auto"/>
        <w:right w:val="none" w:sz="0" w:space="0" w:color="auto"/>
      </w:divBdr>
    </w:div>
    <w:div w:id="212044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cloud-adoption/governance/identity-baseline/overview" TargetMode="External"/><Relationship Id="rId13" Type="http://schemas.openxmlformats.org/officeDocument/2006/relationships/image" Target="media/image2.png"/><Relationship Id="rId18" Type="http://schemas.openxmlformats.org/officeDocument/2006/relationships/hyperlink" Target="https://docs.microsoft.com/en-us/azure/architecture/cloud-adoption/governance/identity-baseline/compliance-process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learn.microsoft.com/entra/identity/hybrid/connect/whatis-azure-ad-connect-v2" TargetMode="External"/><Relationship Id="rId7" Type="http://schemas.openxmlformats.org/officeDocument/2006/relationships/hyperlink" Target="https://docs.microsoft.com/en-us/azure/architecture/cloud-adoption/governance/governance-disciplines" TargetMode="External"/><Relationship Id="rId17" Type="http://schemas.openxmlformats.org/officeDocument/2006/relationships/hyperlink" Target="https://docs.microsoft.com/en-us/azure/architecture/cloud-adoption/governance/identity-baseline/metrics-toleranc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cs.microsoft.com/en-us/azure/architecture/cloud-adoption/governance/identity-baseline/business-risks" TargetMode="External"/><Relationship Id="rId20" Type="http://schemas.openxmlformats.org/officeDocument/2006/relationships/hyperlink" Target="https://learn.microsoft.com/entra/fundamentals/whati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microsoft.com/en-us/azure/architecture/cloud-adoption/governance/identity-baseline/policy-statements" TargetMode="External"/><Relationship Id="rId23" Type="http://schemas.openxmlformats.org/officeDocument/2006/relationships/hyperlink" Target="https://learn.microsoft.com/entra/identity/hybrid/connect/how-to-connect-fed-whatis" TargetMode="External"/><Relationship Id="rId28" Type="http://schemas.openxmlformats.org/officeDocument/2006/relationships/header" Target="header3.xml"/><Relationship Id="rId19" Type="http://schemas.openxmlformats.org/officeDocument/2006/relationships/hyperlink" Target="https://docs.microsoft.com/en-us/azure/architecture/cloud-adoption/governance/identity-baseline/toolchai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ka.ms/caf" TargetMode="External"/><Relationship Id="rId22" Type="http://schemas.openxmlformats.org/officeDocument/2006/relationships/hyperlink" Target="https://docs.microsoft.com/en-us/windows-server/identity/ad-ds/get-started/virtual-dc/active-directory-domain-services-overview"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8</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2019-03-08T23:56:00Z</dcterms:created>
  <dcterms:modified xsi:type="dcterms:W3CDTF">2023-12-28T14:30:00Z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v-tyhopk@microsoft.com</vt:lpwstr>
  </property>
  <property fmtid="{D5CDD505-2E9C-101B-9397-08002B2CF9AE}" pid="5" name="MSIP_Label_f42aa342-8706-4288-bd11-ebb85995028c_SetDate">
    <vt:lpwstr>2019-03-08T23:57:50.2183510Z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4ac10a04-f7c0-4d47-bfa0-6dab939ac46a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