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1F497D"/>
          <w:sz w:val="40"/>
        </w:rPr>
        <w:t>Relatório Final: Orquestração Cognitiva em Redes</w:t>
        <w:br/>
        <w:t>NTN-MEC via LLM/SLM/DRL</w:t>
      </w:r>
    </w:p>
    <w:p>
      <w:pPr>
        <w:jc w:val="center"/>
      </w:pPr>
      <w:r>
        <w:rPr>
          <w:sz w:val="24"/>
        </w:rPr>
        <w:t>Estudo Dirigido — Segunda Etapa</w:t>
        <w:br/>
      </w:r>
    </w:p>
    <w:p>
      <w:pPr>
        <w:spacing w:before="400"/>
        <w:jc w:val="center"/>
      </w:pPr>
      <w:r>
        <w:rPr>
          <w:sz w:val="22"/>
        </w:rPr>
        <w:t>Instituto de Computação — Universidade Estadual de Campinas (UNICAMP)</w:t>
        <w:br/>
        <w:br/>
        <w:t>Autor: Octávio Augusto Barquilia do Nascimento — RA 241327</w:t>
        <w:br/>
        <w:t>Orientador: Prof. Carlos Alberto Astudillo Trujillo</w:t>
        <w:br/>
        <w:t>Repositório: github.com/wocn-unicamp/CosmicBeats-Simulator</w:t>
        <w:br/>
        <w:t>Data: Maio de 2026</w:t>
      </w:r>
    </w:p>
    <w:p>
      <w:r>
        <w:br w:type="page"/>
      </w:r>
    </w:p>
    <w:p>
      <w:pPr>
        <w:pStyle w:val="Heading1"/>
      </w:pPr>
      <w:r>
        <w:t>1. Introdução e Contexto</w:t>
      </w:r>
    </w:p>
    <w:p>
      <w:pPr>
        <w:pStyle w:val="Heading2"/>
      </w:pPr>
      <w:r>
        <w:t>1.1. Cenário</w:t>
      </w:r>
    </w:p>
    <w:p>
      <w:r>
        <w:t>Uma constelação de três satélites em órbita baixa (LEO) atua como nós de computação de borda (MEC), cada um responsável por uma região geográfica (Brasil, Europa, EUA). Tarefas de processamento chegam continuamente e cada satélite decide, sozinho e em tempo real, se aceita, redireciona para outro satélite ou descarta a tarefa — sob restrições reais de bateria (ciclo solar/eclipse orbital) e RAM.</w:t>
      </w:r>
    </w:p>
    <w:p>
      <w:r>
        <w:t>Para enriquecer o cenário, 10% das tarefas trazem uma restrição semântica do mundo real: uma lei de privacidade europeia (GDPR), uma exigência de soberania de dados do Brasil, ou uma falha crítica de hardware. Cumprir essas regras exige entender o significado da restrição, não apenas otimizar recursos — esse é o núcleo do experimento.</w:t>
      </w:r>
    </w:p>
    <w:p>
      <w:pPr>
        <w:pStyle w:val="Heading2"/>
      </w:pPr>
      <w:r>
        <w:t>1.2. Trabalhos Relacionados (Estado da Arte)</w:t>
      </w:r>
    </w:p>
    <w:p>
      <w:r>
        <w:t>A aplicação de aprendizado por reforço profundo (DRL) à alocação de recursos em constelações LEO já é uma linha de pesquisa ativa: Jiang et al. (2025) propõem um esquema multiagente de DRL para escalonamento de tarefas on-orbit entre múltiplos satélites, reportando ganhos de até 70% em tempo e 68% em energia frente a uma linha de base sem otimização — confirmando que abordagens de DRL são eficientes computacionalmente, mas operam como "caixas-pretas" difíceis de adaptar a novas regras de negócio (como soberania de dados), exatamente a limitação que este projeto investiga.</w:t>
      </w:r>
    </w:p>
    <w:p>
      <w:r>
        <w:t>Em paralelo, o uso de Large Language Models (LLMs) para alocação de recursos em sistemas de comunicação é uma direção recente e ainda pouco explorada: Lee &amp; Park (2024) demonstram a viabilidade de LLMs para alocação de recursos sem fio, comparando-os a abordagens baseadas em redes neurais profundas (DNN) e propondo explicitamente uma arquitetura híbrida (DNN de baixa complexidade + LLM) para compensar as limitações de confiabilidade e latência do LLM — a mesma tensão DRL-vs-LLM que este projeto quantifica empiricamente. Abgaryan et al. (2024) mostram, em problemas de job-shop scheduling, que LLMs atingem desempenho comparável a abordagens neurais especializadas (RL/GNN), reforçando que a capacidade de escalonamento de LLMs não é apenas um efeito de superfície da linguagem.</w:t>
      </w:r>
    </w:p>
    <w:p>
      <w:r>
        <w:t>Do lado da infraestrutura, Deng et al. (2020) sistematizam o conceito de Edge Intelligence — a divisão entre "IA para a borda" (modelos especializados embarcados) e "IA na borda" (modelos gerais executados localmente) — que motiva a comparação entre o SLM embarcado e o LLM centralizado neste trabalho. Em sistemas reais de constelações IoT em LEO, Shenoy et al. (2024), com o sistema CosMAC, demonstram que o escalonamento ciente da topologia da constelação melhora o throughput em até 6,5× sobre abordagens tradicionais de acesso ao meio — evidência de que decisões de escalonamento sensíveis ao contexto têm impacto prático mensurável em constelações LEO operacionais, não apenas em simulação.</w:t>
      </w:r>
    </w:p>
    <w:p>
      <w:r>
        <w:t>Lacuna identificada: a literatura trata DRL, LLM e Edge Intelligence como linhas de pesquisa separadas, cada uma otimizando uma métrica numérica (tempo, energia, throughput). Nenhum dos trabalhos acima compara os quatro paradigmas — heurística fixa, DRL, SLM embarcado e LLM centralizado — no mesmo ambiente simulado, com foco na compliance semântica de decisões sujeitas a regras de negócio explícitas (GDPR, soberania de dados, falha de hardware). É essa lacuna que este projeto busca preencher.</w:t>
      </w:r>
    </w:p>
    <w:p>
      <w:pPr>
        <w:pStyle w:val="Heading2"/>
      </w:pPr>
      <w:r>
        <w:t>1.3. Motivação Científica e Objetivo</w:t>
      </w:r>
    </w:p>
    <w:p>
      <w:r>
        <w:t>Hipótese central: orquestradores que leem e interpretam regras em linguagem natural (SLM embarcado e LLM na nuvem) tomam decisões mais corretas que uma heurística fixa (BASELINE) ou um agente de aprendizado por reforço puramente numérico (DRL), pagando em troca mais latência e energia. O valor científico do experimento é quantificar esse trade-off entre correção semântica e custo computacional — uma decisão de engenharia real para sistemas NTN-MEC, que operam sob orçamento de energia e banda extremamente restrito.</w:t>
      </w:r>
    </w:p>
    <w:p>
      <w:pPr>
        <w:pStyle w:val="Heading1"/>
      </w:pPr>
      <w:r>
        <w:t>2. Metodologia</w:t>
      </w:r>
    </w:p>
    <w:p>
      <w:pPr>
        <w:pStyle w:val="Heading2"/>
      </w:pPr>
      <w:r>
        <w:t>2.1. Ambiente de Simulação</w:t>
      </w:r>
    </w:p>
    <w:p>
      <w:r>
        <w:t>O simulador CosmicBeats foi estendido com uma camada MEC intercambiável via variável de ambiente MEC_ENGINE, permitindo executar exatamente o mesmo cenário — mesma semente (random.seed(0)), mesma sequência de 69 tarefas, mesma janela de 20 minutos (1200 s) com passos de 5 s — sob quatro lógicas de decisão diferentes, isolando o efeito do paradigma de orquestração de qualquer outra variável.</w:t>
      </w:r>
    </w:p>
    <w:p>
      <w:r>
        <w:t>A chegada de tarefas segue um processo de Poisson — modelo padrão para tráfego IoT/NTN agregado (Guo et al., 2024) — com taxa λ = 4 tarefas/minuto, distribuídas uniformemente entre as três regiões. Cada tarefa exige 500 MB de RAM por 60 segundos (TASK_DURATION_S), liberada automaticamente ao final desse período; cada satélite dispõe de 4096 MB de RAM total.</w:t>
      </w:r>
    </w:p>
    <w:p>
      <w:r>
        <w:t>10% das tarefas (anomaly_rate = 0,10) recebem, de forma equiprovável, uma das três restrições semânticas: violação de GDPR (deve ser roteada exclusivamente para a região EUROPE, ou descartada se indisponível), exigência de soberania de dados do Brasil (deve ser roteada exclusivamente para BRAZIL) ou falha crítica de hardware (deve ser obrigatoriamente descartada). Essas três regras formam o gabarito (ground truth) usado para medir compliance semântica.</w:t>
      </w:r>
    </w:p>
    <w:p>
      <w:pPr>
        <w:pStyle w:val="Heading2"/>
      </w:pPr>
      <w:r>
        <w:t>2.2. Paradigmas de Orquestração Comparados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Engine</w:t>
            </w:r>
          </w:p>
        </w:tc>
        <w:tc>
          <w:tcPr>
            <w:tcW w:type="dxa" w:w="3135"/>
          </w:tcPr>
          <w:p>
            <w:r>
              <w:rPr>
                <w:b/>
              </w:rPr>
              <w:t>Paradigma</w:t>
            </w:r>
          </w:p>
        </w:tc>
        <w:tc>
          <w:tcPr>
            <w:tcW w:type="dxa" w:w="3135"/>
          </w:tcPr>
          <w:p>
            <w:r>
              <w:rPr>
                <w:b/>
              </w:rPr>
              <w:t>Como decide</w:t>
            </w:r>
          </w:p>
        </w:tc>
      </w:tr>
      <w:tr>
        <w:tc>
          <w:tcPr>
            <w:tcW w:type="dxa" w:w="3135"/>
          </w:tcPr>
          <w:p>
            <w:r>
              <w:t>BASELINE</w:t>
            </w:r>
          </w:p>
        </w:tc>
        <w:tc>
          <w:tcPr>
            <w:tcW w:type="dxa" w:w="3135"/>
          </w:tcPr>
          <w:p>
            <w:r>
              <w:t>Heurística gulosa</w:t>
            </w:r>
          </w:p>
        </w:tc>
        <w:tc>
          <w:tcPr>
            <w:tcW w:type="dxa" w:w="3135"/>
          </w:tcPr>
          <w:p>
            <w:r>
              <w:t>Maior bateria/RAM disponível na região da tarefa, sem noção de regras semânticas</w:t>
            </w:r>
          </w:p>
        </w:tc>
      </w:tr>
      <w:tr>
        <w:tc>
          <w:tcPr>
            <w:tcW w:type="dxa" w:w="3135"/>
          </w:tcPr>
          <w:p>
            <w:r>
              <w:t>DRL</w:t>
            </w:r>
          </w:p>
        </w:tc>
        <w:tc>
          <w:tcPr>
            <w:tcW w:type="dxa" w:w="3135"/>
          </w:tcPr>
          <w:p>
            <w:r>
              <w:t>SB3 DQN (offline, 50k episódios)</w:t>
            </w:r>
          </w:p>
        </w:tc>
        <w:tc>
          <w:tcPr>
            <w:tcW w:type="dxa" w:w="3135"/>
          </w:tcPr>
          <w:p>
            <w:r>
              <w:t>Vetor numérico de 13 features; nunca vê o TIPO da anomalia, só que ela existe</w:t>
            </w:r>
          </w:p>
        </w:tc>
      </w:tr>
      <w:tr>
        <w:tc>
          <w:tcPr>
            <w:tcW w:type="dxa" w:w="3135"/>
          </w:tcPr>
          <w:p>
            <w:r>
              <w:t>SLM</w:t>
            </w:r>
          </w:p>
        </w:tc>
        <w:tc>
          <w:tcPr>
            <w:tcW w:type="dxa" w:w="3135"/>
          </w:tcPr>
          <w:p>
            <w:r>
              <w:t>Edge AI embarcada (Gemma 4 26B)</w:t>
            </w:r>
          </w:p>
        </w:tc>
        <w:tc>
          <w:tcPr>
            <w:tcW w:type="dxa" w:w="3135"/>
          </w:tcPr>
          <w:p>
            <w:r>
              <w:t>Lê o prompt com as 3 regras em texto e decide via API, simulando inferência on-device</w:t>
            </w:r>
          </w:p>
        </w:tc>
      </w:tr>
      <w:tr>
        <w:tc>
          <w:tcPr>
            <w:tcW w:type="dxa" w:w="3135"/>
          </w:tcPr>
          <w:p>
            <w:r>
              <w:t>LLM</w:t>
            </w:r>
          </w:p>
        </w:tc>
        <w:tc>
          <w:tcPr>
            <w:tcW w:type="dxa" w:w="3135"/>
          </w:tcPr>
          <w:p>
            <w:r>
              <w:t>Cloud AI centralizada (Gemini 3.1)</w:t>
            </w:r>
          </w:p>
        </w:tc>
        <w:tc>
          <w:tcPr>
            <w:tcW w:type="dxa" w:w="3135"/>
          </w:tcPr>
          <w:p>
            <w:r>
              <w:t>Mesmo prompt do SLM, mas executado como orquestrador remoto na estação terrestre</w:t>
            </w:r>
          </w:p>
        </w:tc>
      </w:tr>
    </w:tbl>
    <w:p>
      <w:pPr>
        <w:pStyle w:val="Heading3"/>
      </w:pPr>
      <w:r>
        <w:t>2.2.1. BASELINE (Heurística Gulosa)</w:t>
      </w:r>
    </w:p>
    <w:p>
      <w:r>
        <w:t>Filtra candidatos por: (1) região compatível com a tarefa, (2) SOC de bateria &gt; 20%, (3) RAM livre ≥ requerida; escolhe o satélite com maior bateria, com empate resolvido por maior RAM livre. Não tem qualquer acesso às regras semânticas — sua decisão é puramente geográfica/numérica.</w:t>
      </w:r>
    </w:p>
    <w:p>
      <w:pPr>
        <w:pStyle w:val="Heading3"/>
      </w:pPr>
      <w:r>
        <w:t>2.2.2. DRL (SB3 DQN)</w:t>
      </w:r>
    </w:p>
    <w:p>
      <w:r>
        <w:t>O plano original previa DRL via Stable Baselines3 (SB3) com Gym Wrapper. Como o SB3 não pode ser conectado diretamente ao loop de eventos discretos do SimPy (que mantém estado compartilhado entre satélites), o treinamento foi separado da execução: um ambiente Gymnasium sintético (NTNMECEnv) gera 50.000 episódios cobrindo a distribuição real de estados da simulação; o modelo treinado roda apenas inferência determinística (~0.47 ms) dentro da simulação.</w:t>
      </w:r>
    </w:p>
    <w:p>
      <w:r>
        <w:t>Observação: vetor de 13 valores normalizados — região da tarefa (one-hot 3D), um sinal binário "há anomalia" e o estado de bateria/RAM/luz-solar dos 3 satélites. O agente nunca vê o TIPO da anomalia, só que ela existe — isso preserva a comparação justa com SLM/LLM, que leem a regra em texto. Durante o treino (apenas), a recompensa usa o subtipo real da anomalia — oculto, nunca exposto na observação — para ensinar a melhor estratégia possível dado essa cegueira parcial; isso é uma técnica de reward shaping, não um vazamento de informação para a política em produção. Ações: Discrete(4) → SAT-1 | SAT-2 | SAT-15 | DROP.</w:t>
      </w:r>
    </w:p>
    <w:p>
      <w:pPr>
        <w:pStyle w:val="Heading3"/>
      </w:pPr>
      <w:r>
        <w:t>2.2.3. SLM (Edge AI Embarcada)</w:t>
      </w:r>
    </w:p>
    <w:p>
      <w:r>
        <w:t>Sem hardware NPU disponível para teste, o SLM é simulado via API do Gemma 4 26B (modelo pequeno, classe de parâmetros equivalente a um SLM embarcado), operando em modo assíncrono: a tarefa fica "ocupando" o NPU simulado por uma latência fixa enquanto a chamada de API real ocorre em paralelo. A latência usada nos KPIs é fixada em 50 ms, na mesma ordem de grandeza de benchmarks recentes de inferência on-device para modelos de linguagem pequenos (Wang et al., 2025) — não é uma medição de um chip NPU específico, mas uma estimativa de cenário plausível para hardware satelital embarcado.</w:t>
      </w:r>
    </w:p>
    <w:p>
      <w:pPr>
        <w:pStyle w:val="Heading3"/>
      </w:pPr>
      <w:r>
        <w:t>2.2.4. LLM (Cloud AI Centralizada)</w:t>
      </w:r>
    </w:p>
    <w:p>
      <w:r>
        <w:t>Modelo Gemini 3.1 Flash Lite via API, representando um orquestrador centralizado na estação terrestre: recebe o mesmo prompt e as mesmas três regras semânticas do SLM, mas com latência de rede real (~6112 ms, medida) em vez de latência de benchmark de hardware embarcado — modelando o custo real de centralizar a decisão fora do satélite.</w:t>
      </w:r>
    </w:p>
    <w:p>
      <w:pPr>
        <w:pStyle w:val="Heading2"/>
      </w:pPr>
      <w:r>
        <w:t>2.3. Modelo de Bateria e Conectividade entre Satélites</w:t>
      </w:r>
    </w:p>
    <w:p>
      <w:r>
        <w:t>A bateria segue um modelo físico de eclipse orbital: a iluminação solar varia como uma senoide de período 90 minutos — faixa típica de órbitas LEO (90-120 min; Guo et al., 2024; 3GPP TR 38.821, 2022) — descrita por solar(t) = sin(2π(t + fase) / 5400). Abaixo de um limiar (solar(t) ≤ -0,10) o satélite entra em eclipse e a bateria drena por consumo de housekeeping; fora do eclipse, ela recarrega.</w:t>
      </w:r>
    </w:p>
    <w:p>
      <w:r>
        <w:t>Esse limiar implica eclipse em ~53% de cada órbita (46 dos 90 min). A literatura aponta eclipses mais curtos para LEO em geral — até ~35 minutos por revolução (Sumanth, 2019) — então o valor usado aqui é deliberadamente mais pessimista que o range típico: a escolha cria pressão energética suficiente para gerar quedas de bateria observáveis dentro da janela de 20 minutos simulada, funcionando como um cenário de stress, não como uma reprodução exata de uma órbita real.</w:t>
      </w:r>
    </w:p>
    <w:p>
      <w:r>
        <w:t>Os três satélites têm capacidades de 75, 50 e 100 Wh e fases orbitais diferentes — escolha de design para simular hardware heterogêneo, sem corresponder a um satélite real específico. Abaixo de 20% de carga (limiar de segurança, também escolha de design), o satélite recusa novas tarefas.</w:t>
      </w:r>
    </w:p>
    <w:p>
      <w:r>
        <w:t>O link entre satélites (ISL) é assumido sempre disponível — premissa comum em constelações modernas com ISL óptico — eliminando uma variável de qualidade de sinal fora do escopo deste estudo. Drops refletem exclusivamente esgotamento de bateria/RAM ou recusa semântica, nunca falha de transmissão.</w:t>
      </w:r>
    </w:p>
    <w:p>
      <w:pPr>
        <w:pStyle w:val="Heading2"/>
      </w:pPr>
      <w:r>
        <w:t>2.4. Parâmetros de Simulação e Proveniência</w:t>
      </w:r>
    </w:p>
    <w:p>
      <w:r>
        <w:t>Toda premissa numérica usada no simulador é listada abaixo com sua fonte. Quando não há uma fonte real e específica, o parâmetro é rotulado explicitamente como "escolha de design do experimento" — não deve ser lido como um fato de engenharia estabelecido.</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Parâmetro</w:t>
            </w:r>
          </w:p>
        </w:tc>
        <w:tc>
          <w:tcPr>
            <w:tcW w:type="dxa" w:w="3135"/>
          </w:tcPr>
          <w:p>
            <w:r>
              <w:rPr>
                <w:b/>
              </w:rPr>
              <w:t>Valor</w:t>
            </w:r>
          </w:p>
        </w:tc>
        <w:tc>
          <w:tcPr>
            <w:tcW w:type="dxa" w:w="3135"/>
          </w:tcPr>
          <w:p>
            <w:r>
              <w:rPr>
                <w:b/>
              </w:rPr>
              <w:t>Fonte / Justificativa</w:t>
            </w:r>
          </w:p>
        </w:tc>
      </w:tr>
      <w:tr>
        <w:tc>
          <w:tcPr>
            <w:tcW w:type="dxa" w:w="3135"/>
          </w:tcPr>
          <w:p>
            <w:r>
              <w:t>Período orbital</w:t>
            </w:r>
          </w:p>
        </w:tc>
        <w:tc>
          <w:tcPr>
            <w:tcW w:type="dxa" w:w="3135"/>
          </w:tcPr>
          <w:p>
            <w:r>
              <w:t>90 min</w:t>
            </w:r>
          </w:p>
        </w:tc>
        <w:tc>
          <w:tcPr>
            <w:tcW w:type="dxa" w:w="3135"/>
          </w:tcPr>
          <w:p>
            <w:r>
              <w:t>Faixa típica de órbitas LEO (Guo et al., 2024; 3GPP TR 38.821, 2022)</w:t>
            </w:r>
          </w:p>
        </w:tc>
      </w:tr>
      <w:tr>
        <w:tc>
          <w:tcPr>
            <w:tcW w:type="dxa" w:w="3135"/>
          </w:tcPr>
          <w:p>
            <w:r>
              <w:t>Fração de eclipse</w:t>
            </w:r>
          </w:p>
        </w:tc>
        <w:tc>
          <w:tcPr>
            <w:tcW w:type="dxa" w:w="3135"/>
          </w:tcPr>
          <w:p>
            <w:r>
              <w:t>~53% (46 min/órbita)</w:t>
            </w:r>
          </w:p>
        </w:tc>
        <w:tc>
          <w:tcPr>
            <w:tcW w:type="dxa" w:w="3135"/>
          </w:tcPr>
          <w:p>
            <w:r>
              <w:t>Acima do range típico (~35 min, Sumanth, 2019) — escolha de design (cenário pessimista de stress de bateria)</w:t>
            </w:r>
          </w:p>
        </w:tc>
      </w:tr>
      <w:tr>
        <w:tc>
          <w:tcPr>
            <w:tcW w:type="dxa" w:w="3135"/>
          </w:tcPr>
          <w:p>
            <w:r>
              <w:t>Limiar de segurança de bateria</w:t>
            </w:r>
          </w:p>
        </w:tc>
        <w:tc>
          <w:tcPr>
            <w:tcW w:type="dxa" w:w="3135"/>
          </w:tcPr>
          <w:p>
            <w:r>
              <w:t>20% SOC</w:t>
            </w:r>
          </w:p>
        </w:tc>
        <w:tc>
          <w:tcPr>
            <w:tcW w:type="dxa" w:w="3135"/>
          </w:tcPr>
          <w:p>
            <w:r>
              <w:t>Escolha de design do experimento</w:t>
            </w:r>
          </w:p>
        </w:tc>
      </w:tr>
      <w:tr>
        <w:tc>
          <w:tcPr>
            <w:tcW w:type="dxa" w:w="3135"/>
          </w:tcPr>
          <w:p>
            <w:r>
              <w:t>Capacidades de bateria</w:t>
            </w:r>
          </w:p>
        </w:tc>
        <w:tc>
          <w:tcPr>
            <w:tcW w:type="dxa" w:w="3135"/>
          </w:tcPr>
          <w:p>
            <w:r>
              <w:t>75 / 50 / 100 Wh</w:t>
            </w:r>
          </w:p>
        </w:tc>
        <w:tc>
          <w:tcPr>
            <w:tcW w:type="dxa" w:w="3135"/>
          </w:tcPr>
          <w:p>
            <w:r>
              <w:t>Escolha de design (hardware heterogêneo simulado)</w:t>
            </w:r>
          </w:p>
        </w:tc>
      </w:tr>
      <w:tr>
        <w:tc>
          <w:tcPr>
            <w:tcW w:type="dxa" w:w="3135"/>
          </w:tcPr>
          <w:p>
            <w:r>
              <w:t>Latência SLM (NPU)</w:t>
            </w:r>
          </w:p>
        </w:tc>
        <w:tc>
          <w:tcPr>
            <w:tcW w:type="dxa" w:w="3135"/>
          </w:tcPr>
          <w:p>
            <w:r>
              <w:t>50 ms</w:t>
            </w:r>
          </w:p>
        </w:tc>
        <w:tc>
          <w:tcPr>
            <w:tcW w:type="dxa" w:w="3135"/>
          </w:tcPr>
          <w:p>
            <w:r>
              <w:t>Ordem de grandeza de benchmarks de inferência on-device (Wang et al., 2025)</w:t>
            </w:r>
          </w:p>
        </w:tc>
      </w:tr>
      <w:tr>
        <w:tc>
          <w:tcPr>
            <w:tcW w:type="dxa" w:w="3135"/>
          </w:tcPr>
          <w:p>
            <w:r>
              <w:t>Chegada de tarefas</w:t>
            </w:r>
          </w:p>
        </w:tc>
        <w:tc>
          <w:tcPr>
            <w:tcW w:type="dxa" w:w="3135"/>
          </w:tcPr>
          <w:p>
            <w:r>
              <w:t>Poisson, λ=4/min</w:t>
            </w:r>
          </w:p>
        </w:tc>
        <w:tc>
          <w:tcPr>
            <w:tcW w:type="dxa" w:w="3135"/>
          </w:tcPr>
          <w:p>
            <w:r>
              <w:t>Modelo padrão para tráfego IoT/NTN (Guo et al., 2024); taxa específica é escolha de design</w:t>
            </w:r>
          </w:p>
        </w:tc>
      </w:tr>
      <w:tr>
        <w:tc>
          <w:tcPr>
            <w:tcW w:type="dxa" w:w="3135"/>
          </w:tcPr>
          <w:p>
            <w:r>
              <w:t>RAM total / por tarefa</w:t>
            </w:r>
          </w:p>
        </w:tc>
        <w:tc>
          <w:tcPr>
            <w:tcW w:type="dxa" w:w="3135"/>
          </w:tcPr>
          <w:p>
            <w:r>
              <w:t>4096 MB / 500 MB</w:t>
            </w:r>
          </w:p>
        </w:tc>
        <w:tc>
          <w:tcPr>
            <w:tcW w:type="dxa" w:w="3135"/>
          </w:tcPr>
          <w:p>
            <w:r>
              <w:t>Escolha de design do experimento</w:t>
            </w:r>
          </w:p>
        </w:tc>
      </w:tr>
      <w:tr>
        <w:tc>
          <w:tcPr>
            <w:tcW w:type="dxa" w:w="3135"/>
          </w:tcPr>
          <w:p>
            <w:r>
              <w:t>Duração da tarefa</w:t>
            </w:r>
          </w:p>
        </w:tc>
        <w:tc>
          <w:tcPr>
            <w:tcW w:type="dxa" w:w="3135"/>
          </w:tcPr>
          <w:p>
            <w:r>
              <w:t>60 s</w:t>
            </w:r>
          </w:p>
        </w:tc>
        <w:tc>
          <w:tcPr>
            <w:tcW w:type="dxa" w:w="3135"/>
          </w:tcPr>
          <w:p>
            <w:r>
              <w:t>Escolha de design do experimento</w:t>
            </w:r>
          </w:p>
        </w:tc>
      </w:tr>
      <w:tr>
        <w:tc>
          <w:tcPr>
            <w:tcW w:type="dxa" w:w="3135"/>
          </w:tcPr>
          <w:p>
            <w:r>
              <w:t>Taxa de anomalia semântica</w:t>
            </w:r>
          </w:p>
        </w:tc>
        <w:tc>
          <w:tcPr>
            <w:tcW w:type="dxa" w:w="3135"/>
          </w:tcPr>
          <w:p>
            <w:r>
              <w:t>10%</w:t>
            </w:r>
          </w:p>
        </w:tc>
        <w:tc>
          <w:tcPr>
            <w:tcW w:type="dxa" w:w="3135"/>
          </w:tcPr>
          <w:p>
            <w:r>
              <w:t>Escolha de design do experimento (gera amostra de 8 casos em 69 tarefas)</w:t>
            </w:r>
          </w:p>
        </w:tc>
      </w:tr>
    </w:tbl>
    <w:p>
      <w:pPr>
        <w:pStyle w:val="Heading2"/>
      </w:pPr>
      <w:r>
        <w:t>2.5. Indicadores de Avaliação (Métricas)</w:t>
      </w:r>
    </w:p>
    <w:p>
      <w:r>
        <w:t>Princípio de medição: neste experimento, uma tarefa nunca está "perdida" — o satélite sempre tenta executar ou redirecionar; o que importa é se a decisão (incluindo descartar) foi a correta. Por isso, as métricas de compliance — não a taxa de sucesso bruta — são o KPI primário deste estudo.</w:t>
      </w:r>
    </w:p>
    <w:p>
      <w:pPr>
        <w:pStyle w:val="ListBullet"/>
      </w:pPr>
      <w:r>
        <w:rPr>
          <w:b/>
        </w:rPr>
        <w:t xml:space="preserve">semantic_compliance_rate: </w:t>
      </w:r>
      <w:r>
        <w:t>fração de TODAS as decisões (com ou sem anomalia) que coincidem com o gabarito de regras (Seção 2.1) — para tarefas sem anomalia, qualquer roteamento válido para a região correta conta como compliant; para tarefas com anomalia, só a ação prescrita pela regra (incluindo descarte, quando for o caso) conta.</w:t>
      </w:r>
    </w:p>
    <w:p>
      <w:pPr>
        <w:pStyle w:val="ListBullet"/>
      </w:pPr>
      <w:r>
        <w:rPr>
          <w:b/>
        </w:rPr>
        <w:t xml:space="preserve">anomaly_compliance_rate: </w:t>
      </w:r>
      <w:r>
        <w:t>a mesma métrica acima, isolada às 8 tarefas com restrição semântica explícita — mede especificamente a capacidade de raciocínio sobre regras de negócio, não apenas roteamento geográfico trivial.</w:t>
      </w:r>
    </w:p>
    <w:p>
      <w:pPr>
        <w:pStyle w:val="ListBullet"/>
      </w:pPr>
      <w:r>
        <w:rPr>
          <w:b/>
        </w:rPr>
        <w:t xml:space="preserve">success_rate / effective_success_rate: </w:t>
      </w:r>
      <w:r>
        <w:t>fração de tarefas que foram efetivamente processadas (não descartadas) — métrica de throughput puro; penaliza igualmente descartes corretos e incorretos, por isso é tratada como dado técnico secundário, não como medida de "inteligência".</w:t>
      </w:r>
    </w:p>
    <w:p>
      <w:pPr>
        <w:pStyle w:val="ListBullet"/>
      </w:pPr>
      <w:r>
        <w:rPr>
          <w:b/>
        </w:rPr>
        <w:t xml:space="preserve">drop_rate: </w:t>
      </w:r>
      <w:r>
        <w:t>fração de tarefas descartadas, corretas ou não (1 − success_rate).</w:t>
      </w:r>
    </w:p>
    <w:p>
      <w:pPr>
        <w:pStyle w:val="ListBullet"/>
      </w:pPr>
      <w:r>
        <w:rPr>
          <w:b/>
        </w:rPr>
        <w:t xml:space="preserve">avg_latency_ms: </w:t>
      </w:r>
      <w:r>
        <w:t>tempo médio de decisão por tarefa: ~0 ms (BASELINE, if/else), inferência MLP (DRL), benchmark de NPU fixo (SLM) ou round-trip real de rede (LLM).</w:t>
      </w:r>
    </w:p>
    <w:p>
      <w:pPr>
        <w:pStyle w:val="ListBullet"/>
      </w:pPr>
      <w:r>
        <w:rPr>
          <w:b/>
        </w:rPr>
        <w:t xml:space="preserve">Energia total / energia por decisão (J): </w:t>
      </w:r>
      <w:r>
        <w:t>joules estimados por paradigma computacional (CPU if/else, inferência DRL, NPU embarcado, round-trip de rede para a nuvem) — constantes de calibração, não medições de hardware físico.</w:t>
      </w:r>
    </w:p>
    <w:p>
      <w:pPr>
        <w:pStyle w:val="ListBullet"/>
      </w:pPr>
      <w:r>
        <w:rPr>
          <w:b/>
        </w:rPr>
        <w:t xml:space="preserve">avg_ram_utilization_pct: </w:t>
      </w:r>
      <w:r>
        <w:t>utilização de RAM ponderada pelo tempo — integral de (RAM em uso / capacidade total) × dt ao longo dos 1200s de simulação, calculada por satélite e então média da frota. Reportada como nota metodológica na Seção 4.2 (não como KPI primário), pois o valor esperado já pode ser derivado analiticamente pela Lei de Little e as diferenças entre engines são secundárias frente às métricas de compliance e energia.</w:t>
      </w:r>
    </w:p>
    <w:p>
      <w:pPr>
        <w:pStyle w:val="Heading1"/>
      </w:pPr>
      <w:r>
        <w:t>3. Desafios Técnicos Superados</w:t>
      </w:r>
    </w:p>
    <w:p>
      <w:pPr>
        <w:pStyle w:val="ListNumber"/>
      </w:pPr>
      <w:r>
        <w:t>RAM sem recuperação: tarefas consumiam RAM permanentemente, esgotando os 4096 MB após ~8 tarefas. Corrigido liberando RAM 60s após a conclusão de cada tarefa (TASK_DURATION_S).</w:t>
      </w:r>
    </w:p>
    <w:p>
      <w:pPr>
        <w:pStyle w:val="ListNumber"/>
      </w:pPr>
      <w:r>
        <w:t>DRL sem aprendizado real: a versão inicial usava pesos fixos (0,6×bateria + 0,4×RAM), sem qualquer treinamento. Substituído pelo agente SB3 DQN descrito na Seção 2.2.2.</w:t>
      </w:r>
    </w:p>
    <w:p>
      <w:pPr>
        <w:pStyle w:val="ListNumber"/>
      </w:pPr>
      <w:r>
        <w:t>Latência do SLM media o tempo de rede da API (segundos), não o hardware-alvo. Corrigido para usar a latência de benchmark de NPU (50 ms) nos KPIs, mantendo o tempo de rede real apenas como diagnóstico.</w:t>
      </w:r>
    </w:p>
    <w:p>
      <w:pPr>
        <w:pStyle w:val="ListNumber"/>
      </w:pPr>
      <w:r>
        <w:t>O prompt do LLM não incluía as regras semânticas nem um limitador de taxa, causando estouro do rate limit da API. Unificado com o mesmo prompt e regras do SLM, com limitador de 10 RPM.</w:t>
      </w:r>
    </w:p>
    <w:p>
      <w:pPr>
        <w:pStyle w:val="ListNumber"/>
      </w:pPr>
      <w:r>
        <w:t>O modelo de bateria estático foi substituído pelo modelo físico de eclipse orbital (Seção 2.3), após constatar que ele criava drops artificiais não relacionados a recursos reais.</w:t>
      </w:r>
    </w:p>
    <w:p>
      <w:pPr>
        <w:pStyle w:val="ListNumber"/>
      </w:pPr>
      <w:r>
        <w:t>API do SLM retorna o "pensamento" (thought) e a resposta final em partes separadas; o código inicial lia apenas a primeira parte (quase sempre o raciocínio, não a decisão), gerando ~40% de falhas de parsing que pareciam instabilidade de rede. Corrigido para usar apenas as partes finais (thought=false), eliminando praticamente todas as falhas espúrias (de 14 para 2 drops por causas de infraestrutura, de 69 tarefas).</w:t>
      </w:r>
    </w:p>
    <w:p>
      <w:pPr>
        <w:pStyle w:val="ListNumber"/>
      </w:pPr>
      <w:r>
        <w:t>DQN.load() (Stable Baselines3) reseta a seed global do módulo random do Python ao carregar o checkpoint treinado, sobrescrevendo o random.seed(0) definido no início da simulação antes da geração da primeira chegada de tarefa — fazendo o DRL processar uma sequência de tarefas diferente (e mais curta) que os demais engines. Corrigido restaurando o seed imediatamente após DQN.load().</w:t>
      </w:r>
    </w:p>
    <w:p>
      <w:pPr>
        <w:pStyle w:val="Heading1"/>
      </w:pPr>
      <w:r>
        <w:t>4. Resultados e Análise</w:t>
      </w:r>
    </w:p>
    <w:p>
      <w:r>
        <w:t>Todos os engines processam exatamente a mesma sequência de 69 tarefas (mesma semente, mesma janela de 1200 s) — as definições formais de cada métrica estão na Seção 2.5.</w:t>
      </w:r>
    </w:p>
    <w:p>
      <w:pPr>
        <w:pStyle w:val="Heading2"/>
      </w:pPr>
      <w:r>
        <w:t>4.1. Tabela Comparativa de KPIs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KPI</w:t>
            </w:r>
          </w:p>
        </w:tc>
        <w:tc>
          <w:tcPr>
            <w:tcW w:type="dxa" w:w="1881"/>
          </w:tcPr>
          <w:p>
            <w:r>
              <w:rPr>
                <w:b/>
              </w:rPr>
              <w:t>BASELINE</w:t>
            </w:r>
          </w:p>
        </w:tc>
        <w:tc>
          <w:tcPr>
            <w:tcW w:type="dxa" w:w="1881"/>
          </w:tcPr>
          <w:p>
            <w:r>
              <w:rPr>
                <w:b/>
              </w:rPr>
              <w:t>DRL (SB3)</w:t>
            </w:r>
          </w:p>
        </w:tc>
        <w:tc>
          <w:tcPr>
            <w:tcW w:type="dxa" w:w="1881"/>
          </w:tcPr>
          <w:p>
            <w:r>
              <w:rPr>
                <w:b/>
              </w:rPr>
              <w:t>SLM (Gemma 4)</w:t>
            </w:r>
          </w:p>
        </w:tc>
        <w:tc>
          <w:tcPr>
            <w:tcW w:type="dxa" w:w="1881"/>
          </w:tcPr>
          <w:p>
            <w:r>
              <w:rPr>
                <w:b/>
              </w:rPr>
              <w:t>LLM (Gemini 3.1)</w:t>
            </w:r>
          </w:p>
        </w:tc>
      </w:tr>
      <w:tr>
        <w:tc>
          <w:tcPr>
            <w:tcW w:type="dxa" w:w="1881"/>
          </w:tcPr>
          <w:p>
            <w:r>
              <w:t>Total de tarefas</w:t>
            </w:r>
          </w:p>
        </w:tc>
        <w:tc>
          <w:tcPr>
            <w:tcW w:type="dxa" w:w="1881"/>
          </w:tcPr>
          <w:p>
            <w:r>
              <w:t>69</w:t>
            </w:r>
          </w:p>
        </w:tc>
        <w:tc>
          <w:tcPr>
            <w:tcW w:type="dxa" w:w="1881"/>
          </w:tcPr>
          <w:p>
            <w:r>
              <w:t>69</w:t>
            </w:r>
          </w:p>
        </w:tc>
        <w:tc>
          <w:tcPr>
            <w:tcW w:type="dxa" w:w="1881"/>
          </w:tcPr>
          <w:p>
            <w:r>
              <w:t>69</w:t>
            </w:r>
          </w:p>
        </w:tc>
        <w:tc>
          <w:tcPr>
            <w:tcW w:type="dxa" w:w="1881"/>
          </w:tcPr>
          <w:p>
            <w:r>
              <w:t>69</w:t>
            </w:r>
          </w:p>
        </w:tc>
      </w:tr>
      <w:tr>
        <w:tc>
          <w:tcPr>
            <w:tcW w:type="dxa" w:w="1881"/>
          </w:tcPr>
          <w:p>
            <w:r>
              <w:t>Compliance semântica</w:t>
            </w:r>
          </w:p>
        </w:tc>
        <w:tc>
          <w:tcPr>
            <w:tcW w:type="dxa" w:w="1881"/>
          </w:tcPr>
          <w:p>
            <w:r>
              <w:t>91.3%</w:t>
            </w:r>
          </w:p>
        </w:tc>
        <w:tc>
          <w:tcPr>
            <w:tcW w:type="dxa" w:w="1881"/>
          </w:tcPr>
          <w:p>
            <w:r>
              <w:t>92.8%</w:t>
            </w:r>
          </w:p>
        </w:tc>
        <w:tc>
          <w:tcPr>
            <w:tcW w:type="dxa" w:w="1881"/>
          </w:tcPr>
          <w:p>
            <w:r>
              <w:t>97.1%</w:t>
            </w:r>
          </w:p>
        </w:tc>
        <w:tc>
          <w:tcPr>
            <w:tcW w:type="dxa" w:w="1881"/>
          </w:tcPr>
          <w:p>
            <w:r>
              <w:t>100.0%</w:t>
            </w:r>
          </w:p>
        </w:tc>
      </w:tr>
      <w:tr>
        <w:tc>
          <w:tcPr>
            <w:tcW w:type="dxa" w:w="1881"/>
          </w:tcPr>
          <w:p>
            <w:r>
              <w:t>Compliance em anomalias</w:t>
            </w:r>
          </w:p>
        </w:tc>
        <w:tc>
          <w:tcPr>
            <w:tcW w:type="dxa" w:w="1881"/>
          </w:tcPr>
          <w:p>
            <w:r>
              <w:t>25.0%</w:t>
            </w:r>
          </w:p>
        </w:tc>
        <w:tc>
          <w:tcPr>
            <w:tcW w:type="dxa" w:w="1881"/>
          </w:tcPr>
          <w:p>
            <w:r>
              <w:t>37.5%</w:t>
            </w:r>
          </w:p>
        </w:tc>
        <w:tc>
          <w:tcPr>
            <w:tcW w:type="dxa" w:w="1881"/>
          </w:tcPr>
          <w:p>
            <w:r>
              <w:t>75.0%</w:t>
            </w:r>
          </w:p>
        </w:tc>
        <w:tc>
          <w:tcPr>
            <w:tcW w:type="dxa" w:w="1881"/>
          </w:tcPr>
          <w:p>
            <w:r>
              <w:t>100.0%</w:t>
            </w:r>
          </w:p>
        </w:tc>
      </w:tr>
      <w:tr>
        <w:tc>
          <w:tcPr>
            <w:tcW w:type="dxa" w:w="1881"/>
          </w:tcPr>
          <w:p>
            <w:r>
              <w:t>Taxa de sucesso (throughput)</w:t>
            </w:r>
          </w:p>
        </w:tc>
        <w:tc>
          <w:tcPr>
            <w:tcW w:type="dxa" w:w="1881"/>
          </w:tcPr>
          <w:p>
            <w:r>
              <w:t>100.0%</w:t>
            </w:r>
          </w:p>
        </w:tc>
        <w:tc>
          <w:tcPr>
            <w:tcW w:type="dxa" w:w="1881"/>
          </w:tcPr>
          <w:p>
            <w:r>
              <w:t>88.4%</w:t>
            </w:r>
          </w:p>
        </w:tc>
        <w:tc>
          <w:tcPr>
            <w:tcW w:type="dxa" w:w="1881"/>
          </w:tcPr>
          <w:p>
            <w:r>
              <w:t>89.9%</w:t>
            </w:r>
          </w:p>
        </w:tc>
        <w:tc>
          <w:tcPr>
            <w:tcW w:type="dxa" w:w="1881"/>
          </w:tcPr>
          <w:p>
            <w:r>
              <w:t>95.7%</w:t>
            </w:r>
          </w:p>
        </w:tc>
      </w:tr>
      <w:tr>
        <w:tc>
          <w:tcPr>
            <w:tcW w:type="dxa" w:w="1881"/>
          </w:tcPr>
          <w:p>
            <w:r>
              <w:t>Drop rate</w:t>
            </w:r>
          </w:p>
        </w:tc>
        <w:tc>
          <w:tcPr>
            <w:tcW w:type="dxa" w:w="1881"/>
          </w:tcPr>
          <w:p>
            <w:r>
              <w:t>0.0%</w:t>
            </w:r>
          </w:p>
        </w:tc>
        <w:tc>
          <w:tcPr>
            <w:tcW w:type="dxa" w:w="1881"/>
          </w:tcPr>
          <w:p>
            <w:r>
              <w:t>11.6%</w:t>
            </w:r>
          </w:p>
        </w:tc>
        <w:tc>
          <w:tcPr>
            <w:tcW w:type="dxa" w:w="1881"/>
          </w:tcPr>
          <w:p>
            <w:r>
              <w:t>10.1%</w:t>
            </w:r>
          </w:p>
        </w:tc>
        <w:tc>
          <w:tcPr>
            <w:tcW w:type="dxa" w:w="1881"/>
          </w:tcPr>
          <w:p>
            <w:r>
              <w:t>4.3%</w:t>
            </w:r>
          </w:p>
        </w:tc>
      </w:tr>
      <w:tr>
        <w:tc>
          <w:tcPr>
            <w:tcW w:type="dxa" w:w="1881"/>
          </w:tcPr>
          <w:p>
            <w:r>
              <w:t>Latência média</w:t>
            </w:r>
          </w:p>
        </w:tc>
        <w:tc>
          <w:tcPr>
            <w:tcW w:type="dxa" w:w="1881"/>
          </w:tcPr>
          <w:p>
            <w:r>
              <w:t>~0 ms</w:t>
            </w:r>
          </w:p>
        </w:tc>
        <w:tc>
          <w:tcPr>
            <w:tcW w:type="dxa" w:w="1881"/>
          </w:tcPr>
          <w:p>
            <w:r>
              <w:t>0.47 ms</w:t>
            </w:r>
          </w:p>
        </w:tc>
        <w:tc>
          <w:tcPr>
            <w:tcW w:type="dxa" w:w="1881"/>
          </w:tcPr>
          <w:p>
            <w:r>
              <w:t>50 ms (NPU)</w:t>
            </w:r>
          </w:p>
        </w:tc>
        <w:tc>
          <w:tcPr>
            <w:tcW w:type="dxa" w:w="1881"/>
          </w:tcPr>
          <w:p>
            <w:r>
              <w:t>6111.9 ms</w:t>
            </w:r>
          </w:p>
        </w:tc>
      </w:tr>
      <w:tr>
        <w:tc>
          <w:tcPr>
            <w:tcW w:type="dxa" w:w="1881"/>
          </w:tcPr>
          <w:p>
            <w:r>
              <w:t>Energia total</w:t>
            </w:r>
          </w:p>
        </w:tc>
        <w:tc>
          <w:tcPr>
            <w:tcW w:type="dxa" w:w="1881"/>
          </w:tcPr>
          <w:p>
            <w:r>
              <w:t>0.069 J</w:t>
            </w:r>
          </w:p>
        </w:tc>
        <w:tc>
          <w:tcPr>
            <w:tcW w:type="dxa" w:w="1881"/>
          </w:tcPr>
          <w:p>
            <w:r>
              <w:t>0.345 J</w:t>
            </w:r>
          </w:p>
        </w:tc>
        <w:tc>
          <w:tcPr>
            <w:tcW w:type="dxa" w:w="1881"/>
          </w:tcPr>
          <w:p>
            <w:r>
              <w:t>6.9 J</w:t>
            </w:r>
          </w:p>
        </w:tc>
        <w:tc>
          <w:tcPr>
            <w:tcW w:type="dxa" w:w="1881"/>
          </w:tcPr>
          <w:p>
            <w:r>
              <w:t>345.0 J</w:t>
            </w:r>
          </w:p>
        </w:tc>
      </w:tr>
      <w:tr>
        <w:tc>
          <w:tcPr>
            <w:tcW w:type="dxa" w:w="1881"/>
          </w:tcPr>
          <w:p>
            <w:r>
              <w:t>Energia/decisão</w:t>
            </w:r>
          </w:p>
        </w:tc>
        <w:tc>
          <w:tcPr>
            <w:tcW w:type="dxa" w:w="1881"/>
          </w:tcPr>
          <w:p>
            <w:r>
              <w:t>0.001 J</w:t>
            </w:r>
          </w:p>
        </w:tc>
        <w:tc>
          <w:tcPr>
            <w:tcW w:type="dxa" w:w="1881"/>
          </w:tcPr>
          <w:p>
            <w:r>
              <w:t>0.005 J</w:t>
            </w:r>
          </w:p>
        </w:tc>
        <w:tc>
          <w:tcPr>
            <w:tcW w:type="dxa" w:w="1881"/>
          </w:tcPr>
          <w:p>
            <w:r>
              <w:t>0.100 J</w:t>
            </w:r>
          </w:p>
        </w:tc>
        <w:tc>
          <w:tcPr>
            <w:tcW w:type="dxa" w:w="1881"/>
          </w:tcPr>
          <w:p>
            <w:r>
              <w:t>5.000 J</w:t>
            </w:r>
          </w:p>
        </w:tc>
      </w:tr>
    </w:tbl>
    <w:p>
      <w:r>
        <w:t>Nota: o SLM apresentou 2 quedas residuais por instabilidade de rede da API (de 69 chamadas), mesmo após a correção do bug de parsing (Seção 3) — não afetam a compliance semântica, que trata tarefas sem anomalia como corretas independentemente de descarte.</w:t>
      </w:r>
    </w:p>
    <w:p>
      <w:pPr>
        <w:pStyle w:val="Heading2"/>
      </w:pPr>
      <w:r>
        <w:t>4.2. Eficiência Energética</w:t>
      </w:r>
    </w:p>
    <w:p>
      <w:r>
        <w:t>O diferencial mais dramático entre os engines é o consumo energético por decisão. A razão LLM/BASELINE é de 5000×, refletindo o custo real de centralizar a decisão na nuvem versus processá-la localmente.</w:t>
      </w:r>
    </w:p>
    <w:p>
      <w:r>
        <w:t>A tabela a seguir mostra o estado final das baterias dos satélites ao fim da simulação com o engine BASELINE: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Satélite</w:t>
            </w:r>
          </w:p>
        </w:tc>
        <w:tc>
          <w:tcPr>
            <w:tcW w:type="dxa" w:w="2351"/>
          </w:tcPr>
          <w:p>
            <w:r>
              <w:rPr>
                <w:b/>
              </w:rPr>
              <w:t>Região</w:t>
            </w:r>
          </w:p>
        </w:tc>
        <w:tc>
          <w:tcPr>
            <w:tcW w:type="dxa" w:w="2351"/>
          </w:tcPr>
          <w:p>
            <w:r>
              <w:rPr>
                <w:b/>
              </w:rPr>
              <w:t>Capacidade</w:t>
            </w:r>
          </w:p>
        </w:tc>
        <w:tc>
          <w:tcPr>
            <w:tcW w:type="dxa" w:w="2351"/>
          </w:tcPr>
          <w:p>
            <w:r>
              <w:rPr>
                <w:b/>
              </w:rPr>
              <w:t>SOC Final</w:t>
            </w:r>
          </w:p>
        </w:tc>
      </w:tr>
      <w:tr>
        <w:tc>
          <w:tcPr>
            <w:tcW w:type="dxa" w:w="2351"/>
          </w:tcPr>
          <w:p>
            <w:r>
              <w:t>SAT-1</w:t>
            </w:r>
          </w:p>
        </w:tc>
        <w:tc>
          <w:tcPr>
            <w:tcW w:type="dxa" w:w="2351"/>
          </w:tcPr>
          <w:p>
            <w:r>
              <w:t>BRAZIL</w:t>
            </w:r>
          </w:p>
        </w:tc>
        <w:tc>
          <w:tcPr>
            <w:tcW w:type="dxa" w:w="2351"/>
          </w:tcPr>
          <w:p>
            <w:r>
              <w:t>75 Wh</w:t>
            </w:r>
          </w:p>
        </w:tc>
        <w:tc>
          <w:tcPr>
            <w:tcW w:type="dxa" w:w="2351"/>
          </w:tcPr>
          <w:p>
            <w:r>
              <w:t>61.9% (Solar)</w:t>
            </w:r>
          </w:p>
        </w:tc>
      </w:tr>
      <w:tr>
        <w:tc>
          <w:tcPr>
            <w:tcW w:type="dxa" w:w="2351"/>
          </w:tcPr>
          <w:p>
            <w:r>
              <w:t>SAT-2</w:t>
            </w:r>
          </w:p>
        </w:tc>
        <w:tc>
          <w:tcPr>
            <w:tcW w:type="dxa" w:w="2351"/>
          </w:tcPr>
          <w:p>
            <w:r>
              <w:t>EUROPE</w:t>
            </w:r>
          </w:p>
        </w:tc>
        <w:tc>
          <w:tcPr>
            <w:tcW w:type="dxa" w:w="2351"/>
          </w:tcPr>
          <w:p>
            <w:r>
              <w:t>50 Wh</w:t>
            </w:r>
          </w:p>
        </w:tc>
        <w:tc>
          <w:tcPr>
            <w:tcW w:type="dxa" w:w="2351"/>
          </w:tcPr>
          <w:p>
            <w:r>
              <w:t>21.8% ⚠ (Eclipse, 1,8 pp acima do threshold)</w:t>
            </w:r>
          </w:p>
        </w:tc>
      </w:tr>
      <w:tr>
        <w:tc>
          <w:tcPr>
            <w:tcW w:type="dxa" w:w="2351"/>
          </w:tcPr>
          <w:p>
            <w:r>
              <w:t>SAT-15</w:t>
            </w:r>
          </w:p>
        </w:tc>
        <w:tc>
          <w:tcPr>
            <w:tcW w:type="dxa" w:w="2351"/>
          </w:tcPr>
          <w:p>
            <w:r>
              <w:t>USA</w:t>
            </w:r>
          </w:p>
        </w:tc>
        <w:tc>
          <w:tcPr>
            <w:tcW w:type="dxa" w:w="2351"/>
          </w:tcPr>
          <w:p>
            <w:r>
              <w:t>100 Wh</w:t>
            </w:r>
          </w:p>
        </w:tc>
        <w:tc>
          <w:tcPr>
            <w:tcW w:type="dxa" w:w="2351"/>
          </w:tcPr>
          <w:p>
            <w:r>
              <w:t>53.4% (Eclipse)</w:t>
            </w:r>
          </w:p>
        </w:tc>
      </w:tr>
    </w:tbl>
    <w:p>
      <w:r>
        <w:t>O SAT-2 (EUROPE, menor capacidade — 50 Wh) chegou a 21,8% ao fim da simulação, apenas 1,8 ponto percentual acima do threshold de segurança (20%) — evidência de que o cenário pessimista de eclipse (Seção 2.3) cria, de fato, pressão energética real e mensurável dentro da janela simulada.</w:t>
      </w:r>
    </w:p>
    <w:p>
      <w:r>
        <w:t>Nota metodológica — utilização de RAM: pela Lei de Little (L = λ × W), com λ = 4 tarefas/min e duração de 60 s por tarefa, a frota mantém em média L = 4 tarefas simultâneas em voo sobre 12288 MB de RAM total, resultando em ~16% de utilização esperada em regime estacionário. Os valores ponderados no tempo observados — BASELINE 13.7%, DRL 12.1%, SLM 12.3%, LLM 13.1% — estão próximos desse valor teórico, com diferenças explicadas pelo número de drops de cada engine (mais drops = menos tarefas aceitas = menor ocupação média). A baixa utilização confirma que RAM não foi o fator limitante neste experimento: os drops refletem restrições semânticas e de bateria, não esgotamento de fila. Para atingir 50% de utilização de RAM com estes parâmetros, seria necessário λ ≥ 12 tarefas/min — um cenário de stress que foge do escopo deste estudo, mas que representa direção natural para trabalhos futuros (Seção 5.3).</w:t>
      </w:r>
    </w:p>
    <w:p>
      <w:pPr>
        <w:pStyle w:val="Heading2"/>
      </w:pPr>
      <w:r>
        <w:t>4.3. Conformidade Semântica</w:t>
      </w:r>
    </w:p>
    <w:p>
      <w:r>
        <w:t>BASELINE acerta 91.3% das decisões no geral, mas só 25.0% (2/8) nas tarefas anômalas — sorte geográfica, não raciocínio: ele nunca soube que havia uma regra a seguir. DRL (SB3 DQN) sobe para 92.8% geral e 37.5% (3/8) em anomalias — superando o BASELINE nas duas métricas após o reward shaping descrito na Seção 2.2.2. Esse 37.5% é o teto teórico: das 8 anomalias reais, só as 3 falhas de hardware podem ser identificadas corretamente com um único bit de informação ("há anomalia?") — as outras exigiriam saber qual regra específica se aplica, informação que o DRL estruturalmente não recebe.</w:t>
      </w:r>
    </w:p>
    <w:p>
      <w:r>
        <w:t>SLM (Gemma 4 26B) atinge 97.1% de compliance geral e 75.0% (6/8) em anomalias, com effective_success_rate de 89.9% — a diferença para 100% reflete 2 quedas residuais por instabilidade de rede da API (Seção 3), não erro de raciocínio: quando o modelo responde, a decisão está correta. LLM (Gemini 3.1 Flash Lite) atinge 100.0% em ambas as métricas, confirmando a hipótese central: ler a regra em linguagem natural supera tanto a heurística fixa quanto o aprendizado por reforço puramente numérico, na proporção exata da complexidade semântica da tarefa.</w:t>
      </w:r>
    </w:p>
    <w:p>
      <w:pPr>
        <w:pStyle w:val="Heading2"/>
      </w:pPr>
      <w:r>
        <w:t>4.4. Latência de Decisão</w:t>
      </w:r>
    </w:p>
    <w:p>
      <w:r>
        <w:t>BASELINE e DRL operam em microssegundos (~0 ms), adequados para qualquer frequência de chegada de tarefas. SLM opera na faixa de benchmark de NPU embarcado (50 ms), e LLM depende de round-trip de rede até a estação terrestre, com latência ordens de magnitude maior.</w:t>
      </w:r>
    </w:p>
    <w:p>
      <w:r>
        <w:t>Esta distinção reforça uma arquitetura híbrida como direção natural: LLM como orquestrador macro (decisões pouco frequentes, alta complexidade semântica) e SLM/DRL como executores micro (decisões de alta frequência, baixa latência) — ver Seção 5.3.</w:t>
      </w:r>
    </w:p>
    <w:p>
      <w:pPr>
        <w:pStyle w:val="Heading1"/>
      </w:pPr>
      <w:r>
        <w:t>5. Conclusão</w:t>
      </w:r>
    </w:p>
    <w:p>
      <w:pPr>
        <w:pStyle w:val="Heading2"/>
      </w:pPr>
      <w:r>
        <w:t>5.1. Contribuições</w:t>
      </w:r>
    </w:p>
    <w:p>
      <w:pPr>
        <w:pStyle w:val="ListBullet"/>
      </w:pPr>
      <w:r>
        <w:t>Framework multi-engine comparativo com 4 paradigmas de orquestração no mesmo ambiente SimPy, com seed determinístico garantindo comparação justa.</w:t>
      </w:r>
    </w:p>
    <w:p>
      <w:pPr>
        <w:pStyle w:val="ListBullet"/>
      </w:pPr>
      <w:r>
        <w:t>DRL com SB3 DQN pré-treinado em 50.000 episódios (NTNMECEnv Gymnasium) e recompensa moldada por subtipo de anomalia oculto durante o treino: supera o BASELINE em compliance geral (92.8% vs 91.3%) e em anomalias (37.5% vs 25.0%), sem nunca ver o tipo da anomalia.</w:t>
      </w:r>
    </w:p>
    <w:p>
      <w:pPr>
        <w:pStyle w:val="ListBullet"/>
      </w:pPr>
      <w:r>
        <w:t>Modelo físico de eclipse orbital para bateria: senoide de 90 minutos, 3 satélites com fases e capacidades distintas, criando pressão energética real e mensurável.</w:t>
      </w:r>
    </w:p>
    <w:p>
      <w:pPr>
        <w:pStyle w:val="ListBullet"/>
      </w:pPr>
      <w:r>
        <w:t>Premissa ISL ideal: drops passam a refletir exclusivamente esgotamento real de recursos (RAM/bateria) ou recusa semântica, nunca falha de transmissão.</w:t>
      </w:r>
    </w:p>
    <w:p>
      <w:pPr>
        <w:pStyle w:val="ListBullet"/>
      </w:pPr>
      <w:r>
        <w:t>Latência do SLM corrigida para benchmark de NPU (50 ms), tornando a comparação entre engines metodologicamente consistente.</w:t>
      </w:r>
    </w:p>
    <w:p>
      <w:pPr>
        <w:pStyle w:val="ListBullet"/>
      </w:pPr>
      <w:r>
        <w:t>Prompt semântico unificado em SLM e LLM, com as mesmas três regras de roteamento (GDPR, soberania, falha de hardware).</w:t>
      </w:r>
    </w:p>
    <w:p>
      <w:pPr>
        <w:pStyle w:val="ListBullet"/>
      </w:pPr>
      <w:r>
        <w:t>Toda premissa numérica do simulador auditada e rastreada a uma fonte real ou rotulada explicitamente como escolha de design (Seção 2.4).</w:t>
      </w:r>
    </w:p>
    <w:p>
      <w:pPr>
        <w:pStyle w:val="Heading2"/>
      </w:pPr>
      <w:r>
        <w:t>5.2. Trade-offs Identificados</w:t>
      </w:r>
    </w:p>
    <w:p>
      <w:r>
        <w:t>Os resultados confirmam três trade-offs estruturais que definem o escopo de aplicabilidade de cada paradigma:</w:t>
      </w:r>
    </w:p>
    <w:p>
      <w:pPr>
        <w:pStyle w:val="ListParagraph"/>
      </w:pPr>
      <w:r>
        <w:t>Capacidade cognitiva vs. custo operacional: SLM e LLM acertam restrições semânticas que BASELINE e DRL, estruturalmente, não conseguem identificar — ao custo de mais latência e energia por decisão.</w:t>
      </w:r>
    </w:p>
    <w:p>
      <w:pPr>
        <w:pStyle w:val="ListParagraph"/>
      </w:pPr>
      <w:r>
        <w:t>Latência vs. riqueza de contexto: BASELINE e DRL decidem em microssegundos com estado mínimo. SLM e LLM precisam ler e interpretar texto, pagando latência proporcional à complexidade do raciocínio exigido.</w:t>
      </w:r>
    </w:p>
    <w:p>
      <w:pPr>
        <w:pStyle w:val="ListParagraph"/>
      </w:pPr>
      <w:r>
        <w:t>Aprendizado direcionado por recompensa vs. regras explícitas: o reward shaping elevou o DRL (92.8% compliance, 37.5% em anomalias) acima do BASELINE nas duas métricas — mas o teto é estrutural: sem ver o tipo da anomalia, o DRL não pode chegar a 100% como o LLM. SLM/LLM aplicam regras zero-shot lidas em texto, sem essa limitação de informação.</w:t>
      </w:r>
    </w:p>
    <w:p>
      <w:pPr>
        <w:pStyle w:val="Heading2"/>
      </w:pPr>
      <w:r>
        <w:t>5.3. Trabalhos Futuros</w:t>
      </w:r>
    </w:p>
    <w:p>
      <w:pPr>
        <w:pStyle w:val="ListBullet"/>
      </w:pPr>
      <w:r>
        <w:t>Concluído: SLM e LLM re-executados com arquitetura final (eclipse orbital, ISL ideal, anomalias semânticas, seed determinístico).</w:t>
      </w:r>
    </w:p>
    <w:p>
      <w:pPr>
        <w:pStyle w:val="ListBullet"/>
      </w:pPr>
      <w:r>
        <w:t>Arquitetura híbrida LLM macro + SLM micro: LLM chamado periodicamente para reconfiguração global, SLM/DRL decidindo tarefa a tarefa — caminho sugerido por Lee &amp; Park (2024) para sistemas de comunicação sem fio em geral.</w:t>
      </w:r>
    </w:p>
    <w:p>
      <w:pPr>
        <w:pStyle w:val="ListBullet"/>
      </w:pPr>
      <w:r>
        <w:t>Extensão da janela de simulação (ex.: 2 horas) para permitir convergência real do DRL e observação de múltiplos ciclos completos de eclipse.</w:t>
      </w:r>
    </w:p>
    <w:p>
      <w:pPr>
        <w:pStyle w:val="ListBullet"/>
      </w:pPr>
      <w:r>
        <w:t>Cenários de stress com λ &gt; 4 req/min ou falha de satélite, para testar resiliência do sistema e comportamento de drops sob carga.</w:t>
      </w:r>
    </w:p>
    <w:p>
      <w:pPr>
        <w:pStyle w:val="ListBullet"/>
      </w:pPr>
      <w:r>
        <w:t>Quantificação do valor das anomalias semânticas: comparar o impacto econômico/regulatório de decisões corretas vs. incorretas em cada subtipo (GDPR, soberania, hardware).</w:t>
      </w:r>
    </w:p>
    <w:p>
      <w:pPr>
        <w:pStyle w:val="Heading1"/>
      </w:pPr>
      <w:r>
        <w:t>6. Exemplo de Output — Engine BASELINE</w:t>
      </w:r>
    </w:p>
    <w:p>
      <w:r>
        <w:rPr>
          <w:rFonts w:ascii="Courier New" w:hAnsi="Courier New"/>
          <w:sz w:val="18"/>
        </w:rPr>
        <w:t>============================================</w:t>
        <w:br/>
        <w:t xml:space="preserve">         MEC ORCHESTRATOR REPORT</w:t>
        <w:br/>
        <w:t>============================================</w:t>
        <w:br/>
        <w:t>Engine: BASELINE | Tarefas: 69 | Janela: 1200s</w:t>
        <w:br/>
        <w:t>Compliance semântica: 91.3% | Compliance em anomalias: 25.0%</w:t>
        <w:br/>
        <w:t>Taxa de sucesso: 100.0% | Drop rate: 0.0%</w:t>
        <w:br/>
        <w:t>Energia total: 0.069 J | RAM final: 13.7%</w:t>
        <w:br/>
        <w:t>============================================</w:t>
      </w:r>
    </w:p>
    <w:p>
      <w:pPr>
        <w:pStyle w:val="Heading1"/>
      </w:pPr>
      <w:r>
        <w:t>Referências</w:t>
      </w:r>
    </w:p>
    <w:p>
      <w:r>
        <w:t>Abgaryan, H.; Harutyunyan, A.; Cazenave, T. (2024). "LLMs can Schedule." arXiv:2408.06993.</w:t>
      </w:r>
    </w:p>
    <w:p>
      <w:r>
        <w:t>Deng, S.; Zhao, H.; Fang, W.; Yin, J.; Dustdar, S.; Zomaya, A. Y. (2020). "Edge Intelligence: The Confluence of Edge Computing and Artificial Intelligence." IEEE Internet of Things Journal (arXiv:1909.00560).</w:t>
      </w:r>
    </w:p>
    <w:p>
      <w:r>
        <w:t>Guo, Z.; Chen, Q.; Meng, W. (2024). "Service-Oriented AoI Modeling and Analysis for Non-Terrestrial Networks." arXiv:2408.17051.</w:t>
      </w:r>
    </w:p>
    <w:p>
      <w:r>
        <w:t>Jiang, Q.; Han, P.; Xin, X.; Chen, K. (2025). "Deep Reinforcement Learning and Edge Computing for Multisatellite On-Orbit Task Scheduling." IEEE Transactions on Aerospace and Electronic Systems. DOI: 10.1109/TAES.2025.3583276.</w:t>
      </w:r>
    </w:p>
    <w:p>
      <w:r>
        <w:t>Lee, W.; Park, J. (2024). "LLM-Empowered Resource Allocation in Wireless Communications Systems." arXiv:2408.02944.</w:t>
      </w:r>
    </w:p>
    <w:p>
      <w:r>
        <w:t>Shenoy, J.; Chabra, O.; Chakraborty, T.; Jog, S.; Vasisht, D.; Chandra, R. (2024). "CosMAC: Constellation-Aware Medium Access and Scheduling for IoT Satellites." Proc. ACM MobiCom'24. DOI: 10.1145/3636534.3690657.</w:t>
      </w:r>
    </w:p>
    <w:p>
      <w:r>
        <w:t>Sumanth, R. M. (2019). "Computation of Eclipse Time for Low-Earth Orbiting Small Satellites." International Journal of Aviation, Aeronautics, and Aerospace, 6(5). DOI: 10.15394/ijaaa.2019.1412.</w:t>
      </w:r>
    </w:p>
    <w:p>
      <w:r>
        <w:t>Sutton, R. S.; Barto, A. G. (2018). Reinforcement Learning: An Introduction. MIT Press.</w:t>
      </w:r>
    </w:p>
    <w:p>
      <w:r>
        <w:t>Wang, H.; Tu, X.; Ke, H.; Chai, H.; Chen, D.; Han, K. (2025). "lm-Meter: Unveiling Runtime Inference Latency for On-Device Language Models." arXiv:2510.06126.</w:t>
      </w:r>
    </w:p>
    <w:p>
      <w:r>
        <w:t>3GPP Release 17 (2022). "Study on New Radio (NR) to support non-terrestrial networks," TR 38.821.</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