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01D3B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8FD8FF"/>
                <w:spacing w:val="40"/>
                <w:sz w:val="14"/>
                <w:szCs w:val="14"/>
              </w:rPr>
              <w:t xml:space="preserve">Copilot Cowork · Credit Chargeback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Cowork Chargeback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7D6EE"/>
                <w:sz w:val="21"/>
                <w:szCs w:val="21"/>
              </w:rPr>
              <w:t xml:space="preserve">Power BI template (.pbit)</w:t>
            </w:r>
          </w:p>
          <w:p>
            <w:pPr>
              <w:spacing w:after="110" w:before="0" w:line="290" w:lineRule="auto"/>
            </w:pPr>
            <w:r>
              <w:rPr>
                <w:rFonts w:ascii="Arial" w:cs="Arial" w:eastAsia="Arial" w:hAnsi="Arial"/>
                <w:color w:val="E4EAF6"/>
                <w:sz w:val="20"/>
                <w:szCs w:val="20"/>
              </w:rPr>
              <w:t xml:space="preserve">Attribute Copilot Cowork credits to the right department, then decide how to buy them — prepaid, pay-as-you-go, or hybrid — with a growth-rate forecast behind the number.</w:t>
            </w:r>
          </w:p>
          <w:tbl>
            <w:tblPr>
              <w:tblW w:type="dxa" w:w="9440"/>
              <w:tblBorders>
                <w:top w:val="single" w:color="3A4A6B" w:sz="6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46"/>
              <w:gridCol w:w="3146"/>
              <w:gridCol w:w="3146"/>
            </w:tblGrid>
            <w:tr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01D3B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2 CSVs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93A6C6"/>
                      <w:spacing w:val="20"/>
                      <w:sz w:val="14"/>
                      <w:szCs w:val="14"/>
                    </w:rPr>
                    <w:t xml:space="preserve">the only inputs needed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01D3B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93A6C6"/>
                      <w:spacing w:val="20"/>
                      <w:sz w:val="14"/>
                      <w:szCs w:val="14"/>
                    </w:rPr>
                    <w:t xml:space="preserve">report pages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01D3B" w:color="auto" w:val="clear"/>
                  <w:tcMar>
                    <w:top w:type="dxa" w:w="100"/>
                    <w:left w:type="dxa" w:w="0"/>
                    <w:bottom w:type="dxa" w:w="30"/>
                    <w:right w:type="dxa" w:w="100"/>
                  </w:tcMar>
                </w:tcPr>
                <w:p>
                  <w:pPr>
                    <w:spacing w:after="1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3"/>
                      <w:szCs w:val="23"/>
                    </w:rPr>
                    <w:t xml:space="preserve">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93A6C6"/>
                      <w:spacing w:val="20"/>
                      <w:sz w:val="14"/>
                      <w:szCs w:val="14"/>
                    </w:rPr>
                    <w:t xml:space="preserve">gateways or workspaces required</w:t>
                  </w:r>
                </w:p>
              </w:tc>
            </w:tr>
          </w:tbl>
          <w:p/>
        </w:tc>
      </w:tr>
    </w:tbl>
    <w:p>
      <w:pPr>
        <w:spacing w:after="40" w:before="150"/>
      </w:pPr>
      <w:r>
        <w:rPr>
          <w:rFonts w:ascii="Arial" w:cs="Arial" w:eastAsia="Arial" w:hAnsi="Arial"/>
          <w:b/>
          <w:bCs/>
          <w:caps/>
          <w:color w:val="0A3FB0"/>
          <w:spacing w:val="30"/>
          <w:sz w:val="15"/>
          <w:szCs w:val="15"/>
        </w:rPr>
        <w:t xml:space="preserve">What to load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Entra user export(s)</w:t>
            </w:r>
            <w:r>
              <w:rPr>
                <w:rFonts w:ascii="Arial" w:cs="Arial" w:eastAsia="Arial" w:hAnsi="Arial"/>
                <w:b/>
                <w:bCs/>
                <w:color w:val="0A3FB0"/>
                <w:sz w:val="15"/>
                <w:szCs w:val="15"/>
              </w:rPr>
              <w:t xml:space="preserve">  ·  CSV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5637A"/>
                <w:sz w:val="17"/>
                <w:szCs w:val="17"/>
              </w:rPr>
              <w:t xml:space="preserve">Department, cost center, business unit and job title, used to allocate each person to a unit. Multiple files allowed.</w:t>
            </w:r>
          </w:p>
        </w:tc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Copilot credit / Cost Management export</w:t>
            </w:r>
            <w:r>
              <w:rPr>
                <w:rFonts w:ascii="Arial" w:cs="Arial" w:eastAsia="Arial" w:hAnsi="Arial"/>
                <w:b/>
                <w:bCs/>
                <w:color w:val="0A3FB0"/>
                <w:sz w:val="15"/>
                <w:szCs w:val="15"/>
              </w:rPr>
              <w:t xml:space="preserve">  ·  CSV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55637A"/>
                <w:sz w:val="17"/>
                <w:szCs w:val="17"/>
              </w:rPr>
              <w:t xml:space="preserve">One row per user with the credits they consumed, priced to dollars at your contracted rate.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F1720"/>
          <w:sz w:val="16"/>
          <w:szCs w:val="16"/>
        </w:rPr>
        <w:t xml:space="preserve">Where to get them: </w:t>
      </w:r>
      <w:r>
        <w:rPr>
          <w:rFonts w:ascii="Arial" w:cs="Arial" w:eastAsia="Arial" w:hAnsi="Arial"/>
          <w:color w:val="55637A"/>
          <w:sz w:val="16"/>
          <w:szCs w:val="16"/>
        </w:rPr>
        <w:t xml:space="preserve">Entra admin center → Identity → Users → All users → Download users. Microsoft 365 admin center → Copilot → Cost management → Consumption → Export CSV. Column names are auto-detected, so most export layouts work as-is.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aps/>
          <w:color w:val="0A3FB0"/>
          <w:spacing w:val="30"/>
          <w:sz w:val="15"/>
          <w:szCs w:val="15"/>
        </w:rPr>
        <w:t xml:space="preserve">What you can do with it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Chargeback by department and user.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Every credit attributed and priced back to a cost center, down to the individual.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Allocate prepaid pools three ways.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Prorate by consumption, prorate by user count, or cap at budgeted allowances.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See consumption against limits.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Broken down by department and all the way down to individual users.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Right-size allocation.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Locate users over and under their limits and move capacity to who needs it.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Forecast future need.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Flexible growth rates and assumptions, projected against your committed pool.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60"/>
            </w:tcMar>
          </w:tcPr>
          <w:p>
            <w:p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8"/>
                <w:szCs w:val="18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8"/>
                <w:szCs w:val="18"/>
              </w:rPr>
              <w:t xml:space="preserve">FOCUS cost view. </w:t>
            </w: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A FinOps-standard appendix so Cowork sits alongside your other cloud spend.</w:t>
            </w:r>
          </w:p>
        </w:tc>
      </w:tr>
    </w:tbl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8FD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A3FB0"/>
                <w:sz w:val="17"/>
                <w:szCs w:val="17"/>
              </w:rPr>
              <w:t xml:space="preserve">Runs in Power BI Desktop.  </w:t>
            </w:r>
            <w:r>
              <w:rPr>
                <w:rFonts w:ascii="Arial" w:cs="Arial" w:eastAsia="Arial" w:hAnsi="Arial"/>
                <w:color w:val="3C4A44"/>
                <w:sz w:val="17"/>
                <w:szCs w:val="17"/>
              </w:rPr>
              <w:t xml:space="preserve">Download the template, point it at your two CSVs and refresh. Nothing is published anywhere until you choose to publish it. Row-level security is not preconfigured: add it in your own workspace if each department lead should see only their own rows.</w:t>
            </w:r>
          </w:p>
        </w:tc>
      </w:tr>
    </w:tbl>
    <w:p>
      <w:pPr>
        <w:spacing w:after="9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01D3B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Copilot Credit Consumption &amp; Cost — Templates, Tools &amp; Methodology</w:t>
            </w:r>
            <w:r>
              <w:rPr>
                <w:rFonts w:ascii="Arial" w:cs="Arial" w:eastAsia="Arial" w:hAnsi="Arial"/>
                <w:b/>
                <w:bCs/>
                <w:color w:val="6FD8FF"/>
                <w:sz w:val="17"/>
                <w:szCs w:val="17"/>
              </w:rPr>
              <w:t xml:space="preserve">   microsoft.github.io/Analytics-Hub/cowork-billing</w:t>
            </w:r>
          </w:p>
        </w:tc>
      </w:tr>
    </w:tbl>
    <w:p>
      <w:pPr>
        <w:spacing w:after="0" w:before="70" w:line="230" w:lineRule="auto"/>
      </w:pPr>
      <w:r>
        <w:rPr>
          <w:rFonts w:ascii="Arial" w:cs="Arial" w:eastAsia="Arial" w:hAnsi="Arial"/>
          <w:i/>
          <w:iCs/>
          <w:color w:val="9AA6B6"/>
          <w:sz w:val="14"/>
          <w:szCs w:val="14"/>
        </w:rPr>
        <w:t xml:space="preserve">Set the credit rate to your contracted rate before sharing any dollar figure; the shipped default is a placeholder, not your price. Figures are planning estimates, not a contracted agreement.</w:t>
      </w:r>
    </w:p>
    <w:sectPr>
      <w:pgSz w:w="12240" w:h="15840" w:orient="portrait"/>
      <w:pgMar w:top="90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2026-08-19T02:17:54.676Z</dcterms:created>
  <dcterms:modified xsi:type="dcterms:W3CDTF">2026-08-19T02:17:54.676Z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