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1A1740" w:color="auto" w:val="clear"/>
            <w:tcMar>
              <w:top w:type="dxa" w:w="210"/>
              <w:left w:type="dxa" w:w="200"/>
              <w:bottom w:type="dxa" w:w="210"/>
              <w:right w:type="dxa" w:w="20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aps/>
                <w:color w:val="C9B6FF"/>
                <w:spacing w:val="40"/>
                <w:sz w:val="14"/>
                <w:szCs w:val="14"/>
              </w:rPr>
              <w:t xml:space="preserve">Copilot Cowork · Credit Governance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Cowork Policy Helper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D3CBEE"/>
                <w:sz w:val="21"/>
                <w:szCs w:val="21"/>
              </w:rPr>
              <w:t xml:space="preserve">Browser app · nothing to install</w:t>
            </w:r>
          </w:p>
          <w:p>
            <w:pPr>
              <w:spacing w:after="110" w:before="0" w:line="290" w:lineRule="auto"/>
            </w:pPr>
            <w:r>
              <w:rPr>
                <w:rFonts w:ascii="Arial" w:cs="Arial" w:eastAsia="Arial" w:hAnsi="Arial"/>
                <w:color w:val="E4EAF6"/>
                <w:sz w:val="20"/>
                <w:szCs w:val="20"/>
              </w:rPr>
              <w:t xml:space="preserve">Assign users to spend-tier billing policies, each with a monthly credit allowance, and forecast how many credits fit current usage. Set the limits before the bill arrives.</w:t>
            </w:r>
          </w:p>
          <w:tbl>
            <w:tblPr>
              <w:tblW w:type="dxa" w:w="9440"/>
              <w:tblBorders>
                <w:top w:val="single" w:color="3A4A6B" w:sz="6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46"/>
              <w:gridCol w:w="3146"/>
              <w:gridCol w:w="3146"/>
            </w:tblGrid>
            <w:tr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740" w:color="auto" w:val="clear"/>
                  <w:tcMar>
                    <w:top w:type="dxa" w:w="100"/>
                    <w:left w:type="dxa" w:w="0"/>
                    <w:bottom w:type="dxa" w:w="30"/>
                    <w:right w:type="dxa" w:w="10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3"/>
                      <w:szCs w:val="23"/>
                    </w:rPr>
                    <w:t xml:space="preserve">0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B0A6CC"/>
                      <w:spacing w:val="20"/>
                      <w:sz w:val="14"/>
                      <w:szCs w:val="14"/>
                    </w:rPr>
                    <w:t xml:space="preserve">installs or licences</w:t>
                  </w:r>
                </w:p>
              </w:tc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740" w:color="auto" w:val="clear"/>
                  <w:tcMar>
                    <w:top w:type="dxa" w:w="100"/>
                    <w:left w:type="dxa" w:w="0"/>
                    <w:bottom w:type="dxa" w:w="30"/>
                    <w:right w:type="dxa" w:w="10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3"/>
                      <w:szCs w:val="23"/>
                    </w:rPr>
                    <w:t xml:space="preserve">2 CSVs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B0A6CC"/>
                      <w:spacing w:val="20"/>
                      <w:sz w:val="14"/>
                      <w:szCs w:val="14"/>
                    </w:rPr>
                    <w:t xml:space="preserve">the only inputs needed</w:t>
                  </w:r>
                </w:p>
              </w:tc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740" w:color="auto" w:val="clear"/>
                  <w:tcMar>
                    <w:top w:type="dxa" w:w="100"/>
                    <w:left w:type="dxa" w:w="0"/>
                    <w:bottom w:type="dxa" w:w="30"/>
                    <w:right w:type="dxa" w:w="10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3"/>
                      <w:szCs w:val="23"/>
                    </w:rPr>
                    <w:t xml:space="preserve">100%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B0A6CC"/>
                      <w:spacing w:val="20"/>
                      <w:sz w:val="14"/>
                      <w:szCs w:val="14"/>
                    </w:rPr>
                    <w:t xml:space="preserve">in your browser</w:t>
                  </w:r>
                </w:p>
              </w:tc>
            </w:tr>
          </w:tbl>
          <w:p/>
        </w:tc>
      </w:tr>
    </w:tbl>
    <w:p>
      <w:pPr>
        <w:spacing w:after="40" w:before="150"/>
      </w:pPr>
      <w:r>
        <w:rPr>
          <w:rFonts w:ascii="Arial" w:cs="Arial" w:eastAsia="Arial" w:hAnsi="Arial"/>
          <w:b/>
          <w:bCs/>
          <w:caps/>
          <w:color w:val="5A2EA6"/>
          <w:spacing w:val="30"/>
          <w:sz w:val="15"/>
          <w:szCs w:val="15"/>
        </w:rPr>
        <w:t xml:space="preserve">What to load</w:t>
      </w: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20"/>
        <w:gridCol w:w="4920"/>
      </w:tblGrid>
      <w:tr>
        <w:tc>
          <w:tcPr>
            <w:tcW w:type="dxa" w:w="4920"/>
            <w:tcBorders>
              <w:top w:val="single" w:color="E3E9F2" w:sz="6"/>
              <w:left w:val="single" w:color="E3E9F2" w:sz="6"/>
              <w:bottom w:val="single" w:color="E3E9F2" w:sz="6"/>
              <w:right w:val="single" w:color="E3E9F2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Entra user export(s)</w:t>
            </w:r>
            <w:r>
              <w:rPr>
                <w:rFonts w:ascii="Arial" w:cs="Arial" w:eastAsia="Arial" w:hAnsi="Arial"/>
                <w:b/>
                <w:bCs/>
                <w:color w:val="5A2EA6"/>
                <w:sz w:val="15"/>
                <w:szCs w:val="15"/>
              </w:rPr>
              <w:t xml:space="preserve">  ·  CSV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55637A"/>
                <w:sz w:val="17"/>
                <w:szCs w:val="17"/>
              </w:rPr>
              <w:t xml:space="preserve">Department, job title, cost center and business unit. Multiple files allowed.</w:t>
            </w:r>
          </w:p>
        </w:tc>
        <w:tc>
          <w:tcPr>
            <w:tcW w:type="dxa" w:w="4920"/>
            <w:tcBorders>
              <w:top w:val="single" w:color="E3E9F2" w:sz="6"/>
              <w:left w:val="single" w:color="E3E9F2" w:sz="6"/>
              <w:bottom w:val="single" w:color="E3E9F2" w:sz="6"/>
              <w:right w:val="single" w:color="E3E9F2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Copilot credit / Cost Management export</w:t>
            </w:r>
            <w:r>
              <w:rPr>
                <w:rFonts w:ascii="Arial" w:cs="Arial" w:eastAsia="Arial" w:hAnsi="Arial"/>
                <w:b/>
                <w:bCs/>
                <w:color w:val="5A2EA6"/>
                <w:sz w:val="15"/>
                <w:szCs w:val="15"/>
              </w:rPr>
              <w:t xml:space="preserve">  ·  CSV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55637A"/>
                <w:sz w:val="17"/>
                <w:szCs w:val="17"/>
              </w:rPr>
              <w:t xml:space="preserve">Monthly credits used and license status, joined to Entra on UPN.</w:t>
            </w:r>
          </w:p>
        </w:tc>
      </w:tr>
    </w:tbl>
    <w:p>
      <w:pPr>
        <w:spacing w:after="0" w:before="90" w:line="240" w:lineRule="auto"/>
      </w:pPr>
      <w:r>
        <w:rPr>
          <w:rFonts w:ascii="Arial" w:cs="Arial" w:eastAsia="Arial" w:hAnsi="Arial"/>
          <w:b/>
          <w:bCs/>
          <w:color w:val="0F1720"/>
          <w:sz w:val="16"/>
          <w:szCs w:val="16"/>
        </w:rPr>
        <w:t xml:space="preserve">Where to get them: </w:t>
      </w:r>
      <w:r>
        <w:rPr>
          <w:rFonts w:ascii="Arial" w:cs="Arial" w:eastAsia="Arial" w:hAnsi="Arial"/>
          <w:color w:val="55637A"/>
          <w:sz w:val="16"/>
          <w:szCs w:val="16"/>
        </w:rPr>
        <w:t xml:space="preserve">Entra admin center → Identity → Users → All users → Download users. Microsoft 365 admin center → Copilot → Cost management → Consumption → Export CSV. Column names are auto-detected, so most export layouts work as-is.</w:t>
      </w:r>
    </w:p>
    <w:p>
      <w:pPr>
        <w:spacing w:after="40" w:before="150"/>
      </w:pPr>
      <w:r>
        <w:rPr>
          <w:rFonts w:ascii="Arial" w:cs="Arial" w:eastAsia="Arial" w:hAnsi="Arial"/>
          <w:b/>
          <w:bCs/>
          <w:caps/>
          <w:color w:val="5A2EA6"/>
          <w:spacing w:val="30"/>
          <w:sz w:val="15"/>
          <w:szCs w:val="15"/>
        </w:rPr>
        <w:t xml:space="preserve">What you can do with it</w:t>
      </w: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20"/>
        <w:gridCol w:w="4920"/>
      </w:tblGrid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5A2EA6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Start from a recommendation.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Every user starts on a policy derived from their usage percentile.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5A2EA6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Run what-if scenarios.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Move people between tiers and see a live impact preview before you commit.</w:t>
            </w:r>
          </w:p>
        </w:tc>
      </w:tr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5A2EA6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Auto-adjust to actual usage.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Fit everyone to the tier that matches what they really consume.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5A2EA6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Review the exceptions.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The queue surfaces the few who do not fit, so you right-size them deliberately.</w:t>
            </w:r>
          </w:p>
        </w:tc>
      </w:tr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5A2EA6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Forecast next month's budget.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Apply an expected-growth rate to size the next credit purchase.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5A2EA6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Export the record.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CSV, workbook, PDF or deck. The tier assignment becomes the point-in-time source of truth.</w:t>
            </w:r>
          </w:p>
        </w:tc>
      </w:tr>
    </w:tbl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3F7F4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0A5F4F"/>
                <w:sz w:val="17"/>
                <w:szCs w:val="17"/>
              </w:rPr>
              <w:t xml:space="preserve">100% in your browser.  </w:t>
            </w:r>
            <w:r>
              <w:rPr>
                <w:rFonts w:ascii="Arial" w:cs="Arial" w:eastAsia="Arial" w:hAnsi="Arial"/>
                <w:color w:val="3C4A44"/>
                <w:sz w:val="17"/>
                <w:szCs w:val="17"/>
              </w:rPr>
              <w:t xml:space="preserve">No install, no licence, no provisioning. Your file is parsed in memory on your own machine and no customer data ever leaves the device. Press F12 and watch the network tab: the only outbound call is the site analytics tag, which records anonymous feature usage and never file contents.</w:t>
            </w:r>
          </w:p>
        </w:tc>
      </w:tr>
    </w:tbl>
    <w:p>
      <w:pPr>
        <w:spacing w:after="90"/>
      </w:pP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1A1740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Copilot Credit Consumption &amp; Cost — Templates, Tools &amp; Methodology</w:t>
            </w:r>
            <w:r>
              <w:rPr>
                <w:rFonts w:ascii="Arial" w:cs="Arial" w:eastAsia="Arial" w:hAnsi="Arial"/>
                <w:b/>
                <w:bCs/>
                <w:color w:val="C9B6FF"/>
                <w:sz w:val="17"/>
                <w:szCs w:val="17"/>
              </w:rPr>
              <w:t xml:space="preserve">   microsoft.github.io/Analytics-Hub/cowork-billing</w:t>
            </w:r>
          </w:p>
        </w:tc>
      </w:tr>
    </w:tbl>
    <w:p>
      <w:pPr>
        <w:spacing w:after="0" w:before="70" w:line="230" w:lineRule="auto"/>
      </w:pPr>
      <w:r>
        <w:rPr>
          <w:rFonts w:ascii="Arial" w:cs="Arial" w:eastAsia="Arial" w:hAnsi="Arial"/>
          <w:i/>
          <w:iCs/>
          <w:color w:val="9AA6B6"/>
          <w:sz w:val="14"/>
          <w:szCs w:val="14"/>
        </w:rPr>
        <w:t xml:space="preserve">A policy budget is a hard cap and spend stops. A per-user limit is soft: the task completes and the excess is not billed. Use the policy budget where a real cap is required. Set the credit rate to your contracted rate before sharing any dollar figure; the shipped default is a placeholder, not your price. Figures are planning estimates, not a contracted agreement.</w:t>
      </w:r>
    </w:p>
    <w:sectPr>
      <w:pgSz w:w="12240" w:h="15840" w:orient="portrait"/>
      <w:pgMar w:top="900" w:right="1200" w:bottom="72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2026-08-19T02:17:54.741Z</dcterms:created>
  <dcterms:modified xsi:type="dcterms:W3CDTF">2026-08-19T02:17:54.741Z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