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0C1B33" w:color="auto" w:val="clear"/>
            <w:tcMar>
              <w:top w:type="dxa" w:w="330"/>
              <w:left w:type="dxa" w:w="260"/>
              <w:bottom w:type="dxa" w:w="330"/>
              <w:right w:type="dxa" w:w="260"/>
            </w:tcMar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aps/>
                <w:color w:val="7FE3FF"/>
                <w:spacing w:val="40"/>
                <w:sz w:val="14"/>
                <w:szCs w:val="14"/>
              </w:rPr>
              <w:t xml:space="preserve">Copilot Cowork · Credit Chargeback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Cowork Chargeback</w:t>
            </w:r>
          </w:p>
          <w:p>
            <w:pPr>
              <w:spacing w:after="160" w:before="0"/>
            </w:pPr>
            <w:r>
              <w:rPr>
                <w:rFonts w:ascii="Arial" w:cs="Arial" w:eastAsia="Arial" w:hAnsi="Arial"/>
                <w:color w:val="C2D4EC"/>
                <w:sz w:val="22"/>
                <w:szCs w:val="22"/>
              </w:rPr>
              <w:t xml:space="preserve">Browser app · nothing to install</w:t>
            </w:r>
          </w:p>
          <w:p>
            <w:pPr>
              <w:spacing w:after="230" w:before="0" w:line="300" w:lineRule="auto"/>
            </w:pPr>
            <w:r>
              <w:rPr>
                <w:rFonts w:ascii="Arial" w:cs="Arial" w:eastAsia="Arial" w:hAnsi="Arial"/>
                <w:color w:val="E4EAF6"/>
                <w:sz w:val="21"/>
                <w:szCs w:val="21"/>
              </w:rPr>
              <w:t xml:space="preserve">Who owes what, in dollars. Load the two exports you already have and get a finance-ready, invoice-reconciled chargeback per cost center and per person, in a browser tab.</w:t>
            </w:r>
          </w:p>
          <w:tbl>
            <w:tblPr>
              <w:tblW w:type="dxa" w:w="9440"/>
              <w:tblBorders>
                <w:top w:val="single" w:color="3A4A6B" w:sz="6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146"/>
              <w:gridCol w:w="3146"/>
              <w:gridCol w:w="3146"/>
            </w:tblGrid>
            <w:tr>
              <w:tc>
                <w:tcPr>
                  <w:tcBorders>
                    <w:top w:val="single" w:color="3A4A6B" w:sz="6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0C1B33" w:color="auto" w:val="clear"/>
                  <w:tcMar>
                    <w:top w:type="dxa" w:w="190"/>
                    <w:left w:type="dxa" w:w="0"/>
                    <w:bottom w:type="dxa" w:w="60"/>
                    <w:right w:type="dxa" w:w="140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5"/>
                      <w:szCs w:val="25"/>
                    </w:rPr>
                    <w:t xml:space="preserve">0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aps/>
                      <w:color w:val="8FA4C4"/>
                      <w:spacing w:val="20"/>
                      <w:sz w:val="14"/>
                      <w:szCs w:val="14"/>
                    </w:rPr>
                    <w:t xml:space="preserve">installs or licences</w:t>
                  </w:r>
                </w:p>
              </w:tc>
              <w:tc>
                <w:tcPr>
                  <w:tcBorders>
                    <w:top w:val="single" w:color="3A4A6B" w:sz="6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0C1B33" w:color="auto" w:val="clear"/>
                  <w:tcMar>
                    <w:top w:type="dxa" w:w="190"/>
                    <w:left w:type="dxa" w:w="0"/>
                    <w:bottom w:type="dxa" w:w="60"/>
                    <w:right w:type="dxa" w:w="140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5"/>
                      <w:szCs w:val="25"/>
                    </w:rPr>
                    <w:t xml:space="preserve">2 CSVs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aps/>
                      <w:color w:val="8FA4C4"/>
                      <w:spacing w:val="20"/>
                      <w:sz w:val="14"/>
                      <w:szCs w:val="14"/>
                    </w:rPr>
                    <w:t xml:space="preserve">the only inputs needed</w:t>
                  </w:r>
                </w:p>
              </w:tc>
              <w:tc>
                <w:tcPr>
                  <w:tcBorders>
                    <w:top w:val="single" w:color="3A4A6B" w:sz="6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0C1B33" w:color="auto" w:val="clear"/>
                  <w:tcMar>
                    <w:top w:type="dxa" w:w="190"/>
                    <w:left w:type="dxa" w:w="0"/>
                    <w:bottom w:type="dxa" w:w="60"/>
                    <w:right w:type="dxa" w:w="140"/>
                  </w:tcMar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25"/>
                      <w:szCs w:val="25"/>
                    </w:rPr>
                    <w:t xml:space="preserve">100%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aps/>
                      <w:color w:val="8FA4C4"/>
                      <w:spacing w:val="20"/>
                      <w:sz w:val="14"/>
                      <w:szCs w:val="14"/>
                    </w:rPr>
                    <w:t xml:space="preserve">in your browser</w:t>
                  </w:r>
                </w:p>
              </w:tc>
            </w:tr>
          </w:tbl>
          <w:p/>
        </w:tc>
      </w:tr>
    </w:tbl>
    <w:p>
      <w:pPr>
        <w:spacing w:after="130" w:before="420"/>
      </w:pPr>
      <w:r>
        <w:rPr>
          <w:rFonts w:ascii="Arial" w:cs="Arial" w:eastAsia="Arial" w:hAnsi="Arial"/>
          <w:b/>
          <w:bCs/>
          <w:caps/>
          <w:color w:val="0B5CFF"/>
          <w:spacing w:val="30"/>
          <w:sz w:val="16"/>
          <w:szCs w:val="16"/>
        </w:rPr>
        <w:t xml:space="preserve">What to load</w:t>
      </w:r>
    </w:p>
    <w:tbl>
      <w:tblPr>
        <w:tblW w:type="dxa" w:w="9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20"/>
        <w:gridCol w:w="4920"/>
      </w:tblGrid>
      <w:tr>
        <w:tc>
          <w:tcPr>
            <w:tcW w:type="dxa" w:w="4920"/>
            <w:tcBorders>
              <w:top w:val="single" w:color="E3E9F2" w:sz="6"/>
              <w:left w:val="single" w:color="E3E9F2" w:sz="6"/>
              <w:bottom w:val="single" w:color="E3E9F2" w:sz="6"/>
              <w:right w:val="single" w:color="E3E9F2" w:sz="6"/>
            </w:tcBorders>
            <w:tcMar>
              <w:top w:type="dxa" w:w="210"/>
              <w:left w:type="dxa" w:w="200"/>
              <w:bottom w:type="dxa" w:w="210"/>
              <w:right w:type="dxa" w:w="200"/>
            </w:tcMar>
          </w:tcPr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0F1720"/>
                <w:sz w:val="20"/>
                <w:szCs w:val="20"/>
              </w:rPr>
              <w:t xml:space="preserve">Entra user export(s)</w:t>
            </w:r>
            <w:r>
              <w:rPr>
                <w:rFonts w:ascii="Arial" w:cs="Arial" w:eastAsia="Arial" w:hAnsi="Arial"/>
                <w:b/>
                <w:bCs/>
                <w:color w:val="0B5CFF"/>
                <w:sz w:val="16"/>
                <w:szCs w:val="16"/>
              </w:rPr>
              <w:t xml:space="preserve">  ·  CSV</w:t>
            </w:r>
          </w:p>
          <w:p>
            <w:pPr>
              <w:spacing w:after="0" w:before="0" w:line="280" w:lineRule="auto"/>
            </w:pPr>
            <w:r>
              <w:rPr>
                <w:rFonts w:ascii="Arial" w:cs="Arial" w:eastAsia="Arial" w:hAnsi="Arial"/>
                <w:color w:val="55637A"/>
                <w:sz w:val="18"/>
                <w:szCs w:val="18"/>
              </w:rPr>
              <w:t xml:space="preserve">Department, cost center, business unit and job title, used to allocate each person to a unit. Multiple files allowed.</w:t>
            </w:r>
          </w:p>
        </w:tc>
        <w:tc>
          <w:tcPr>
            <w:tcW w:type="dxa" w:w="4920"/>
            <w:tcBorders>
              <w:top w:val="single" w:color="E3E9F2" w:sz="6"/>
              <w:left w:val="single" w:color="E3E9F2" w:sz="6"/>
              <w:bottom w:val="single" w:color="E3E9F2" w:sz="6"/>
              <w:right w:val="single" w:color="E3E9F2" w:sz="6"/>
            </w:tcBorders>
            <w:tcMar>
              <w:top w:type="dxa" w:w="210"/>
              <w:left w:type="dxa" w:w="200"/>
              <w:bottom w:type="dxa" w:w="210"/>
              <w:right w:type="dxa" w:w="200"/>
            </w:tcMar>
          </w:tcPr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0F1720"/>
                <w:sz w:val="20"/>
                <w:szCs w:val="20"/>
              </w:rPr>
              <w:t xml:space="preserve">Copilot credit / Cost Management export</w:t>
            </w:r>
            <w:r>
              <w:rPr>
                <w:rFonts w:ascii="Arial" w:cs="Arial" w:eastAsia="Arial" w:hAnsi="Arial"/>
                <w:b/>
                <w:bCs/>
                <w:color w:val="0B5CFF"/>
                <w:sz w:val="16"/>
                <w:szCs w:val="16"/>
              </w:rPr>
              <w:t xml:space="preserve">  ·  CSV</w:t>
            </w:r>
          </w:p>
          <w:p>
            <w:pPr>
              <w:spacing w:after="0" w:before="0" w:line="280" w:lineRule="auto"/>
            </w:pPr>
            <w:r>
              <w:rPr>
                <w:rFonts w:ascii="Arial" w:cs="Arial" w:eastAsia="Arial" w:hAnsi="Arial"/>
                <w:color w:val="55637A"/>
                <w:sz w:val="18"/>
                <w:szCs w:val="18"/>
              </w:rPr>
              <w:t xml:space="preserve">One row per user with the credits they consumed, priced to dollars at your contracted rate.</w:t>
            </w:r>
          </w:p>
        </w:tc>
      </w:tr>
    </w:tbl>
    <w:p>
      <w:pPr>
        <w:spacing w:after="0" w:before="230" w:line="280" w:lineRule="auto"/>
      </w:pPr>
      <w:r>
        <w:rPr>
          <w:rFonts w:ascii="Arial" w:cs="Arial" w:eastAsia="Arial" w:hAnsi="Arial"/>
          <w:b/>
          <w:bCs/>
          <w:color w:val="0F1720"/>
          <w:sz w:val="17"/>
          <w:szCs w:val="17"/>
        </w:rPr>
        <w:t xml:space="preserve">Where to get them: </w:t>
      </w:r>
      <w:r>
        <w:rPr>
          <w:rFonts w:ascii="Arial" w:cs="Arial" w:eastAsia="Arial" w:hAnsi="Arial"/>
          <w:color w:val="55637A"/>
          <w:sz w:val="17"/>
          <w:szCs w:val="17"/>
        </w:rPr>
        <w:t xml:space="preserve">Entra admin center → Identity → Users → All users → Download users. Microsoft 365 admin center → Copilot → Cost management → Consumption → Export CSV. Column names are auto-detected, so most export layouts work as-is.</w:t>
      </w:r>
    </w:p>
    <w:p>
      <w:pPr>
        <w:spacing w:after="130" w:before="420"/>
      </w:pPr>
      <w:r>
        <w:rPr>
          <w:rFonts w:ascii="Arial" w:cs="Arial" w:eastAsia="Arial" w:hAnsi="Arial"/>
          <w:b/>
          <w:bCs/>
          <w:caps/>
          <w:color w:val="0B5CFF"/>
          <w:spacing w:val="30"/>
          <w:sz w:val="16"/>
          <w:szCs w:val="16"/>
        </w:rPr>
        <w:t xml:space="preserve">What you can do with it</w:t>
      </w:r>
    </w:p>
    <w:tbl>
      <w:tblPr>
        <w:tblW w:type="dxa" w:w="9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20"/>
        <w:gridCol w:w="4920"/>
      </w:tblGrid>
      <w:tr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70"/>
              <w:left w:type="dxa" w:w="0"/>
              <w:bottom w:type="dxa" w:w="170"/>
              <w:right w:type="dxa" w:w="200"/>
            </w:tcMar>
          </w:tcPr>
          <w:p>
            <w:pPr>
              <w:spacing w:after="0" w:before="0" w:line="290" w:lineRule="auto"/>
            </w:pPr>
            <w:r>
              <w:rPr>
                <w:rFonts w:ascii="Arial" w:cs="Arial" w:eastAsia="Arial" w:hAnsi="Arial"/>
                <w:b/>
                <w:bCs/>
                <w:color w:val="0B5CFF"/>
                <w:sz w:val="19"/>
                <w:szCs w:val="19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9"/>
                <w:szCs w:val="19"/>
              </w:rPr>
              <w:t xml:space="preserve">Bill by cost center or person. </w:t>
            </w:r>
            <w:r>
              <w:rPr>
                <w:rFonts w:ascii="Arial" w:cs="Arial" w:eastAsia="Arial" w:hAnsi="Arial"/>
                <w:color w:val="55637A"/>
                <w:sz w:val="19"/>
                <w:szCs w:val="19"/>
              </w:rPr>
              <w:t xml:space="preserve">Every credit attributed, priced, and reconciled against the invoice total.</w:t>
            </w:r>
          </w:p>
        </w:tc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70"/>
              <w:left w:type="dxa" w:w="0"/>
              <w:bottom w:type="dxa" w:w="170"/>
              <w:right w:type="dxa" w:w="200"/>
            </w:tcMar>
          </w:tcPr>
          <w:p>
            <w:pPr>
              <w:spacing w:after="0" w:before="0" w:line="290" w:lineRule="auto"/>
            </w:pPr>
            <w:r>
              <w:rPr>
                <w:rFonts w:ascii="Arial" w:cs="Arial" w:eastAsia="Arial" w:hAnsi="Arial"/>
                <w:b/>
                <w:bCs/>
                <w:color w:val="0B5CFF"/>
                <w:sz w:val="19"/>
                <w:szCs w:val="19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9"/>
                <w:szCs w:val="19"/>
              </w:rPr>
              <w:t xml:space="preserve">Change the grain freely. </w:t>
            </w:r>
            <w:r>
              <w:rPr>
                <w:rFonts w:ascii="Arial" w:cs="Arial" w:eastAsia="Arial" w:hAnsi="Arial"/>
                <w:color w:val="55637A"/>
                <w:sz w:val="19"/>
                <w:szCs w:val="19"/>
              </w:rPr>
              <w:t xml:space="preserve">Department, business unit, cost center, job family, manager or city, without rebuilding anything.</w:t>
            </w:r>
          </w:p>
        </w:tc>
      </w:tr>
      <w:tr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70"/>
              <w:left w:type="dxa" w:w="0"/>
              <w:bottom w:type="dxa" w:w="170"/>
              <w:right w:type="dxa" w:w="200"/>
            </w:tcMar>
          </w:tcPr>
          <w:p>
            <w:pPr>
              <w:spacing w:after="0" w:before="0" w:line="290" w:lineRule="auto"/>
            </w:pPr>
            <w:r>
              <w:rPr>
                <w:rFonts w:ascii="Arial" w:cs="Arial" w:eastAsia="Arial" w:hAnsi="Arial"/>
                <w:b/>
                <w:bCs/>
                <w:color w:val="0B5CFF"/>
                <w:sz w:val="19"/>
                <w:szCs w:val="19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9"/>
                <w:szCs w:val="19"/>
              </w:rPr>
              <w:t xml:space="preserve">See who is over and under. </w:t>
            </w:r>
            <w:r>
              <w:rPr>
                <w:rFonts w:ascii="Arial" w:cs="Arial" w:eastAsia="Arial" w:hAnsi="Arial"/>
                <w:color w:val="55637A"/>
                <w:sz w:val="19"/>
                <w:szCs w:val="19"/>
              </w:rPr>
              <w:t xml:space="preserve">Consumption against limits, by department and down to the individual user.</w:t>
            </w:r>
          </w:p>
        </w:tc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70"/>
              <w:left w:type="dxa" w:w="0"/>
              <w:bottom w:type="dxa" w:w="170"/>
              <w:right w:type="dxa" w:w="200"/>
            </w:tcMar>
          </w:tcPr>
          <w:p>
            <w:pPr>
              <w:spacing w:after="0" w:before="0" w:line="290" w:lineRule="auto"/>
            </w:pPr>
            <w:r>
              <w:rPr>
                <w:rFonts w:ascii="Arial" w:cs="Arial" w:eastAsia="Arial" w:hAnsi="Arial"/>
                <w:b/>
                <w:bCs/>
                <w:color w:val="0B5CFF"/>
                <w:sz w:val="19"/>
                <w:szCs w:val="19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9"/>
                <w:szCs w:val="19"/>
              </w:rPr>
              <w:t xml:space="preserve">Start with demo data. </w:t>
            </w:r>
            <w:r>
              <w:rPr>
                <w:rFonts w:ascii="Arial" w:cs="Arial" w:eastAsia="Arial" w:hAnsi="Arial"/>
                <w:color w:val="55637A"/>
                <w:sz w:val="19"/>
                <w:szCs w:val="19"/>
              </w:rPr>
              <w:t xml:space="preserve">One click loads a populated report, so you can see the output before loading your own files.</w:t>
            </w:r>
          </w:p>
        </w:tc>
      </w:tr>
      <w:tr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70"/>
              <w:left w:type="dxa" w:w="0"/>
              <w:bottom w:type="dxa" w:w="170"/>
              <w:right w:type="dxa" w:w="200"/>
            </w:tcMar>
          </w:tcPr>
          <w:p>
            <w:pPr>
              <w:spacing w:after="0" w:before="0" w:line="290" w:lineRule="auto"/>
            </w:pPr>
            <w:r>
              <w:rPr>
                <w:rFonts w:ascii="Arial" w:cs="Arial" w:eastAsia="Arial" w:hAnsi="Arial"/>
                <w:b/>
                <w:bCs/>
                <w:color w:val="0B5CFF"/>
                <w:sz w:val="19"/>
                <w:szCs w:val="19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9"/>
                <w:szCs w:val="19"/>
              </w:rPr>
              <w:t xml:space="preserve">Export for each audience. </w:t>
            </w:r>
            <w:r>
              <w:rPr>
                <w:rFonts w:ascii="Arial" w:cs="Arial" w:eastAsia="Arial" w:hAnsi="Arial"/>
                <w:color w:val="55637A"/>
                <w:sz w:val="19"/>
                <w:szCs w:val="19"/>
              </w:rPr>
              <w:t xml:space="preserve">Journal CSV for finance, line items for analysts, a workbook for everyone else.</w:t>
            </w:r>
          </w:p>
        </w:tc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70"/>
              <w:left w:type="dxa" w:w="0"/>
              <w:bottom w:type="dxa" w:w="170"/>
              <w:right w:type="dxa" w:w="200"/>
            </w:tcMar>
          </w:tcPr>
          <w:p>
            <w:pPr>
              <w:spacing w:after="0" w:before="0" w:line="290" w:lineRule="auto"/>
            </w:pPr>
            <w:r>
              <w:rPr>
                <w:rFonts w:ascii="Arial" w:cs="Arial" w:eastAsia="Arial" w:hAnsi="Arial"/>
                <w:b/>
                <w:bCs/>
                <w:color w:val="0B5CFF"/>
                <w:sz w:val="19"/>
                <w:szCs w:val="19"/>
              </w:rPr>
              <w:t xml:space="preserve">▪  </w:t>
            </w:r>
            <w:r>
              <w:rPr>
                <w:rFonts w:ascii="Arial" w:cs="Arial" w:eastAsia="Arial" w:hAnsi="Arial"/>
                <w:b/>
                <w:bCs/>
                <w:color w:val="0F1720"/>
                <w:sz w:val="19"/>
                <w:szCs w:val="19"/>
              </w:rPr>
              <w:t xml:space="preserve">Set your contracted rate. </w:t>
            </w:r>
            <w:r>
              <w:rPr>
                <w:rFonts w:ascii="Arial" w:cs="Arial" w:eastAsia="Arial" w:hAnsi="Arial"/>
                <w:color w:val="55637A"/>
                <w:sz w:val="19"/>
                <w:szCs w:val="19"/>
              </w:rPr>
              <w:t xml:space="preserve">Every dollar figure follows the rate you enter; the shipped default is a placeholder.</w:t>
            </w:r>
          </w:p>
        </w:tc>
      </w:tr>
    </w:tbl>
    <w:p>
      <w:pPr>
        <w:spacing w:after="280"/>
      </w:pPr>
    </w:p>
    <w:tbl>
      <w:tblPr>
        <w:tblW w:type="dxa" w:w="9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3F7F4" w:color="auto" w:val="clear"/>
            <w:tcMar>
              <w:top w:type="dxa" w:w="230"/>
              <w:left w:type="dxa" w:w="260"/>
              <w:bottom w:type="dxa" w:w="230"/>
              <w:right w:type="dxa" w:w="260"/>
            </w:tcMar>
          </w:tcPr>
          <w:p>
            <w:pPr>
              <w:spacing w:after="0" w:before="0" w:line="280" w:lineRule="auto"/>
            </w:pPr>
            <w:r>
              <w:rPr>
                <w:rFonts w:ascii="Arial" w:cs="Arial" w:eastAsia="Arial" w:hAnsi="Arial"/>
                <w:b/>
                <w:bCs/>
                <w:color w:val="0A5F4F"/>
                <w:sz w:val="18"/>
                <w:szCs w:val="18"/>
              </w:rPr>
              <w:t xml:space="preserve">100% in your browser.  </w:t>
            </w:r>
            <w:r>
              <w:rPr>
                <w:rFonts w:ascii="Arial" w:cs="Arial" w:eastAsia="Arial" w:hAnsi="Arial"/>
                <w:color w:val="3C4A44"/>
                <w:sz w:val="18"/>
                <w:szCs w:val="18"/>
              </w:rPr>
              <w:t xml:space="preserve">No install, no licence, no provisioning. Your file is parsed in memory on your own machine and no customer data ever leaves the device. Press F12 and watch the network tab: the only outbound call is the site analytics tag, which records anonymous feature usage and never file contents.</w:t>
            </w:r>
          </w:p>
        </w:tc>
      </w:tr>
    </w:tbl>
    <w:p>
      <w:pPr>
        <w:spacing w:after="120"/>
      </w:pPr>
    </w:p>
    <w:tbl>
      <w:tblPr>
        <w:tblW w:type="dxa" w:w="9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0C1B33" w:color="auto" w:val="clear"/>
            <w:tcMar>
              <w:top w:type="dxa" w:w="230"/>
              <w:left w:type="dxa" w:w="260"/>
              <w:bottom w:type="dxa" w:w="230"/>
              <w:right w:type="dxa" w:w="260"/>
            </w:tcMar>
          </w:tcPr>
          <w:p>
            <w:pPr>
              <w:spacing w:after="70" w:before="0" w:line="280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Copilot Credit Consumption &amp; Cost — Templates, Tools &amp; Methodology</w:t>
            </w:r>
          </w:p>
          <w:p>
            <w:pPr>
              <w:spacing w:after="0" w:before="0" w:line="280" w:lineRule="auto"/>
            </w:pPr>
            <w:r>
              <w:rPr>
                <w:rFonts w:ascii="Arial" w:cs="Arial" w:eastAsia="Arial" w:hAnsi="Arial"/>
                <w:b/>
                <w:bCs/>
                <w:color w:val="6FD8FF"/>
                <w:sz w:val="19"/>
                <w:szCs w:val="19"/>
              </w:rPr>
              <w:t xml:space="preserve">microsoft.github.io/Analytics-Hub/cowork-billing</w:t>
            </w:r>
          </w:p>
        </w:tc>
      </w:tr>
    </w:tbl>
    <w:p>
      <w:pPr>
        <w:spacing w:after="0" w:before="200" w:line="260" w:lineRule="auto"/>
      </w:pPr>
      <w:r>
        <w:rPr>
          <w:rFonts w:ascii="Arial" w:cs="Arial" w:eastAsia="Arial" w:hAnsi="Arial"/>
          <w:i/>
          <w:iCs/>
          <w:color w:val="9AA6B6"/>
          <w:sz w:val="15"/>
          <w:szCs w:val="15"/>
        </w:rPr>
        <w:t xml:space="preserve">Set the credit rate to your contracted rate before sharing any dollar figure; the shipped default is a placeholder, not your price. Figures are planning estimates, not a contracted agreement.</w:t>
      </w:r>
    </w:p>
    <w:sectPr>
      <w:pgSz w:w="12240" w:h="15840" w:orient="portrait"/>
      <w:pgMar w:top="900" w:right="1200" w:bottom="72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2026-08-19T02:34:33.339Z</dcterms:created>
  <dcterms:modified xsi:type="dcterms:W3CDTF">2026-08-19T02:34:33.339Z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