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A1740" w:color="auto" w:val="clear"/>
            <w:tcMar>
              <w:top w:type="dxa" w:w="330"/>
              <w:left w:type="dxa" w:w="260"/>
              <w:bottom w:type="dxa" w:w="330"/>
              <w:right w:type="dxa" w:w="26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aps/>
                <w:color w:val="C9B6FF"/>
                <w:spacing w:val="40"/>
                <w:sz w:val="14"/>
                <w:szCs w:val="14"/>
              </w:rPr>
              <w:t xml:space="preserve">Copilot Cowork · Credit Governance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Cowork Policy Helper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D3CBEE"/>
                <w:sz w:val="22"/>
                <w:szCs w:val="22"/>
              </w:rPr>
              <w:t xml:space="preserve">Browser app · nothing to install</w:t>
            </w:r>
          </w:p>
          <w:p>
            <w:pPr>
              <w:spacing w:after="230" w:before="0" w:line="300" w:lineRule="auto"/>
            </w:pPr>
            <w:r>
              <w:rPr>
                <w:rFonts w:ascii="Arial" w:cs="Arial" w:eastAsia="Arial" w:hAnsi="Arial"/>
                <w:color w:val="E4EAF6"/>
                <w:sz w:val="21"/>
                <w:szCs w:val="21"/>
              </w:rPr>
              <w:t xml:space="preserve">Assign users to spend-tier billing policies, each with a monthly credit allowance, and forecast how many credits fit current usage. Set the limits before the bill arrives.</w:t>
            </w:r>
          </w:p>
          <w:tbl>
            <w:tblPr>
              <w:tblW w:type="dxa" w:w="9440"/>
              <w:tblBorders>
                <w:top w:val="single" w:color="3A4A6B" w:sz="6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146"/>
              <w:gridCol w:w="3146"/>
              <w:gridCol w:w="3146"/>
            </w:tblGrid>
            <w:tr>
              <w:tc>
                <w:tcPr>
                  <w:tcBorders>
                    <w:top w:val="single" w:color="3A4A6B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740" w:color="auto" w:val="clear"/>
                  <w:tcMar>
                    <w:top w:type="dxa" w:w="190"/>
                    <w:left w:type="dxa" w:w="0"/>
                    <w:bottom w:type="dxa" w:w="60"/>
                    <w:right w:type="dxa" w:w="14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5"/>
                      <w:szCs w:val="25"/>
                    </w:rPr>
                    <w:t xml:space="preserve">0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aps/>
                      <w:color w:val="B0A6CC"/>
                      <w:spacing w:val="20"/>
                      <w:sz w:val="14"/>
                      <w:szCs w:val="14"/>
                    </w:rPr>
                    <w:t xml:space="preserve">installs or licences</w:t>
                  </w:r>
                </w:p>
              </w:tc>
              <w:tc>
                <w:tcPr>
                  <w:tcBorders>
                    <w:top w:val="single" w:color="3A4A6B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740" w:color="auto" w:val="clear"/>
                  <w:tcMar>
                    <w:top w:type="dxa" w:w="190"/>
                    <w:left w:type="dxa" w:w="0"/>
                    <w:bottom w:type="dxa" w:w="60"/>
                    <w:right w:type="dxa" w:w="14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5"/>
                      <w:szCs w:val="25"/>
                    </w:rPr>
                    <w:t xml:space="preserve">2 CSVs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aps/>
                      <w:color w:val="B0A6CC"/>
                      <w:spacing w:val="20"/>
                      <w:sz w:val="14"/>
                      <w:szCs w:val="14"/>
                    </w:rPr>
                    <w:t xml:space="preserve">the only inputs needed</w:t>
                  </w:r>
                </w:p>
              </w:tc>
              <w:tc>
                <w:tcPr>
                  <w:tcBorders>
                    <w:top w:val="single" w:color="3A4A6B" w:sz="6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740" w:color="auto" w:val="clear"/>
                  <w:tcMar>
                    <w:top w:type="dxa" w:w="190"/>
                    <w:left w:type="dxa" w:w="0"/>
                    <w:bottom w:type="dxa" w:w="60"/>
                    <w:right w:type="dxa" w:w="14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5"/>
                      <w:szCs w:val="25"/>
                    </w:rPr>
                    <w:t xml:space="preserve">100%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aps/>
                      <w:color w:val="B0A6CC"/>
                      <w:spacing w:val="20"/>
                      <w:sz w:val="14"/>
                      <w:szCs w:val="14"/>
                    </w:rPr>
                    <w:t xml:space="preserve">in your browser</w:t>
                  </w:r>
                </w:p>
              </w:tc>
            </w:tr>
          </w:tbl>
          <w:p/>
        </w:tc>
      </w:tr>
    </w:tbl>
    <w:p>
      <w:pPr>
        <w:spacing w:after="130" w:before="420"/>
      </w:pPr>
      <w:r>
        <w:rPr>
          <w:rFonts w:ascii="Arial" w:cs="Arial" w:eastAsia="Arial" w:hAnsi="Arial"/>
          <w:b/>
          <w:bCs/>
          <w:caps/>
          <w:color w:val="5A2EA6"/>
          <w:spacing w:val="30"/>
          <w:sz w:val="16"/>
          <w:szCs w:val="16"/>
        </w:rPr>
        <w:t xml:space="preserve">What to load</w:t>
      </w:r>
    </w:p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E3E9F2" w:sz="6"/>
              <w:left w:val="single" w:color="E3E9F2" w:sz="6"/>
              <w:bottom w:val="single" w:color="E3E9F2" w:sz="6"/>
              <w:right w:val="single" w:color="E3E9F2" w:sz="6"/>
            </w:tcBorders>
            <w:tcMar>
              <w:top w:type="dxa" w:w="210"/>
              <w:left w:type="dxa" w:w="200"/>
              <w:bottom w:type="dxa" w:w="210"/>
              <w:right w:type="dxa" w:w="200"/>
            </w:tcMar>
          </w:tcPr>
          <w:p>
            <w:pPr>
              <w:spacing w:after="90" w:before="0"/>
            </w:pPr>
            <w:r>
              <w:rPr>
                <w:rFonts w:ascii="Arial" w:cs="Arial" w:eastAsia="Arial" w:hAnsi="Arial"/>
                <w:b/>
                <w:bCs/>
                <w:color w:val="0F1720"/>
                <w:sz w:val="20"/>
                <w:szCs w:val="20"/>
              </w:rPr>
              <w:t xml:space="preserve">Entra user export(s)</w:t>
            </w:r>
            <w:r>
              <w:rPr>
                <w:rFonts w:ascii="Arial" w:cs="Arial" w:eastAsia="Arial" w:hAnsi="Arial"/>
                <w:b/>
                <w:bCs/>
                <w:color w:val="5A2EA6"/>
                <w:sz w:val="16"/>
                <w:szCs w:val="16"/>
              </w:rPr>
              <w:t xml:space="preserve">  ·  CSV</w:t>
            </w:r>
          </w:p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color w:val="55637A"/>
                <w:sz w:val="18"/>
                <w:szCs w:val="18"/>
              </w:rPr>
              <w:t xml:space="preserve">Department, job title, cost center and business unit. Multiple files allowed.</w:t>
            </w:r>
          </w:p>
        </w:tc>
        <w:tc>
          <w:tcPr>
            <w:tcW w:type="dxa" w:w="4920"/>
            <w:tcBorders>
              <w:top w:val="single" w:color="E3E9F2" w:sz="6"/>
              <w:left w:val="single" w:color="E3E9F2" w:sz="6"/>
              <w:bottom w:val="single" w:color="E3E9F2" w:sz="6"/>
              <w:right w:val="single" w:color="E3E9F2" w:sz="6"/>
            </w:tcBorders>
            <w:tcMar>
              <w:top w:type="dxa" w:w="210"/>
              <w:left w:type="dxa" w:w="200"/>
              <w:bottom w:type="dxa" w:w="210"/>
              <w:right w:type="dxa" w:w="200"/>
            </w:tcMar>
          </w:tcPr>
          <w:p>
            <w:pPr>
              <w:spacing w:after="90" w:before="0"/>
            </w:pPr>
            <w:r>
              <w:rPr>
                <w:rFonts w:ascii="Arial" w:cs="Arial" w:eastAsia="Arial" w:hAnsi="Arial"/>
                <w:b/>
                <w:bCs/>
                <w:color w:val="0F1720"/>
                <w:sz w:val="20"/>
                <w:szCs w:val="20"/>
              </w:rPr>
              <w:t xml:space="preserve">Copilot credit / Cost Management export</w:t>
            </w:r>
            <w:r>
              <w:rPr>
                <w:rFonts w:ascii="Arial" w:cs="Arial" w:eastAsia="Arial" w:hAnsi="Arial"/>
                <w:b/>
                <w:bCs/>
                <w:color w:val="5A2EA6"/>
                <w:sz w:val="16"/>
                <w:szCs w:val="16"/>
              </w:rPr>
              <w:t xml:space="preserve">  ·  CSV</w:t>
            </w:r>
          </w:p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color w:val="55637A"/>
                <w:sz w:val="18"/>
                <w:szCs w:val="18"/>
              </w:rPr>
              <w:t xml:space="preserve">Monthly credits used and license status, joined to Entra on UPN.</w:t>
            </w:r>
          </w:p>
        </w:tc>
      </w:tr>
    </w:tbl>
    <w:p>
      <w:pPr>
        <w:spacing w:after="0" w:before="230" w:line="280" w:lineRule="auto"/>
      </w:pPr>
      <w:r>
        <w:rPr>
          <w:rFonts w:ascii="Arial" w:cs="Arial" w:eastAsia="Arial" w:hAnsi="Arial"/>
          <w:b/>
          <w:bCs/>
          <w:color w:val="0F1720"/>
          <w:sz w:val="17"/>
          <w:szCs w:val="17"/>
        </w:rPr>
        <w:t xml:space="preserve">Where to get them: </w:t>
      </w:r>
      <w:r>
        <w:rPr>
          <w:rFonts w:ascii="Arial" w:cs="Arial" w:eastAsia="Arial" w:hAnsi="Arial"/>
          <w:color w:val="55637A"/>
          <w:sz w:val="17"/>
          <w:szCs w:val="17"/>
        </w:rPr>
        <w:t xml:space="preserve">Entra admin center → Identity → Users → All users → Download users. Microsoft 365 admin center → Copilot → Cost management → Consumption → Export CSV. Column names are auto-detected, so most export layouts work as-is.</w:t>
      </w:r>
    </w:p>
    <w:p>
      <w:pPr>
        <w:spacing w:after="130" w:before="420"/>
      </w:pPr>
      <w:r>
        <w:rPr>
          <w:rFonts w:ascii="Arial" w:cs="Arial" w:eastAsia="Arial" w:hAnsi="Arial"/>
          <w:b/>
          <w:bCs/>
          <w:caps/>
          <w:color w:val="5A2EA6"/>
          <w:spacing w:val="30"/>
          <w:sz w:val="16"/>
          <w:szCs w:val="16"/>
        </w:rPr>
        <w:t xml:space="preserve">What you can do with it</w:t>
      </w:r>
    </w:p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20"/>
        <w:gridCol w:w="4920"/>
      </w:tblGrid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left w:type="dxa" w:w="0"/>
              <w:bottom w:type="dxa" w:w="170"/>
              <w:right w:type="dxa" w:w="200"/>
            </w:tcMar>
          </w:tcPr>
          <w:p>
            <w:pPr>
              <w:spacing w:after="0" w:before="0" w:line="290" w:lineRule="auto"/>
            </w:pPr>
            <w:r>
              <w:rPr>
                <w:rFonts w:ascii="Arial" w:cs="Arial" w:eastAsia="Arial" w:hAnsi="Arial"/>
                <w:b/>
                <w:bCs/>
                <w:color w:val="5A2EA6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9"/>
                <w:szCs w:val="19"/>
              </w:rPr>
              <w:t xml:space="preserve">Start from a recommendation. </w:t>
            </w:r>
            <w:r>
              <w:rPr>
                <w:rFonts w:ascii="Arial" w:cs="Arial" w:eastAsia="Arial" w:hAnsi="Arial"/>
                <w:color w:val="55637A"/>
                <w:sz w:val="19"/>
                <w:szCs w:val="19"/>
              </w:rPr>
              <w:t xml:space="preserve">Every user starts on a policy derived from their usage percentile.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left w:type="dxa" w:w="0"/>
              <w:bottom w:type="dxa" w:w="170"/>
              <w:right w:type="dxa" w:w="200"/>
            </w:tcMar>
          </w:tcPr>
          <w:p>
            <w:pPr>
              <w:spacing w:after="0" w:before="0" w:line="290" w:lineRule="auto"/>
            </w:pPr>
            <w:r>
              <w:rPr>
                <w:rFonts w:ascii="Arial" w:cs="Arial" w:eastAsia="Arial" w:hAnsi="Arial"/>
                <w:b/>
                <w:bCs/>
                <w:color w:val="5A2EA6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9"/>
                <w:szCs w:val="19"/>
              </w:rPr>
              <w:t xml:space="preserve">Run what-if scenarios. </w:t>
            </w:r>
            <w:r>
              <w:rPr>
                <w:rFonts w:ascii="Arial" w:cs="Arial" w:eastAsia="Arial" w:hAnsi="Arial"/>
                <w:color w:val="55637A"/>
                <w:sz w:val="19"/>
                <w:szCs w:val="19"/>
              </w:rPr>
              <w:t xml:space="preserve">Move people between tiers and see a live impact preview before you commit.</w:t>
            </w:r>
          </w:p>
        </w:tc>
      </w:tr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left w:type="dxa" w:w="0"/>
              <w:bottom w:type="dxa" w:w="170"/>
              <w:right w:type="dxa" w:w="200"/>
            </w:tcMar>
          </w:tcPr>
          <w:p>
            <w:pPr>
              <w:spacing w:after="0" w:before="0" w:line="290" w:lineRule="auto"/>
            </w:pPr>
            <w:r>
              <w:rPr>
                <w:rFonts w:ascii="Arial" w:cs="Arial" w:eastAsia="Arial" w:hAnsi="Arial"/>
                <w:b/>
                <w:bCs/>
                <w:color w:val="5A2EA6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9"/>
                <w:szCs w:val="19"/>
              </w:rPr>
              <w:t xml:space="preserve">Auto-adjust to actual usage. </w:t>
            </w:r>
            <w:r>
              <w:rPr>
                <w:rFonts w:ascii="Arial" w:cs="Arial" w:eastAsia="Arial" w:hAnsi="Arial"/>
                <w:color w:val="55637A"/>
                <w:sz w:val="19"/>
                <w:szCs w:val="19"/>
              </w:rPr>
              <w:t xml:space="preserve">Fit everyone to the tier that matches what they really consume.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left w:type="dxa" w:w="0"/>
              <w:bottom w:type="dxa" w:w="170"/>
              <w:right w:type="dxa" w:w="200"/>
            </w:tcMar>
          </w:tcPr>
          <w:p>
            <w:pPr>
              <w:spacing w:after="0" w:before="0" w:line="290" w:lineRule="auto"/>
            </w:pPr>
            <w:r>
              <w:rPr>
                <w:rFonts w:ascii="Arial" w:cs="Arial" w:eastAsia="Arial" w:hAnsi="Arial"/>
                <w:b/>
                <w:bCs/>
                <w:color w:val="5A2EA6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9"/>
                <w:szCs w:val="19"/>
              </w:rPr>
              <w:t xml:space="preserve">Review the exceptions. </w:t>
            </w:r>
            <w:r>
              <w:rPr>
                <w:rFonts w:ascii="Arial" w:cs="Arial" w:eastAsia="Arial" w:hAnsi="Arial"/>
                <w:color w:val="55637A"/>
                <w:sz w:val="19"/>
                <w:szCs w:val="19"/>
              </w:rPr>
              <w:t xml:space="preserve">The queue surfaces the few who do not fit, so you right-size them deliberately.</w:t>
            </w:r>
          </w:p>
        </w:tc>
      </w:tr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left w:type="dxa" w:w="0"/>
              <w:bottom w:type="dxa" w:w="170"/>
              <w:right w:type="dxa" w:w="200"/>
            </w:tcMar>
          </w:tcPr>
          <w:p>
            <w:pPr>
              <w:spacing w:after="0" w:before="0" w:line="290" w:lineRule="auto"/>
            </w:pPr>
            <w:r>
              <w:rPr>
                <w:rFonts w:ascii="Arial" w:cs="Arial" w:eastAsia="Arial" w:hAnsi="Arial"/>
                <w:b/>
                <w:bCs/>
                <w:color w:val="5A2EA6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9"/>
                <w:szCs w:val="19"/>
              </w:rPr>
              <w:t xml:space="preserve">Forecast next month's budget. </w:t>
            </w:r>
            <w:r>
              <w:rPr>
                <w:rFonts w:ascii="Arial" w:cs="Arial" w:eastAsia="Arial" w:hAnsi="Arial"/>
                <w:color w:val="55637A"/>
                <w:sz w:val="19"/>
                <w:szCs w:val="19"/>
              </w:rPr>
              <w:t xml:space="preserve">Apply an expected-growth rate to size the next credit purchase.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left w:type="dxa" w:w="0"/>
              <w:bottom w:type="dxa" w:w="170"/>
              <w:right w:type="dxa" w:w="200"/>
            </w:tcMar>
          </w:tcPr>
          <w:p>
            <w:pPr>
              <w:spacing w:after="0" w:before="0" w:line="290" w:lineRule="auto"/>
            </w:pPr>
            <w:r>
              <w:rPr>
                <w:rFonts w:ascii="Arial" w:cs="Arial" w:eastAsia="Arial" w:hAnsi="Arial"/>
                <w:b/>
                <w:bCs/>
                <w:color w:val="5A2EA6"/>
                <w:sz w:val="19"/>
                <w:szCs w:val="19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F1720"/>
                <w:sz w:val="19"/>
                <w:szCs w:val="19"/>
              </w:rPr>
              <w:t xml:space="preserve">Export the record. </w:t>
            </w:r>
            <w:r>
              <w:rPr>
                <w:rFonts w:ascii="Arial" w:cs="Arial" w:eastAsia="Arial" w:hAnsi="Arial"/>
                <w:color w:val="55637A"/>
                <w:sz w:val="19"/>
                <w:szCs w:val="19"/>
              </w:rPr>
              <w:t xml:space="preserve">CSV, workbook, PDF or deck. The tier assignment becomes the point-in-time source of truth.</w:t>
            </w:r>
          </w:p>
        </w:tc>
      </w:tr>
    </w:tbl>
    <w:p>
      <w:pPr>
        <w:spacing w:after="280"/>
      </w:pPr>
    </w:p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F7F4" w:color="auto" w:val="clear"/>
            <w:tcMar>
              <w:top w:type="dxa" w:w="230"/>
              <w:left w:type="dxa" w:w="260"/>
              <w:bottom w:type="dxa" w:w="230"/>
              <w:right w:type="dxa" w:w="260"/>
            </w:tcMar>
          </w:tcPr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0A5F4F"/>
                <w:sz w:val="18"/>
                <w:szCs w:val="18"/>
              </w:rPr>
              <w:t xml:space="preserve">100% in your browser.  </w:t>
            </w:r>
            <w:r>
              <w:rPr>
                <w:rFonts w:ascii="Arial" w:cs="Arial" w:eastAsia="Arial" w:hAnsi="Arial"/>
                <w:color w:val="3C4A44"/>
                <w:sz w:val="18"/>
                <w:szCs w:val="18"/>
              </w:rPr>
              <w:t xml:space="preserve">No install, no licence, no provisioning. Your file is parsed in memory on your own machine and no customer data ever leaves the device. Press F12 and watch the network tab: the only outbound call is the site analytics tag, which records anonymous feature usage and never file contents.</w:t>
            </w:r>
          </w:p>
        </w:tc>
      </w:tr>
    </w:tbl>
    <w:p>
      <w:pPr>
        <w:spacing w:after="420"/>
      </w:pPr>
    </w:p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A1740" w:color="auto" w:val="clear"/>
            <w:tcMar>
              <w:top w:type="dxa" w:w="230"/>
              <w:left w:type="dxa" w:w="260"/>
              <w:bottom w:type="dxa" w:w="230"/>
              <w:right w:type="dxa" w:w="260"/>
            </w:tcMar>
          </w:tcPr>
          <w:p>
            <w:pPr>
              <w:spacing w:after="7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Copilot Credit Consumption &amp; Cost — Templates, Tools &amp; Methodology</w:t>
            </w:r>
          </w:p>
          <w:p>
            <w:pPr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color w:val="C9B6FF"/>
                <w:sz w:val="19"/>
                <w:szCs w:val="19"/>
              </w:rPr>
              <w:t xml:space="preserve">microsoft.github.io/Analytics-Hub/cowork-billing</w:t>
            </w:r>
          </w:p>
        </w:tc>
      </w:tr>
    </w:tbl>
    <w:p>
      <w:pPr>
        <w:spacing w:after="0" w:before="200" w:line="260" w:lineRule="auto"/>
      </w:pPr>
      <w:r>
        <w:rPr>
          <w:rFonts w:ascii="Arial" w:cs="Arial" w:eastAsia="Arial" w:hAnsi="Arial"/>
          <w:i/>
          <w:iCs/>
          <w:color w:val="9AA6B6"/>
          <w:sz w:val="15"/>
          <w:szCs w:val="15"/>
        </w:rPr>
        <w:t xml:space="preserve">A policy budget is a hard cap and spend stops. A per-user limit is soft: the task completes and the excess is not billed. Use the policy budget where a real cap is required. Set the credit rate to your contracted rate before sharing any dollar figure; the shipped default is a placeholder, not your price. Figures are planning estimates, not a contracted agreement.</w:t>
      </w:r>
    </w:p>
    <w:sectPr>
      <w:pgSz w:w="12240" w:h="15840" w:orient="portrait"/>
      <w:pgMar w:top="900" w:right="1200" w:bottom="72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2026-08-19T02:34:33.353Z</dcterms:created>
  <dcterms:modified xsi:type="dcterms:W3CDTF">2026-08-19T02:34:33.353Z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