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B2A24" w:color="auto" w:val="clear"/>
            <w:tcMar>
              <w:top w:type="dxa" w:w="330"/>
              <w:left w:type="dxa" w:w="260"/>
              <w:bottom w:type="dxa" w:w="330"/>
              <w:right w:type="dxa" w:w="26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7FF0D0"/>
                <w:spacing w:val="40"/>
                <w:sz w:val="14"/>
                <w:szCs w:val="14"/>
              </w:rPr>
              <w:t xml:space="preserve">Copilot Cowork · FinOps &amp; FOCUS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FinOps Cowork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FD9D1"/>
                <w:sz w:val="22"/>
                <w:szCs w:val="22"/>
              </w:rPr>
              <w:t xml:space="preserve">Browser app · FOCUS-aligned cost view</w:t>
            </w:r>
          </w:p>
          <w:p>
            <w:pPr>
              <w:spacing w:after="230" w:before="0" w:line="300" w:lineRule="auto"/>
            </w:pPr>
            <w:r>
              <w:rPr>
                <w:rFonts w:ascii="Arial" w:cs="Arial" w:eastAsia="Arial" w:hAnsi="Arial"/>
                <w:color w:val="E4EAF6"/>
                <w:sz w:val="21"/>
                <w:szCs w:val="21"/>
              </w:rPr>
              <w:t xml:space="preserve">Recast Cowork credit consumption into a FOCUS-aligned cost view, so AI spend sits next to Azure and AWS in the tooling your FinOps team already runs.</w:t>
            </w:r>
          </w:p>
          <w:tbl>
            <w:tblPr>
              <w:tblW w:type="dxa" w:w="9440"/>
              <w:tblBorders>
                <w:top w:val="single" w:color="3A4A6B" w:sz="6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46"/>
              <w:gridCol w:w="3146"/>
              <w:gridCol w:w="3146"/>
            </w:tblGrid>
            <w:tr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2A24" w:color="auto" w:val="clear"/>
                  <w:tcMar>
                    <w:top w:type="dxa" w:w="190"/>
                    <w:left w:type="dxa" w:w="0"/>
                    <w:bottom w:type="dxa" w:w="6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5"/>
                      <w:szCs w:val="25"/>
                    </w:rPr>
                    <w:t xml:space="preserve">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8FB3A8"/>
                      <w:spacing w:val="20"/>
                      <w:sz w:val="14"/>
                      <w:szCs w:val="14"/>
                    </w:rPr>
                    <w:t xml:space="preserve">installs or licences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2A24" w:color="auto" w:val="clear"/>
                  <w:tcMar>
                    <w:top w:type="dxa" w:w="190"/>
                    <w:left w:type="dxa" w:w="0"/>
                    <w:bottom w:type="dxa" w:w="6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5"/>
                      <w:szCs w:val="25"/>
                    </w:rPr>
                    <w:t xml:space="preserve">FOCUS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8FB3A8"/>
                      <w:spacing w:val="20"/>
                      <w:sz w:val="14"/>
                      <w:szCs w:val="14"/>
                    </w:rPr>
                    <w:t xml:space="preserve">FinOps Foundation schema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2A24" w:color="auto" w:val="clear"/>
                  <w:tcMar>
                    <w:top w:type="dxa" w:w="190"/>
                    <w:left w:type="dxa" w:w="0"/>
                    <w:bottom w:type="dxa" w:w="6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5"/>
                      <w:szCs w:val="25"/>
                    </w:rPr>
                    <w:t xml:space="preserve">100%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8FB3A8"/>
                      <w:spacing w:val="20"/>
                      <w:sz w:val="14"/>
                      <w:szCs w:val="14"/>
                    </w:rPr>
                    <w:t xml:space="preserve">in your browser</w:t>
                  </w:r>
                </w:p>
              </w:tc>
            </w:tr>
          </w:tbl>
          <w:p/>
        </w:tc>
      </w:tr>
    </w:tbl>
    <w:p>
      <w:pPr>
        <w:spacing w:after="130" w:before="420"/>
      </w:pPr>
      <w:r>
        <w:rPr>
          <w:rFonts w:ascii="Arial" w:cs="Arial" w:eastAsia="Arial" w:hAnsi="Arial"/>
          <w:b/>
          <w:bCs/>
          <w:caps/>
          <w:color w:val="0A6B5A"/>
          <w:spacing w:val="30"/>
          <w:sz w:val="16"/>
          <w:szCs w:val="16"/>
        </w:rPr>
        <w:t xml:space="preserve">What to load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20"/>
                <w:szCs w:val="20"/>
              </w:rPr>
              <w:t xml:space="preserve">Entra user export(s)</w:t>
            </w: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  ·  CSV</w:t>
            </w:r>
          </w:p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Department, cost center, business unit and job title, used to allocate each person to a unit. Multiple files allowed.</w:t>
            </w:r>
          </w:p>
        </w:tc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20"/>
                <w:szCs w:val="20"/>
              </w:rPr>
              <w:t xml:space="preserve">Copilot credit / Cost Management export</w:t>
            </w:r>
            <w:r>
              <w:rPr>
                <w:rFonts w:ascii="Arial" w:cs="Arial" w:eastAsia="Arial" w:hAnsi="Arial"/>
                <w:b/>
                <w:bCs/>
                <w:color w:val="0A6B5A"/>
                <w:sz w:val="16"/>
                <w:szCs w:val="16"/>
              </w:rPr>
              <w:t xml:space="preserve">  ·  CSV</w:t>
            </w:r>
          </w:p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One row per user with the credits they consumed, priced to dollars at your contracted rate.</w:t>
            </w:r>
          </w:p>
        </w:tc>
      </w:tr>
    </w:tbl>
    <w:p>
      <w:pPr>
        <w:spacing w:after="0" w:before="230" w:line="280" w:lineRule="auto"/>
      </w:pPr>
      <w:r>
        <w:rPr>
          <w:rFonts w:ascii="Arial" w:cs="Arial" w:eastAsia="Arial" w:hAnsi="Arial"/>
          <w:b/>
          <w:bCs/>
          <w:color w:val="0F1720"/>
          <w:sz w:val="17"/>
          <w:szCs w:val="17"/>
        </w:rPr>
        <w:t xml:space="preserve">Where to get them: </w:t>
      </w:r>
      <w:r>
        <w:rPr>
          <w:rFonts w:ascii="Arial" w:cs="Arial" w:eastAsia="Arial" w:hAnsi="Arial"/>
          <w:color w:val="55637A"/>
          <w:sz w:val="17"/>
          <w:szCs w:val="17"/>
        </w:rPr>
        <w:t xml:space="preserve">Entra admin center → Identity → Users → All users → Download users. Microsoft 365 admin center → Copilot → Cost management → Consumption → Export CSV. Column names are auto-detected, so most export layouts work as-is.</w:t>
      </w:r>
    </w:p>
    <w:p>
      <w:pPr>
        <w:spacing w:after="130" w:before="420"/>
      </w:pPr>
      <w:r>
        <w:rPr>
          <w:rFonts w:ascii="Arial" w:cs="Arial" w:eastAsia="Arial" w:hAnsi="Arial"/>
          <w:b/>
          <w:bCs/>
          <w:caps/>
          <w:color w:val="0A6B5A"/>
          <w:spacing w:val="30"/>
          <w:sz w:val="16"/>
          <w:szCs w:val="16"/>
        </w:rPr>
        <w:t xml:space="preserve">What you can do with it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0A6B5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FOCUS-aligned schema.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List, Contracted, Effective and Billed cost, mapped to the FinOps Foundation standard.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0A6B5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Showback and chargeback.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Allocate to a business unit for visibility, or to a cost center for an internal bill.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0A6B5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Rate optimization.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Effective rate against contracted rate, and where prepaid commitment is being wasted.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0A6B5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Allocation coverage.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How much spend can actually be attributed, and what is sitting unallocated.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0A6B5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Exports for the FinOps stack.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By unit or by user as CSV, plus a deck and a PDF for the review meeting.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0A6B5A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Set your contracted rate.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Every cost figure follows the rate you enter; the shipped default is a placeholder.</w:t>
            </w:r>
          </w:p>
        </w:tc>
      </w:tr>
    </w:tbl>
    <w:p>
      <w:pPr>
        <w:spacing w:after="280"/>
      </w:pP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7F4" w:color="auto" w:val="clear"/>
            <w:tcMar>
              <w:top w:type="dxa" w:w="230"/>
              <w:left w:type="dxa" w:w="260"/>
              <w:bottom w:type="dxa" w:w="230"/>
              <w:right w:type="dxa" w:w="26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0A5F4F"/>
                <w:sz w:val="18"/>
                <w:szCs w:val="18"/>
              </w:rPr>
              <w:t xml:space="preserve">100% in your browser.  </w:t>
            </w:r>
            <w:r>
              <w:rPr>
                <w:rFonts w:ascii="Arial" w:cs="Arial" w:eastAsia="Arial" w:hAnsi="Arial"/>
                <w:color w:val="3C4A44"/>
                <w:sz w:val="18"/>
                <w:szCs w:val="18"/>
              </w:rPr>
              <w:t xml:space="preserve">No install, no licence, no provisioning. Your file is parsed in memory on your own machine and no customer data ever leaves the device. Press F12 and watch the network tab: the only outbound call is the site analytics tag, which records anonymous feature usage and never file contents.</w:t>
            </w:r>
          </w:p>
        </w:tc>
      </w:tr>
    </w:tbl>
    <w:p>
      <w:pPr>
        <w:spacing w:after="420"/>
      </w:pP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B2A24" w:color="auto" w:val="clear"/>
            <w:tcMar>
              <w:top w:type="dxa" w:w="230"/>
              <w:left w:type="dxa" w:w="260"/>
              <w:bottom w:type="dxa" w:w="230"/>
              <w:right w:type="dxa" w:w="260"/>
            </w:tcMar>
          </w:tcPr>
          <w:p>
            <w:pPr>
              <w:spacing w:after="7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Copilot Credit Consumption &amp; Cost — Templates, Tools &amp; Methodology</w:t>
            </w:r>
          </w:p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7FF0D0"/>
                <w:sz w:val="19"/>
                <w:szCs w:val="19"/>
              </w:rPr>
              <w:t xml:space="preserve">microsoft.github.io/Analytics-Hub/cowork-billing</w:t>
            </w:r>
          </w:p>
        </w:tc>
      </w:tr>
    </w:tbl>
    <w:p>
      <w:pPr>
        <w:spacing w:after="0" w:before="200" w:line="260" w:lineRule="auto"/>
      </w:pPr>
      <w:r>
        <w:rPr>
          <w:rFonts w:ascii="Arial" w:cs="Arial" w:eastAsia="Arial" w:hAnsi="Arial"/>
          <w:i/>
          <w:iCs/>
          <w:color w:val="9AA6B6"/>
          <w:sz w:val="15"/>
          <w:szCs w:val="15"/>
        </w:rPr>
        <w:t xml:space="preserve">Set the credit rate to your contracted rate before sharing any dollar figure; the shipped default is a placeholder, not your price. Figures are planning estimates, not a contracted agreement.</w:t>
      </w:r>
    </w:p>
    <w:sectPr>
      <w:pgSz w:w="12240" w:h="15840" w:orient="portrait"/>
      <w:pgMar w:top="90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2026-08-19T02:34:33.378Z</dcterms:created>
  <dcterms:modified xsi:type="dcterms:W3CDTF">2026-08-19T02:34:33.378Z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