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맑은 고딕" w:cs="맑은 고딕" w:eastAsia="맑은 고딕" w:hAnsi="맑은 고딕"/>
          <w:color w:val="8A93A2"/>
          <w:sz w:val="18"/>
          <w:szCs w:val="18"/>
        </w:rPr>
        <w:t xml:space="preserve">교육 실습용 예시 문서</w:t>
      </w:r>
    </w:p>
    <w:p>
      <w:pPr>
        <w:spacing w:after="700" w:before="0" w:line="300"/>
        <w:jc w:val="center"/>
      </w:pPr>
      <w:r>
        <w:rPr>
          <w:rFonts w:ascii="맑은 고딕" w:cs="맑은 고딕" w:eastAsia="맑은 고딕" w:hAnsi="맑은 고딕"/>
          <w:color w:val="8A93A2"/>
          <w:sz w:val="15"/>
          <w:szCs w:val="15"/>
        </w:rPr>
        <w:t xml:space="preserve">EDUCATIONAL SAMPLE — NOT A REAL POLICY</w:t>
      </w:r>
    </w:p>
    <w:p>
      <w:pPr>
        <w:spacing w:after="120" w:line="340"/>
        <w:jc w:val="center"/>
      </w:pPr>
      <w:r>
        <w:rPr>
          <w:rFonts w:ascii="맑은 고딕" w:cs="맑은 고딕" w:eastAsia="맑은 고딕" w:hAnsi="맑은 고딕"/>
          <w:b/>
          <w:bCs/>
          <w:color w:val="5B6473"/>
          <w:sz w:val="26"/>
          <w:szCs w:val="26"/>
        </w:rPr>
        <w:t xml:space="preserve">율해정밀 주식회사</w:t>
      </w:r>
    </w:p>
    <w:p>
      <w:pPr>
        <w:spacing w:after="200" w:line="400"/>
        <w:jc w:val="center"/>
      </w:pPr>
      <w:r>
        <w:rPr>
          <w:rFonts w:ascii="맑은 고딕" w:cs="맑은 고딕" w:eastAsia="맑은 고딕" w:hAnsi="맑은 고딕"/>
          <w:b/>
          <w:bCs/>
          <w:color w:val="1A1A2E"/>
          <w:sz w:val="48"/>
          <w:szCs w:val="48"/>
        </w:rPr>
        <w:t xml:space="preserve">투자 심의 기준</w:t>
      </w:r>
    </w:p>
    <w:p>
      <w:pPr>
        <w:spacing w:after="640" w:before="0" w:line="300"/>
        <w:jc w:val="center"/>
      </w:pPr>
      <w:r>
        <w:rPr>
          <w:rFonts w:ascii="맑은 고딕" w:cs="맑은 고딕" w:eastAsia="맑은 고딕" w:hAnsi="맑은 고딕"/>
          <w:color w:val="8A93A2"/>
          <w:sz w:val="18"/>
          <w:szCs w:val="18"/>
        </w:rPr>
        <w:t xml:space="preserve">규정번호 YH-FIN-014 · 제3차 개정 · 시행일 2026년 1월 1일</w:t>
      </w:r>
    </w:p>
    <w:tbl>
      <w:tblPr>
        <w:tblW w:type="pct" w:w="100%"/>
        <w:tblBorders>
          <w:top w:val="single" w:color="E8C97A" w:sz="6"/>
          <w:left w:val="single" w:color="E8C97A" w:sz="6"/>
          <w:bottom w:val="single" w:color="E8C97A" w:sz="6"/>
          <w:right w:val="single" w:color="E8C97A" w:sz="6"/>
          <w:insideH w:val="none"/>
          <w:insideV w:val="none"/>
        </w:tblBorders>
      </w:tblPr>
      <w:tblGrid>
        <w:gridCol w:w="100"/>
      </w:tblGrid>
      <w:tr>
        <w:tc>
          <w:tcPr>
            <w:tcW w:type="pct" w:w="100%"/>
            <w:shd w:fill="FFF6E5" w:val="clear"/>
            <w:tcMar>
              <w:top w:type="dxa" w:w="200"/>
              <w:left w:type="dxa" w:w="240"/>
              <w:bottom w:type="dxa" w:w="200"/>
              <w:right w:type="dxa" w:w="240"/>
            </w:tcMar>
          </w:tcPr>
          <w:p>
            <w:pPr>
              <w:spacing w:after="100" w:line="300"/>
            </w:pPr>
            <w:r>
              <w:rPr>
                <w:rFonts w:ascii="맑은 고딕" w:cs="맑은 고딕" w:eastAsia="맑은 고딕" w:hAnsi="맑은 고딕"/>
                <w:b/>
                <w:bCs/>
                <w:color w:val="1A1A2E"/>
                <w:sz w:val="20"/>
                <w:szCs w:val="20"/>
              </w:rPr>
              <w:t xml:space="preserve">이 문서는 실습을 위해 만든 가상 문서입니다</w:t>
            </w:r>
          </w:p>
          <w:p>
            <w:pPr>
              <w:spacing w:after="100" w:line="300"/>
            </w:pPr>
            <w:r>
              <w:rPr>
                <w:rFonts w:ascii="맑은 고딕" w:cs="맑은 고딕" w:eastAsia="맑은 고딕" w:hAnsi="맑은 고딕"/>
                <w:color w:val="5B6473"/>
                <w:sz w:val="19"/>
                <w:szCs w:val="19"/>
              </w:rPr>
              <w:t xml:space="preserve">Microsoft 365 Copilot의 Agent Builder 실습에서 에이전트의 지식 소스로 쓰려고 만들었습니다. 율해정밀은 실존하지 않는 가상의 회사이고, 아래 조항과 수치는 모두 지어낸 것입니다. 실존하는 회사나 규정, 법령과 아무 관계가 없습니다.</w:t>
            </w:r>
          </w:p>
          <w:p>
            <w:pPr>
              <w:spacing w:after="0" w:line="300"/>
            </w:pPr>
            <w:r>
              <w:rPr>
                <w:rFonts w:ascii="맑은 고딕" w:cs="맑은 고딕" w:eastAsia="맑은 고딕" w:hAnsi="맑은 고딕"/>
                <w:color w:val="5B6473"/>
                <w:sz w:val="19"/>
                <w:szCs w:val="19"/>
              </w:rPr>
              <w:t xml:space="preserve">실제 투자 의사결정에 이 문서를 근거로 삼지 마십시오.</w:t>
            </w:r>
          </w:p>
        </w:tc>
      </w:tr>
    </w:tbl>
    <w:p>
      <w:pPr>
        <w:spacing w:after="400" w:before="0" w:line="300"/>
      </w:pPr>
      <w:r>
        <w:rPr>
          <w:rFonts w:ascii="맑은 고딕" w:cs="맑은 고딕" w:eastAsia="맑은 고딕" w:hAnsi="맑은 고딕"/>
          <w:color w:val="1A1A2E"/>
          <w:sz w:val="20"/>
          <w:szCs w:val="20"/>
        </w:rPr>
        <w:t xml:space="preserve"/>
      </w:r>
    </w:p>
    <w:p>
      <w:pPr>
        <w:spacing w:after="0" w:before="0" w:line="300"/>
        <w:jc w:val="center"/>
      </w:pPr>
      <w:r>
        <w:rPr>
          <w:rFonts w:ascii="맑은 고딕" w:cs="맑은 고딕" w:eastAsia="맑은 고딕" w:hAnsi="맑은 고딕"/>
          <w:color w:val="8A93A2"/>
          <w:sz w:val="17"/>
          <w:szCs w:val="17"/>
        </w:rPr>
        <w:t xml:space="preserve">작성 재무기획팀 · 승인 경영위원회 · 문의 finance@example.invalid</w:t>
      </w:r>
    </w:p>
    <w:p>
      <w:r>
        <w:br w:type="page"/>
      </w:r>
    </w:p>
    <w:p>
      <w:pPr>
        <w:pStyle w:val="Heading2"/>
        <w:spacing w:after="140" w:before="320" w:line="300"/>
      </w:pPr>
      <w:r>
        <w:rPr>
          <w:rFonts w:ascii="맑은 고딕" w:cs="맑은 고딕" w:eastAsia="맑은 고딕" w:hAnsi="맑은 고딕"/>
          <w:b/>
          <w:bCs/>
          <w:color w:val="1A1A2E"/>
          <w:sz w:val="24"/>
          <w:szCs w:val="24"/>
        </w:rPr>
        <w:t xml:space="preserve">제1장 총칙</w:t>
      </w:r>
    </w:p>
    <w:p>
      <w:pPr>
        <w:pStyle w:val="Heading3"/>
        <w:spacing w:after="100" w:before="240" w:line="300"/>
      </w:pPr>
      <w:r>
        <w:rPr>
          <w:rFonts w:ascii="맑은 고딕" w:cs="맑은 고딕" w:eastAsia="맑은 고딕" w:hAnsi="맑은 고딕"/>
          <w:b/>
          <w:bCs/>
          <w:color w:val="1A1A2E"/>
          <w:sz w:val="21"/>
          <w:szCs w:val="21"/>
        </w:rPr>
        <w:t xml:space="preserve">제1조 (목적)</w:t>
      </w:r>
    </w:p>
    <w:p>
      <w:pPr>
        <w:spacing w:after="120" w:before="0" w:line="300"/>
      </w:pPr>
      <w:r>
        <w:rPr>
          <w:rFonts w:ascii="맑은 고딕" w:cs="맑은 고딕" w:eastAsia="맑은 고딕" w:hAnsi="맑은 고딕"/>
          <w:color w:val="1A1A2E"/>
          <w:sz w:val="20"/>
          <w:szCs w:val="20"/>
        </w:rPr>
        <w:t xml:space="preserve">이 기준은 회사가 집행하는 투자의 심의 절차와 판단 기준을 정하여 자원 배분의 일관성을 확보하는 것을 목적으로 한다.</w:t>
      </w:r>
    </w:p>
    <w:p>
      <w:pPr>
        <w:pStyle w:val="Heading3"/>
        <w:spacing w:after="100" w:before="240" w:line="300"/>
      </w:pPr>
      <w:r>
        <w:rPr>
          <w:rFonts w:ascii="맑은 고딕" w:cs="맑은 고딕" w:eastAsia="맑은 고딕" w:hAnsi="맑은 고딕"/>
          <w:b/>
          <w:bCs/>
          <w:color w:val="1A1A2E"/>
          <w:sz w:val="21"/>
          <w:szCs w:val="21"/>
        </w:rPr>
        <w:t xml:space="preserve">제2조 (적용 범위)</w:t>
      </w:r>
    </w:p>
    <w:p>
      <w:pPr>
        <w:spacing w:after="120" w:before="0" w:line="300"/>
      </w:pPr>
      <w:r>
        <w:rPr>
          <w:rFonts w:ascii="맑은 고딕" w:cs="맑은 고딕" w:eastAsia="맑은 고딕" w:hAnsi="맑은 고딕"/>
          <w:color w:val="1A1A2E"/>
          <w:sz w:val="20"/>
          <w:szCs w:val="20"/>
        </w:rPr>
        <w:t xml:space="preserve">설비 투자, 정보시스템 도입, 연구개발 과제, 외부 솔루션 구매에 적용한다. 단일 건 3억 원 미만의 소모성 지출은 제외한다.</w:t>
      </w:r>
    </w:p>
    <w:p>
      <w:pPr>
        <w:pStyle w:val="Heading3"/>
        <w:spacing w:after="100" w:before="240" w:line="300"/>
      </w:pPr>
      <w:r>
        <w:rPr>
          <w:rFonts w:ascii="맑은 고딕" w:cs="맑은 고딕" w:eastAsia="맑은 고딕" w:hAnsi="맑은 고딕"/>
          <w:b/>
          <w:bCs/>
          <w:color w:val="1A1A2E"/>
          <w:sz w:val="21"/>
          <w:szCs w:val="21"/>
        </w:rPr>
        <w:t xml:space="preserve">제3조 (용어)</w:t>
      </w:r>
    </w:p>
    <w:p>
      <w:pPr>
        <w:spacing w:after="120" w:before="0" w:line="300"/>
      </w:pPr>
      <w:r>
        <w:rPr>
          <w:rFonts w:ascii="맑은 고딕" w:cs="맑은 고딕" w:eastAsia="맑은 고딕" w:hAnsi="맑은 고딕"/>
          <w:color w:val="1A1A2E"/>
          <w:sz w:val="20"/>
          <w:szCs w:val="20"/>
        </w:rPr>
        <w:t xml:space="preserve">1. 총투자액이란 도입비, 구축비, 3년간 운영비, 신규 채용에 따른 인건비를 모두 합한 금액을 말한다.</w:t>
      </w:r>
    </w:p>
    <w:p>
      <w:pPr>
        <w:spacing w:after="120" w:before="0" w:line="300"/>
      </w:pPr>
      <w:r>
        <w:rPr>
          <w:rFonts w:ascii="맑은 고딕" w:cs="맑은 고딕" w:eastAsia="맑은 고딕" w:hAnsi="맑은 고딕"/>
          <w:color w:val="1A1A2E"/>
          <w:sz w:val="20"/>
          <w:szCs w:val="20"/>
        </w:rPr>
        <w:t xml:space="preserve">2. 회수 기간이란 총투자액을 연간 절감액 또는 증분 이익으로 나눈 값을 말한다.</w:t>
      </w:r>
    </w:p>
    <w:p>
      <w:pPr>
        <w:spacing w:after="120" w:before="0" w:line="300"/>
      </w:pPr>
      <w:r>
        <w:rPr>
          <w:rFonts w:ascii="맑은 고딕" w:cs="맑은 고딕" w:eastAsia="맑은 고딕" w:hAnsi="맑은 고딕"/>
          <w:color w:val="1A1A2E"/>
          <w:sz w:val="20"/>
          <w:szCs w:val="20"/>
        </w:rPr>
        <w:t xml:space="preserve">3. 파일럿이란 전체 적용 범위의 20퍼센트 이하에서 3개월 이상 운영하는 시범 도입을 말한다.</w:t>
      </w:r>
    </w:p>
    <w:p>
      <w:pPr>
        <w:pStyle w:val="Heading2"/>
        <w:spacing w:after="140" w:before="320" w:line="300"/>
      </w:pPr>
      <w:r>
        <w:rPr>
          <w:rFonts w:ascii="맑은 고딕" w:cs="맑은 고딕" w:eastAsia="맑은 고딕" w:hAnsi="맑은 고딕"/>
          <w:b/>
          <w:bCs/>
          <w:color w:val="1A1A2E"/>
          <w:sz w:val="24"/>
          <w:szCs w:val="24"/>
        </w:rPr>
        <w:t xml:space="preserve">제2장 승인 권한</w:t>
      </w:r>
    </w:p>
    <w:p>
      <w:pPr>
        <w:pStyle w:val="Heading3"/>
        <w:spacing w:after="100" w:before="240" w:line="300"/>
      </w:pPr>
      <w:r>
        <w:rPr>
          <w:rFonts w:ascii="맑은 고딕" w:cs="맑은 고딕" w:eastAsia="맑은 고딕" w:hAnsi="맑은 고딕"/>
          <w:b/>
          <w:bCs/>
          <w:color w:val="1A1A2E"/>
          <w:sz w:val="21"/>
          <w:szCs w:val="21"/>
        </w:rPr>
        <w:t xml:space="preserve">제4조 (금액별 승인 권한)</w:t>
      </w:r>
    </w:p>
    <w:p>
      <w:pPr>
        <w:spacing w:after="160" w:before="0" w:line="300"/>
      </w:pPr>
      <w:r>
        <w:rPr>
          <w:rFonts w:ascii="맑은 고딕" w:cs="맑은 고딕" w:eastAsia="맑은 고딕" w:hAnsi="맑은 고딕"/>
          <w:color w:val="1A1A2E"/>
          <w:sz w:val="20"/>
          <w:szCs w:val="20"/>
        </w:rPr>
        <w:t xml:space="preserve">총투자액에 따라 승인 권한을 다음과 같이 나눈다.</w:t>
      </w:r>
    </w:p>
    <w:tbl>
      <w:tblPr>
        <w:tblW w:type="pct" w:w="100%"/>
        <w:tblBorders>
          <w:top w:val="single" w:color="D7DAE3" w:sz="4"/>
          <w:left w:val="single" w:color="D7DAE3" w:sz="4"/>
          <w:bottom w:val="single" w:color="D7DAE3" w:sz="4"/>
          <w:right w:val="single" w:color="D7DAE3" w:sz="4"/>
          <w:insideH w:val="single" w:color="D7DAE3" w:sz="4"/>
          <w:insideV w:val="single" w:color="D7DAE3" w:sz="4"/>
        </w:tblBorders>
      </w:tblPr>
      <w:tblGrid>
        <w:gridCol w:w="100"/>
        <w:gridCol w:w="100"/>
        <w:gridCol w:w="100"/>
      </w:tblGrid>
      <w:tr>
        <w:trPr>
          <w:tblHeader/>
        </w:trPr>
        <w:tc>
          <w:tcPr>
            <w:tcW w:type="pct" w:w="30%"/>
            <w:shd w:fill="F2F4F8" w:val="clear"/>
            <w:tcMar>
              <w:top w:type="dxa" w:w="90"/>
              <w:left w:type="dxa" w:w="130"/>
              <w:bottom w:type="dxa" w:w="90"/>
              <w:right w:type="dxa" w:w="130"/>
            </w:tcMar>
          </w:tcPr>
          <w:p>
            <w:pPr>
              <w:spacing w:after="0" w:line="280"/>
            </w:pPr>
            <w:r>
              <w:rPr>
                <w:rFonts w:ascii="맑은 고딕" w:cs="맑은 고딕" w:eastAsia="맑은 고딕" w:hAnsi="맑은 고딕"/>
                <w:b/>
                <w:bCs/>
                <w:color w:val="1A1A2E"/>
                <w:sz w:val="19"/>
                <w:szCs w:val="19"/>
              </w:rPr>
              <w:t xml:space="preserve">총투자액</w:t>
            </w:r>
          </w:p>
        </w:tc>
        <w:tc>
          <w:tcPr>
            <w:tcW w:type="pct" w:w="32%"/>
            <w:shd w:fill="F2F4F8" w:val="clear"/>
            <w:tcMar>
              <w:top w:type="dxa" w:w="90"/>
              <w:left w:type="dxa" w:w="130"/>
              <w:bottom w:type="dxa" w:w="90"/>
              <w:right w:type="dxa" w:w="130"/>
            </w:tcMar>
          </w:tcPr>
          <w:p>
            <w:pPr>
              <w:spacing w:after="0" w:line="280"/>
            </w:pPr>
            <w:r>
              <w:rPr>
                <w:rFonts w:ascii="맑은 고딕" w:cs="맑은 고딕" w:eastAsia="맑은 고딕" w:hAnsi="맑은 고딕"/>
                <w:b/>
                <w:bCs/>
                <w:color w:val="1A1A2E"/>
                <w:sz w:val="19"/>
                <w:szCs w:val="19"/>
              </w:rPr>
              <w:t xml:space="preserve">승인 권한</w:t>
            </w:r>
          </w:p>
        </w:tc>
        <w:tc>
          <w:tcPr>
            <w:tcW w:type="pct" w:w="38%"/>
            <w:shd w:fill="F2F4F8" w:val="clear"/>
            <w:tcMar>
              <w:top w:type="dxa" w:w="90"/>
              <w:left w:type="dxa" w:w="130"/>
              <w:bottom w:type="dxa" w:w="90"/>
              <w:right w:type="dxa" w:w="130"/>
            </w:tcMar>
          </w:tcPr>
          <w:p>
            <w:pPr>
              <w:spacing w:after="0" w:line="280"/>
            </w:pPr>
            <w:r>
              <w:rPr>
                <w:rFonts w:ascii="맑은 고딕" w:cs="맑은 고딕" w:eastAsia="맑은 고딕" w:hAnsi="맑은 고딕"/>
                <w:b/>
                <w:bCs/>
                <w:color w:val="1A1A2E"/>
                <w:sz w:val="19"/>
                <w:szCs w:val="19"/>
              </w:rPr>
              <w:t xml:space="preserve">심의 방식</w:t>
            </w:r>
          </w:p>
        </w:tc>
      </w:tr>
      <w:tr>
        <w:trPr>
          <w:tblHeader w:val="false"/>
        </w:trPr>
        <w:tc>
          <w:tcPr>
            <w:tcW w:type="pct" w:w="30%"/>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10억 원 미만</w:t>
            </w:r>
          </w:p>
        </w:tc>
        <w:tc>
          <w:tcPr>
            <w:tcW w:type="pct" w:w="32%"/>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본부장</w:t>
            </w:r>
          </w:p>
        </w:tc>
        <w:tc>
          <w:tcPr>
            <w:tcW w:type="pct" w:w="38%"/>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서면 심의</w:t>
            </w:r>
          </w:p>
        </w:tc>
      </w:tr>
      <w:tr>
        <w:trPr>
          <w:tblHeader w:val="false"/>
        </w:trPr>
        <w:tc>
          <w:tcPr>
            <w:tcW w:type="pct" w:w="30%"/>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10억 이상 50억 미만</w:t>
            </w:r>
          </w:p>
        </w:tc>
        <w:tc>
          <w:tcPr>
            <w:tcW w:type="pct" w:w="32%"/>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경영위원회</w:t>
            </w:r>
          </w:p>
        </w:tc>
        <w:tc>
          <w:tcPr>
            <w:tcW w:type="pct" w:w="38%"/>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심의위원회 부의</w:t>
            </w:r>
          </w:p>
        </w:tc>
      </w:tr>
      <w:tr>
        <w:trPr>
          <w:tblHeader w:val="false"/>
        </w:trPr>
        <w:tc>
          <w:tcPr>
            <w:tcW w:type="pct" w:w="30%"/>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50억 이상 150억 미만</w:t>
            </w:r>
          </w:p>
        </w:tc>
        <w:tc>
          <w:tcPr>
            <w:tcW w:type="pct" w:w="32%"/>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대표이사</w:t>
            </w:r>
          </w:p>
        </w:tc>
        <w:tc>
          <w:tcPr>
            <w:tcW w:type="pct" w:w="38%"/>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심의위원회 부의 후 보고</w:t>
            </w:r>
          </w:p>
        </w:tc>
      </w:tr>
      <w:tr>
        <w:trPr>
          <w:tblHeader w:val="false"/>
        </w:trPr>
        <w:tc>
          <w:tcPr>
            <w:tcW w:type="pct" w:w="30%"/>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150억 원 이상</w:t>
            </w:r>
          </w:p>
        </w:tc>
        <w:tc>
          <w:tcPr>
            <w:tcW w:type="pct" w:w="32%"/>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이사회</w:t>
            </w:r>
          </w:p>
        </w:tc>
        <w:tc>
          <w:tcPr>
            <w:tcW w:type="pct" w:w="38%"/>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심의위원회 부의 후 이사회 의결</w:t>
            </w:r>
          </w:p>
        </w:tc>
      </w:tr>
    </w:tbl>
    <w:p>
      <w:pPr>
        <w:spacing w:after="120" w:before="160" w:line="300"/>
      </w:pPr>
      <w:r>
        <w:rPr>
          <w:rFonts w:ascii="맑은 고딕" w:cs="맑은 고딕" w:eastAsia="맑은 고딕" w:hAnsi="맑은 고딕"/>
          <w:color w:val="1A1A2E"/>
          <w:sz w:val="20"/>
          <w:szCs w:val="20"/>
        </w:rPr>
        <w:t xml:space="preserve">연차별로 나누어 집행하더라도 총투자액을 기준으로 판단한다. 사업을 쪼개어 승인 권한을 낮추는 것을 금지한다.</w:t>
      </w:r>
    </w:p>
    <w:p>
      <w:pPr>
        <w:pStyle w:val="Heading3"/>
        <w:spacing w:after="100" w:before="240" w:line="300"/>
      </w:pPr>
      <w:r>
        <w:rPr>
          <w:rFonts w:ascii="맑은 고딕" w:cs="맑은 고딕" w:eastAsia="맑은 고딕" w:hAnsi="맑은 고딕"/>
          <w:b/>
          <w:bCs/>
          <w:color w:val="1A1A2E"/>
          <w:sz w:val="21"/>
          <w:szCs w:val="21"/>
        </w:rPr>
        <w:t xml:space="preserve">제5조 (연간 투자 한도)</w:t>
      </w:r>
    </w:p>
    <w:p>
      <w:pPr>
        <w:spacing w:after="120" w:before="0" w:line="300"/>
      </w:pPr>
      <w:r>
        <w:rPr>
          <w:rFonts w:ascii="맑은 고딕" w:cs="맑은 고딕" w:eastAsia="맑은 고딕" w:hAnsi="맑은 고딕"/>
          <w:color w:val="1A1A2E"/>
          <w:sz w:val="20"/>
          <w:szCs w:val="20"/>
        </w:rPr>
        <w:t xml:space="preserve">단일 사업의 1차년도 집행액은 회사 연간 투자예산의 40퍼센트를 넘을 수 없다. 초과가 불가피한 경우 이사회 사전 승인을 받아야 한다.</w:t>
      </w:r>
    </w:p>
    <w:p>
      <w:pPr>
        <w:pStyle w:val="Heading2"/>
        <w:spacing w:after="140" w:before="320" w:line="300"/>
      </w:pPr>
      <w:r>
        <w:rPr>
          <w:rFonts w:ascii="맑은 고딕" w:cs="맑은 고딕" w:eastAsia="맑은 고딕" w:hAnsi="맑은 고딕"/>
          <w:b/>
          <w:bCs/>
          <w:color w:val="1A1A2E"/>
          <w:sz w:val="24"/>
          <w:szCs w:val="24"/>
        </w:rPr>
        <w:t xml:space="preserve">제3장 판단 기준</w:t>
      </w:r>
    </w:p>
    <w:p>
      <w:pPr>
        <w:pStyle w:val="Heading3"/>
        <w:spacing w:after="100" w:before="240" w:line="300"/>
      </w:pPr>
      <w:r>
        <w:rPr>
          <w:rFonts w:ascii="맑은 고딕" w:cs="맑은 고딕" w:eastAsia="맑은 고딕" w:hAnsi="맑은 고딕"/>
          <w:b/>
          <w:bCs/>
          <w:color w:val="1A1A2E"/>
          <w:sz w:val="21"/>
          <w:szCs w:val="21"/>
        </w:rPr>
        <w:t xml:space="preserve">제6조 (회수 기간)</w:t>
      </w:r>
    </w:p>
    <w:p>
      <w:pPr>
        <w:spacing w:after="160" w:before="0" w:line="300"/>
      </w:pPr>
      <w:r>
        <w:rPr>
          <w:rFonts w:ascii="맑은 고딕" w:cs="맑은 고딕" w:eastAsia="맑은 고딕" w:hAnsi="맑은 고딕"/>
          <w:color w:val="1A1A2E"/>
          <w:sz w:val="20"/>
          <w:szCs w:val="20"/>
        </w:rPr>
        <w:t xml:space="preserve">투자 유형별 회수 기간 상한은 다음과 같다.</w:t>
      </w:r>
    </w:p>
    <w:tbl>
      <w:tblPr>
        <w:tblW w:type="pct" w:w="100%"/>
        <w:tblBorders>
          <w:top w:val="single" w:color="D7DAE3" w:sz="4"/>
          <w:left w:val="single" w:color="D7DAE3" w:sz="4"/>
          <w:bottom w:val="single" w:color="D7DAE3" w:sz="4"/>
          <w:right w:val="single" w:color="D7DAE3" w:sz="4"/>
          <w:insideH w:val="single" w:color="D7DAE3" w:sz="4"/>
          <w:insideV w:val="single" w:color="D7DAE3" w:sz="4"/>
        </w:tblBorders>
      </w:tblPr>
      <w:tblGrid>
        <w:gridCol w:w="100"/>
        <w:gridCol w:w="100"/>
        <w:gridCol w:w="100"/>
      </w:tblGrid>
      <w:tr>
        <w:trPr>
          <w:tblHeader/>
        </w:trPr>
        <w:tc>
          <w:tcPr>
            <w:tcW w:type="pct" w:w="30%"/>
            <w:shd w:fill="F2F4F8" w:val="clear"/>
            <w:tcMar>
              <w:top w:type="dxa" w:w="90"/>
              <w:left w:type="dxa" w:w="130"/>
              <w:bottom w:type="dxa" w:w="90"/>
              <w:right w:type="dxa" w:w="130"/>
            </w:tcMar>
          </w:tcPr>
          <w:p>
            <w:pPr>
              <w:spacing w:after="0" w:line="280"/>
            </w:pPr>
            <w:r>
              <w:rPr>
                <w:rFonts w:ascii="맑은 고딕" w:cs="맑은 고딕" w:eastAsia="맑은 고딕" w:hAnsi="맑은 고딕"/>
                <w:b/>
                <w:bCs/>
                <w:color w:val="1A1A2E"/>
                <w:sz w:val="19"/>
                <w:szCs w:val="19"/>
              </w:rPr>
              <w:t xml:space="preserve">투자 유형</w:t>
            </w:r>
          </w:p>
        </w:tc>
        <w:tc>
          <w:tcPr>
            <w:tcW w:type="pct" w:w="24%"/>
            <w:shd w:fill="F2F4F8" w:val="clear"/>
            <w:tcMar>
              <w:top w:type="dxa" w:w="90"/>
              <w:left w:type="dxa" w:w="130"/>
              <w:bottom w:type="dxa" w:w="90"/>
              <w:right w:type="dxa" w:w="130"/>
            </w:tcMar>
          </w:tcPr>
          <w:p>
            <w:pPr>
              <w:spacing w:after="0" w:line="280"/>
            </w:pPr>
            <w:r>
              <w:rPr>
                <w:rFonts w:ascii="맑은 고딕" w:cs="맑은 고딕" w:eastAsia="맑은 고딕" w:hAnsi="맑은 고딕"/>
                <w:b/>
                <w:bCs/>
                <w:color w:val="1A1A2E"/>
                <w:sz w:val="19"/>
                <w:szCs w:val="19"/>
              </w:rPr>
              <w:t xml:space="preserve">회수 기간 상한</w:t>
            </w:r>
          </w:p>
        </w:tc>
        <w:tc>
          <w:tcPr>
            <w:tcW w:type="pct" w:w="46%"/>
            <w:shd w:fill="F2F4F8" w:val="clear"/>
            <w:tcMar>
              <w:top w:type="dxa" w:w="90"/>
              <w:left w:type="dxa" w:w="130"/>
              <w:bottom w:type="dxa" w:w="90"/>
              <w:right w:type="dxa" w:w="130"/>
            </w:tcMar>
          </w:tcPr>
          <w:p>
            <w:pPr>
              <w:spacing w:after="0" w:line="280"/>
            </w:pPr>
            <w:r>
              <w:rPr>
                <w:rFonts w:ascii="맑은 고딕" w:cs="맑은 고딕" w:eastAsia="맑은 고딕" w:hAnsi="맑은 고딕"/>
                <w:b/>
                <w:bCs/>
                <w:color w:val="1A1A2E"/>
                <w:sz w:val="19"/>
                <w:szCs w:val="19"/>
              </w:rPr>
              <w:t xml:space="preserve">비고</w:t>
            </w:r>
          </w:p>
        </w:tc>
      </w:tr>
      <w:tr>
        <w:trPr>
          <w:tblHeader w:val="false"/>
        </w:trPr>
        <w:tc>
          <w:tcPr>
            <w:tcW w:type="pct" w:w="30%"/>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생산 설비</w:t>
            </w:r>
          </w:p>
        </w:tc>
        <w:tc>
          <w:tcPr>
            <w:tcW w:type="pct" w:w="24%"/>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3년 이내</w:t>
            </w:r>
          </w:p>
        </w:tc>
        <w:tc>
          <w:tcPr>
            <w:tcW w:type="pct" w:w="46%"/>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감가상각 기간 고려</w:t>
            </w:r>
          </w:p>
        </w:tc>
      </w:tr>
      <w:tr>
        <w:trPr>
          <w:tblHeader w:val="false"/>
        </w:trPr>
        <w:tc>
          <w:tcPr>
            <w:tcW w:type="pct" w:w="30%"/>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정보시스템 및 소프트웨어</w:t>
            </w:r>
          </w:p>
        </w:tc>
        <w:tc>
          <w:tcPr>
            <w:tcW w:type="pct" w:w="24%"/>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2년 이내</w:t>
            </w:r>
          </w:p>
        </w:tc>
        <w:tc>
          <w:tcPr>
            <w:tcW w:type="pct" w:w="46%"/>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기술 변화 속도 반영</w:t>
            </w:r>
          </w:p>
        </w:tc>
      </w:tr>
      <w:tr>
        <w:trPr>
          <w:tblHeader w:val="false"/>
        </w:trPr>
        <w:tc>
          <w:tcPr>
            <w:tcW w:type="pct" w:w="30%"/>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연구개발 과제</w:t>
            </w:r>
          </w:p>
        </w:tc>
        <w:tc>
          <w:tcPr>
            <w:tcW w:type="pct" w:w="24%"/>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별도 심의</w:t>
            </w:r>
          </w:p>
        </w:tc>
        <w:tc>
          <w:tcPr>
            <w:tcW w:type="pct" w:w="46%"/>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회수 기간 대신 기술 확보 목표로 평가</w:t>
            </w:r>
          </w:p>
        </w:tc>
      </w:tr>
      <w:tr>
        <w:trPr>
          <w:tblHeader w:val="false"/>
        </w:trPr>
        <w:tc>
          <w:tcPr>
            <w:tcW w:type="pct" w:w="30%"/>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외부 솔루션 구독</w:t>
            </w:r>
          </w:p>
        </w:tc>
        <w:tc>
          <w:tcPr>
            <w:tcW w:type="pct" w:w="24%"/>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1년 이내</w:t>
            </w:r>
          </w:p>
        </w:tc>
        <w:tc>
          <w:tcPr>
            <w:tcW w:type="pct" w:w="46%"/>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연 단위 재계약 전제</w:t>
            </w:r>
          </w:p>
        </w:tc>
      </w:tr>
    </w:tbl>
    <w:p>
      <w:pPr>
        <w:spacing w:after="120" w:before="160" w:line="300"/>
      </w:pPr>
      <w:r>
        <w:rPr>
          <w:rFonts w:ascii="맑은 고딕" w:cs="맑은 고딕" w:eastAsia="맑은 고딕" w:hAnsi="맑은 고딕"/>
          <w:color w:val="1A1A2E"/>
          <w:sz w:val="20"/>
          <w:szCs w:val="20"/>
        </w:rPr>
        <w:t xml:space="preserve">회수 기간 산정에는 근거를 명시해야 한다. 업계 평균이나 공급사 제시 자료만으로는 근거로 인정하지 않으며, 자사 실적 데이터 또는 파일럿 결과를 함께 제시해야 한다.</w:t>
      </w:r>
    </w:p>
    <w:p>
      <w:pPr>
        <w:pStyle w:val="Heading3"/>
        <w:spacing w:after="100" w:before="240" w:line="300"/>
      </w:pPr>
      <w:r>
        <w:rPr>
          <w:rFonts w:ascii="맑은 고딕" w:cs="맑은 고딕" w:eastAsia="맑은 고딕" w:hAnsi="맑은 고딕"/>
          <w:b/>
          <w:bCs/>
          <w:color w:val="1A1A2E"/>
          <w:sz w:val="21"/>
          <w:szCs w:val="21"/>
        </w:rPr>
        <w:t xml:space="preserve">제7조 (인력 계획)</w:t>
      </w:r>
    </w:p>
    <w:p>
      <w:pPr>
        <w:spacing w:after="120" w:before="0" w:line="300"/>
      </w:pPr>
      <w:r>
        <w:rPr>
          <w:rFonts w:ascii="맑은 고딕" w:cs="맑은 고딕" w:eastAsia="맑은 고딕" w:hAnsi="맑은 고딕"/>
          <w:color w:val="1A1A2E"/>
          <w:sz w:val="20"/>
          <w:szCs w:val="20"/>
        </w:rPr>
        <w:t xml:space="preserve">1. 신규 채용을 동반하는 투자는 인건비를 총투자액에 산입한다.</w:t>
      </w:r>
    </w:p>
    <w:p>
      <w:pPr>
        <w:spacing w:after="120" w:before="0" w:line="300"/>
      </w:pPr>
      <w:r>
        <w:rPr>
          <w:rFonts w:ascii="맑은 고딕" w:cs="맑은 고딕" w:eastAsia="맑은 고딕" w:hAnsi="맑은 고딕"/>
          <w:color w:val="1A1A2E"/>
          <w:sz w:val="20"/>
          <w:szCs w:val="20"/>
        </w:rPr>
        <w:t xml:space="preserve">2. 신규 채용 인원이 연간 채용 계획의 50퍼센트를 넘는 경우, 기존 인력 재배치 검토 결과를 함께 제출해야 한다.</w:t>
      </w:r>
    </w:p>
    <w:p>
      <w:pPr>
        <w:spacing w:after="120" w:before="0" w:line="300"/>
      </w:pPr>
      <w:r>
        <w:rPr>
          <w:rFonts w:ascii="맑은 고딕" w:cs="맑은 고딕" w:eastAsia="맑은 고딕" w:hAnsi="맑은 고딕"/>
          <w:color w:val="1A1A2E"/>
          <w:sz w:val="20"/>
          <w:szCs w:val="20"/>
        </w:rPr>
        <w:t xml:space="preserve">3. 채용 계획이 확정되지 않은 상태에서 인력 확보를 전제로 한 일정은 인정하지 않는다.</w:t>
      </w:r>
    </w:p>
    <w:p>
      <w:pPr>
        <w:pStyle w:val="Heading3"/>
        <w:spacing w:after="100" w:before="240" w:line="300"/>
      </w:pPr>
      <w:r>
        <w:rPr>
          <w:rFonts w:ascii="맑은 고딕" w:cs="맑은 고딕" w:eastAsia="맑은 고딕" w:hAnsi="맑은 고딕"/>
          <w:b/>
          <w:bCs/>
          <w:color w:val="1A1A2E"/>
          <w:sz w:val="21"/>
          <w:szCs w:val="21"/>
        </w:rPr>
        <w:t xml:space="preserve">제8조 (데이터 취급)</w:t>
      </w:r>
    </w:p>
    <w:p>
      <w:pPr>
        <w:spacing w:after="120" w:before="0" w:line="300"/>
      </w:pPr>
      <w:r>
        <w:rPr>
          <w:rFonts w:ascii="맑은 고딕" w:cs="맑은 고딕" w:eastAsia="맑은 고딕" w:hAnsi="맑은 고딕"/>
          <w:color w:val="1A1A2E"/>
          <w:sz w:val="20"/>
          <w:szCs w:val="20"/>
        </w:rPr>
        <w:t xml:space="preserve">1. 고객사에서 제공받은 데이터를 사외로 반출하거나 외부 클라우드에 적재하는 경우, 법무팀 사전 검토와 해당 고객사의 서면 동의를 모두 받아야 한다.</w:t>
      </w:r>
    </w:p>
    <w:p>
      <w:pPr>
        <w:spacing w:after="120" w:before="0" w:line="300"/>
      </w:pPr>
      <w:r>
        <w:rPr>
          <w:rFonts w:ascii="맑은 고딕" w:cs="맑은 고딕" w:eastAsia="맑은 고딕" w:hAnsi="맑은 고딕"/>
          <w:color w:val="1A1A2E"/>
          <w:sz w:val="20"/>
          <w:szCs w:val="20"/>
        </w:rPr>
        <w:t xml:space="preserve">2. 제1항의 절차를 거치지 않은 안건은 심의 대상에서 제외한다.</w:t>
      </w:r>
    </w:p>
    <w:p>
      <w:pPr>
        <w:spacing w:after="120" w:before="0" w:line="300"/>
      </w:pPr>
      <w:r>
        <w:rPr>
          <w:rFonts w:ascii="맑은 고딕" w:cs="맑은 고딕" w:eastAsia="맑은 고딕" w:hAnsi="맑은 고딕"/>
          <w:color w:val="1A1A2E"/>
          <w:sz w:val="20"/>
          <w:szCs w:val="20"/>
        </w:rPr>
        <w:t xml:space="preserve">3. 학습 데이터로 활용하는 경우 보존 기간과 파기 절차를 함께 명시해야 한다.</w:t>
      </w:r>
    </w:p>
    <w:p>
      <w:pPr>
        <w:pStyle w:val="Heading3"/>
        <w:spacing w:after="100" w:before="240" w:line="300"/>
      </w:pPr>
      <w:r>
        <w:rPr>
          <w:rFonts w:ascii="맑은 고딕" w:cs="맑은 고딕" w:eastAsia="맑은 고딕" w:hAnsi="맑은 고딕"/>
          <w:b/>
          <w:bCs/>
          <w:color w:val="1A1A2E"/>
          <w:sz w:val="21"/>
          <w:szCs w:val="21"/>
        </w:rPr>
        <w:t xml:space="preserve">제9조 (단계적 도입)</w:t>
      </w:r>
    </w:p>
    <w:p>
      <w:pPr>
        <w:spacing w:after="120" w:before="0" w:line="300"/>
      </w:pPr>
      <w:r>
        <w:rPr>
          <w:rFonts w:ascii="맑은 고딕" w:cs="맑은 고딕" w:eastAsia="맑은 고딕" w:hAnsi="맑은 고딕"/>
          <w:color w:val="1A1A2E"/>
          <w:sz w:val="20"/>
          <w:szCs w:val="20"/>
        </w:rPr>
        <w:t xml:space="preserve">1. 정보시스템과 소프트웨어는 파일럿 없이 전면 도입할 수 없다.</w:t>
      </w:r>
    </w:p>
    <w:p>
      <w:pPr>
        <w:spacing w:after="120" w:before="0" w:line="300"/>
      </w:pPr>
      <w:r>
        <w:rPr>
          <w:rFonts w:ascii="맑은 고딕" w:cs="맑은 고딕" w:eastAsia="맑은 고딕" w:hAnsi="맑은 고딕"/>
          <w:color w:val="1A1A2E"/>
          <w:sz w:val="20"/>
          <w:szCs w:val="20"/>
        </w:rPr>
        <w:t xml:space="preserve">2. 파일럿 결과가 기대 효과의 70퍼센트에 미치지 못하면 확대 적용을 보류하고 재심의한다.</w:t>
      </w:r>
    </w:p>
    <w:p>
      <w:pPr>
        <w:pStyle w:val="Heading2"/>
        <w:spacing w:after="140" w:before="320" w:line="300"/>
      </w:pPr>
      <w:r>
        <w:rPr>
          <w:rFonts w:ascii="맑은 고딕" w:cs="맑은 고딕" w:eastAsia="맑은 고딕" w:hAnsi="맑은 고딕"/>
          <w:b/>
          <w:bCs/>
          <w:color w:val="1A1A2E"/>
          <w:sz w:val="24"/>
          <w:szCs w:val="24"/>
        </w:rPr>
        <w:t xml:space="preserve">제4장 심의 절차</w:t>
      </w:r>
    </w:p>
    <w:p>
      <w:pPr>
        <w:pStyle w:val="Heading3"/>
        <w:spacing w:after="100" w:before="240" w:line="300"/>
      </w:pPr>
      <w:r>
        <w:rPr>
          <w:rFonts w:ascii="맑은 고딕" w:cs="맑은 고딕" w:eastAsia="맑은 고딕" w:hAnsi="맑은 고딕"/>
          <w:b/>
          <w:bCs/>
          <w:color w:val="1A1A2E"/>
          <w:sz w:val="21"/>
          <w:szCs w:val="21"/>
        </w:rPr>
        <w:t xml:space="preserve">제10조 (제출 서류)</w:t>
      </w:r>
    </w:p>
    <w:p>
      <w:pPr>
        <w:spacing w:after="160" w:before="0" w:line="300"/>
      </w:pPr>
      <w:r>
        <w:rPr>
          <w:rFonts w:ascii="맑은 고딕" w:cs="맑은 고딕" w:eastAsia="맑은 고딕" w:hAnsi="맑은 고딕"/>
          <w:color w:val="1A1A2E"/>
          <w:sz w:val="20"/>
          <w:szCs w:val="20"/>
        </w:rPr>
        <w:t xml:space="preserve">기안 부서는 다음을 제출한다. 하나라도 빠지면 심의를 진행하지 않는다.</w:t>
      </w:r>
    </w:p>
    <w:tbl>
      <w:tblPr>
        <w:tblW w:type="pct" w:w="100%"/>
        <w:tblBorders>
          <w:top w:val="single" w:color="D7DAE3" w:sz="4"/>
          <w:left w:val="single" w:color="D7DAE3" w:sz="4"/>
          <w:bottom w:val="single" w:color="D7DAE3" w:sz="4"/>
          <w:right w:val="single" w:color="D7DAE3" w:sz="4"/>
          <w:insideH w:val="single" w:color="D7DAE3" w:sz="4"/>
          <w:insideV w:val="single" w:color="D7DAE3" w:sz="4"/>
        </w:tblBorders>
      </w:tblPr>
      <w:tblGrid>
        <w:gridCol w:w="100"/>
        <w:gridCol w:w="100"/>
      </w:tblGrid>
      <w:tr>
        <w:trPr>
          <w:tblHeader/>
        </w:trPr>
        <w:tc>
          <w:tcPr>
            <w:tcW w:type="pct" w:w="26%"/>
            <w:shd w:fill="F2F4F8" w:val="clear"/>
            <w:tcMar>
              <w:top w:type="dxa" w:w="90"/>
              <w:left w:type="dxa" w:w="130"/>
              <w:bottom w:type="dxa" w:w="90"/>
              <w:right w:type="dxa" w:w="130"/>
            </w:tcMar>
          </w:tcPr>
          <w:p>
            <w:pPr>
              <w:spacing w:after="0" w:line="280"/>
            </w:pPr>
            <w:r>
              <w:rPr>
                <w:rFonts w:ascii="맑은 고딕" w:cs="맑은 고딕" w:eastAsia="맑은 고딕" w:hAnsi="맑은 고딕"/>
                <w:b/>
                <w:bCs/>
                <w:color w:val="1A1A2E"/>
                <w:sz w:val="19"/>
                <w:szCs w:val="19"/>
              </w:rPr>
              <w:t xml:space="preserve">구분</w:t>
            </w:r>
          </w:p>
        </w:tc>
        <w:tc>
          <w:tcPr>
            <w:tcW w:type="pct" w:w="74%"/>
            <w:shd w:fill="F2F4F8" w:val="clear"/>
            <w:tcMar>
              <w:top w:type="dxa" w:w="90"/>
              <w:left w:type="dxa" w:w="130"/>
              <w:bottom w:type="dxa" w:w="90"/>
              <w:right w:type="dxa" w:w="130"/>
            </w:tcMar>
          </w:tcPr>
          <w:p>
            <w:pPr>
              <w:spacing w:after="0" w:line="280"/>
            </w:pPr>
            <w:r>
              <w:rPr>
                <w:rFonts w:ascii="맑은 고딕" w:cs="맑은 고딕" w:eastAsia="맑은 고딕" w:hAnsi="맑은 고딕"/>
                <w:b/>
                <w:bCs/>
                <w:color w:val="1A1A2E"/>
                <w:sz w:val="19"/>
                <w:szCs w:val="19"/>
              </w:rPr>
              <w:t xml:space="preserve">내용</w:t>
            </w:r>
          </w:p>
        </w:tc>
      </w:tr>
      <w:tr>
        <w:trPr>
          <w:tblHeader w:val="false"/>
        </w:trPr>
        <w:tc>
          <w:tcPr>
            <w:tcW w:type="pct" w:w="26%"/>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투자 기안서</w:t>
            </w:r>
          </w:p>
        </w:tc>
        <w:tc>
          <w:tcPr>
            <w:tcW w:type="pct" w:w="74%"/>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배경, 금액, 기대 효과, 일정, 위험 요인</w:t>
            </w:r>
          </w:p>
        </w:tc>
      </w:tr>
      <w:tr>
        <w:trPr>
          <w:tblHeader w:val="false"/>
        </w:trPr>
        <w:tc>
          <w:tcPr>
            <w:tcW w:type="pct" w:w="26%"/>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산출 근거</w:t>
            </w:r>
          </w:p>
        </w:tc>
        <w:tc>
          <w:tcPr>
            <w:tcW w:type="pct" w:w="74%"/>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회수 기간과 절감액 계산 과정, 참조한 실적 데이터</w:t>
            </w:r>
          </w:p>
        </w:tc>
      </w:tr>
      <w:tr>
        <w:trPr>
          <w:tblHeader w:val="false"/>
        </w:trPr>
        <w:tc>
          <w:tcPr>
            <w:tcW w:type="pct" w:w="26%"/>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대안 비교</w:t>
            </w:r>
          </w:p>
        </w:tc>
        <w:tc>
          <w:tcPr>
            <w:tcW w:type="pct" w:w="74%"/>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자체 개발, 외부 구매, 현행 유지 세 가지 이상</w:t>
            </w:r>
          </w:p>
        </w:tc>
      </w:tr>
      <w:tr>
        <w:trPr>
          <w:tblHeader w:val="false"/>
        </w:trPr>
        <w:tc>
          <w:tcPr>
            <w:tcW w:type="pct" w:w="26%"/>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위험 요인</w:t>
            </w:r>
          </w:p>
        </w:tc>
        <w:tc>
          <w:tcPr>
            <w:tcW w:type="pct" w:w="74%"/>
            <w:tcMar>
              <w:top w:type="dxa" w:w="90"/>
              <w:left w:type="dxa" w:w="130"/>
              <w:bottom w:type="dxa" w:w="90"/>
              <w:right w:type="dxa" w:w="130"/>
            </w:tcMar>
          </w:tcPr>
          <w:p>
            <w:pPr>
              <w:spacing w:after="0" w:line="280"/>
            </w:pPr>
            <w:r>
              <w:rPr>
                <w:rFonts w:ascii="맑은 고딕" w:cs="맑은 고딕" w:eastAsia="맑은 고딕" w:hAnsi="맑은 고딕"/>
                <w:color w:val="5B6473"/>
                <w:sz w:val="19"/>
                <w:szCs w:val="19"/>
              </w:rPr>
              <w:t xml:space="preserve">발생 가능성과 대응 방안. 해당 없음으로 적을 수 없다</w:t>
            </w:r>
          </w:p>
        </w:tc>
      </w:tr>
    </w:tbl>
    <w:p>
      <w:pPr>
        <w:pStyle w:val="Heading3"/>
        <w:spacing w:after="100" w:before="240" w:line="300"/>
      </w:pPr>
      <w:r>
        <w:rPr>
          <w:rFonts w:ascii="맑은 고딕" w:cs="맑은 고딕" w:eastAsia="맑은 고딕" w:hAnsi="맑은 고딕"/>
          <w:b/>
          <w:bCs/>
          <w:color w:val="1A1A2E"/>
          <w:sz w:val="21"/>
          <w:szCs w:val="21"/>
        </w:rPr>
        <w:t xml:space="preserve">제11조 (심의 결과)</w:t>
      </w:r>
    </w:p>
    <w:p>
      <w:pPr>
        <w:spacing w:after="120" w:before="0" w:line="300"/>
      </w:pPr>
      <w:r>
        <w:rPr>
          <w:rFonts w:ascii="맑은 고딕" w:cs="맑은 고딕" w:eastAsia="맑은 고딕" w:hAnsi="맑은 고딕"/>
          <w:color w:val="1A1A2E"/>
          <w:sz w:val="20"/>
          <w:szCs w:val="20"/>
        </w:rPr>
        <w:t xml:space="preserve">심의 결과는 승인, 조건부 승인, 보류, 부결 중 하나로 한다. 조건부 승인의 경우 조건과 확인 시점, 확인 책임자를 함께 기록한다.</w:t>
      </w:r>
    </w:p>
    <w:p>
      <w:pPr>
        <w:pStyle w:val="Heading3"/>
        <w:spacing w:after="100" w:before="240" w:line="300"/>
      </w:pPr>
      <w:r>
        <w:rPr>
          <w:rFonts w:ascii="맑은 고딕" w:cs="맑은 고딕" w:eastAsia="맑은 고딕" w:hAnsi="맑은 고딕"/>
          <w:b/>
          <w:bCs/>
          <w:color w:val="1A1A2E"/>
          <w:sz w:val="21"/>
          <w:szCs w:val="21"/>
        </w:rPr>
        <w:t xml:space="preserve">제12조 (반대 의견 기록)</w:t>
      </w:r>
    </w:p>
    <w:p>
      <w:pPr>
        <w:spacing w:after="120" w:before="0" w:line="300"/>
      </w:pPr>
      <w:r>
        <w:rPr>
          <w:rFonts w:ascii="맑은 고딕" w:cs="맑은 고딕" w:eastAsia="맑은 고딕" w:hAnsi="맑은 고딕"/>
          <w:color w:val="1A1A2E"/>
          <w:sz w:val="20"/>
          <w:szCs w:val="20"/>
        </w:rPr>
        <w:t xml:space="preserve">심의 과정에서 해소되지 않은 반대 의견은 결론과 별도로 기록한다. 만장일치로 종결한 경우에도 검토하지 않은 위험이 있는지 확인한 내용을 남긴다.</w:t>
      </w:r>
    </w:p>
    <w:p>
      <w:pPr>
        <w:pStyle w:val="Heading3"/>
        <w:spacing w:after="100" w:before="240" w:line="300"/>
      </w:pPr>
      <w:r>
        <w:rPr>
          <w:rFonts w:ascii="맑은 고딕" w:cs="맑은 고딕" w:eastAsia="맑은 고딕" w:hAnsi="맑은 고딕"/>
          <w:b/>
          <w:bCs/>
          <w:color w:val="1A1A2E"/>
          <w:sz w:val="21"/>
          <w:szCs w:val="21"/>
        </w:rPr>
        <w:t xml:space="preserve">제13조 (사후 평가)</w:t>
      </w:r>
    </w:p>
    <w:p>
      <w:pPr>
        <w:spacing w:after="120" w:before="0" w:line="300"/>
      </w:pPr>
      <w:r>
        <w:rPr>
          <w:rFonts w:ascii="맑은 고딕" w:cs="맑은 고딕" w:eastAsia="맑은 고딕" w:hAnsi="맑은 고딕"/>
          <w:color w:val="1A1A2E"/>
          <w:sz w:val="20"/>
          <w:szCs w:val="20"/>
        </w:rPr>
        <w:t xml:space="preserve">집행 종료 후 1년이 지난 시점에 기대 효과 달성 여부를 평가하고, 결과를 다음 심의의 참고 자료로 활용한다.</w:t>
      </w:r>
    </w:p>
    <w:p>
      <w:pPr>
        <w:spacing w:after="100" w:before="500" w:line="300"/>
      </w:pPr>
      <w:r>
        <w:rPr>
          <w:rFonts w:ascii="맑은 고딕" w:cs="맑은 고딕" w:eastAsia="맑은 고딕" w:hAnsi="맑은 고딕"/>
          <w:color w:val="1A1A2E"/>
          <w:sz w:val="20"/>
          <w:szCs w:val="20"/>
        </w:rPr>
        <w:t xml:space="preserve"/>
      </w:r>
    </w:p>
    <w:p>
      <w:pPr>
        <w:pBdr>
          <w:top w:val="single" w:color="D7DAE3" w:sz="4" w:space="8"/>
        </w:pBdr>
        <w:spacing w:after="100" w:before="200" w:line="280"/>
      </w:pPr>
      <w:r>
        <w:rPr>
          <w:rFonts w:ascii="맑은 고딕" w:cs="맑은 고딕" w:eastAsia="맑은 고딕" w:hAnsi="맑은 고딕"/>
          <w:color w:val="8A93A2"/>
          <w:sz w:val="16"/>
          <w:szCs w:val="16"/>
        </w:rPr>
        <w:t xml:space="preserve">이 문서는 Microsoft 365 Copilot Agent Builder 실습을 위해 만든 가상의 예시입니다. 율해정밀은 실존하지 않으며, 조항과 수치는 실습 상황을 만들기 위해 지어낸 것입니다. 실제 규정이 궁금하다면 국가법령정보센터의 지방재정투자사업 심사규칙이나 KDI 공공투자관리센터의 예비타당성조사 지침을 참고하십시오.</w:t>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율해정밀 투자 심의 기준 (교육 실습용 예시)</dc:title>
  <dc:creator>교육 실습용 예시 문서</dc:creator>
  <dc:description>Microsoft 365 Copilot Agent Builder 실습을 위해 만든 가상의 사내 규정 문서입니다. 실존하는 회사나 규정과 무관합니다.</dc:description>
  <cp:lastModifiedBy>Un-named</cp:lastModifiedBy>
  <cp:revision>1</cp:revision>
  <dcterms:created xsi:type="dcterms:W3CDTF">2026-09-08T13:35:20.893Z</dcterms:created>
  <dcterms:modified xsi:type="dcterms:W3CDTF">2026-09-08T13:35:20.894Z</dcterms:modified>
</cp:coreProperties>
</file>

<file path=docProps/custom.xml><?xml version="1.0" encoding="utf-8"?>
<Properties xmlns="http://schemas.openxmlformats.org/officeDocument/2006/custom-properties" xmlns:vt="http://schemas.openxmlformats.org/officeDocument/2006/docPropsVTypes"/>
</file>