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1E8CD8B3" w:rsidR="00A32ECC" w:rsidRDefault="00A32ECC" w:rsidP="00DF4958">
      <w:r>
        <w:t xml:space="preserve">Published: </w:t>
      </w:r>
      <w:proofErr w:type="gramStart"/>
      <w:r w:rsidR="00DE3D75">
        <w:t>January</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3DC596BE" w14:textId="28078FC6" w:rsidR="00893021"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63158333" w:history="1">
        <w:r w:rsidR="00893021" w:rsidRPr="003C61D4">
          <w:rPr>
            <w:rStyle w:val="Hyperlink"/>
            <w:noProof/>
          </w:rPr>
          <w:t>Introduction</w:t>
        </w:r>
        <w:r w:rsidR="00893021">
          <w:rPr>
            <w:noProof/>
            <w:webHidden/>
          </w:rPr>
          <w:tab/>
        </w:r>
        <w:r w:rsidR="00893021">
          <w:rPr>
            <w:noProof/>
            <w:webHidden/>
          </w:rPr>
          <w:fldChar w:fldCharType="begin"/>
        </w:r>
        <w:r w:rsidR="00893021">
          <w:rPr>
            <w:noProof/>
            <w:webHidden/>
          </w:rPr>
          <w:instrText xml:space="preserve"> PAGEREF _Toc63158333 \h </w:instrText>
        </w:r>
        <w:r w:rsidR="00893021">
          <w:rPr>
            <w:noProof/>
            <w:webHidden/>
          </w:rPr>
        </w:r>
        <w:r w:rsidR="00893021">
          <w:rPr>
            <w:noProof/>
            <w:webHidden/>
          </w:rPr>
          <w:fldChar w:fldCharType="separate"/>
        </w:r>
        <w:r w:rsidR="00893021">
          <w:rPr>
            <w:noProof/>
            <w:webHidden/>
          </w:rPr>
          <w:t>1</w:t>
        </w:r>
        <w:r w:rsidR="00893021">
          <w:rPr>
            <w:noProof/>
            <w:webHidden/>
          </w:rPr>
          <w:fldChar w:fldCharType="end"/>
        </w:r>
      </w:hyperlink>
    </w:p>
    <w:p w14:paraId="6034D7FB" w14:textId="4E427BA6" w:rsidR="00893021" w:rsidRDefault="00A63939">
      <w:pPr>
        <w:pStyle w:val="TOC1"/>
        <w:rPr>
          <w:rFonts w:asciiTheme="minorHAnsi" w:eastAsiaTheme="minorEastAsia" w:hAnsiTheme="minorHAnsi"/>
          <w:noProof/>
          <w:sz w:val="22"/>
        </w:rPr>
      </w:pPr>
      <w:hyperlink w:anchor="_Toc63158334" w:history="1">
        <w:r w:rsidR="00893021" w:rsidRPr="003C61D4">
          <w:rPr>
            <w:rStyle w:val="Hyperlink"/>
            <w:noProof/>
          </w:rPr>
          <w:t>1) Setup of base architecture and test env</w:t>
        </w:r>
        <w:r w:rsidR="00893021">
          <w:rPr>
            <w:noProof/>
            <w:webHidden/>
          </w:rPr>
          <w:tab/>
        </w:r>
        <w:r w:rsidR="00893021">
          <w:rPr>
            <w:noProof/>
            <w:webHidden/>
          </w:rPr>
          <w:fldChar w:fldCharType="begin"/>
        </w:r>
        <w:r w:rsidR="00893021">
          <w:rPr>
            <w:noProof/>
            <w:webHidden/>
          </w:rPr>
          <w:instrText xml:space="preserve"> PAGEREF _Toc63158334 \h </w:instrText>
        </w:r>
        <w:r w:rsidR="00893021">
          <w:rPr>
            <w:noProof/>
            <w:webHidden/>
          </w:rPr>
        </w:r>
        <w:r w:rsidR="00893021">
          <w:rPr>
            <w:noProof/>
            <w:webHidden/>
          </w:rPr>
          <w:fldChar w:fldCharType="separate"/>
        </w:r>
        <w:r w:rsidR="00893021">
          <w:rPr>
            <w:noProof/>
            <w:webHidden/>
          </w:rPr>
          <w:t>2</w:t>
        </w:r>
        <w:r w:rsidR="00893021">
          <w:rPr>
            <w:noProof/>
            <w:webHidden/>
          </w:rPr>
          <w:fldChar w:fldCharType="end"/>
        </w:r>
      </w:hyperlink>
    </w:p>
    <w:p w14:paraId="664E93AB" w14:textId="529E46B7" w:rsidR="00893021" w:rsidRDefault="00A63939">
      <w:pPr>
        <w:pStyle w:val="TOC2"/>
        <w:tabs>
          <w:tab w:val="right" w:leader="dot" w:pos="10790"/>
        </w:tabs>
        <w:rPr>
          <w:rFonts w:asciiTheme="minorHAnsi" w:eastAsiaTheme="minorEastAsia" w:hAnsiTheme="minorHAnsi"/>
          <w:noProof/>
          <w:sz w:val="22"/>
        </w:rPr>
      </w:pPr>
      <w:hyperlink w:anchor="_Toc63158335" w:history="1">
        <w:r w:rsidR="00893021" w:rsidRPr="003C61D4">
          <w:rPr>
            <w:rStyle w:val="Hyperlink"/>
            <w:noProof/>
            <w:shd w:val="clear" w:color="auto" w:fill="FFFFFF"/>
          </w:rPr>
          <w:t>Debugging</w:t>
        </w:r>
        <w:r w:rsidR="00893021">
          <w:rPr>
            <w:noProof/>
            <w:webHidden/>
          </w:rPr>
          <w:tab/>
        </w:r>
        <w:r w:rsidR="00893021">
          <w:rPr>
            <w:noProof/>
            <w:webHidden/>
          </w:rPr>
          <w:fldChar w:fldCharType="begin"/>
        </w:r>
        <w:r w:rsidR="00893021">
          <w:rPr>
            <w:noProof/>
            <w:webHidden/>
          </w:rPr>
          <w:instrText xml:space="preserve"> PAGEREF _Toc63158335 \h </w:instrText>
        </w:r>
        <w:r w:rsidR="00893021">
          <w:rPr>
            <w:noProof/>
            <w:webHidden/>
          </w:rPr>
        </w:r>
        <w:r w:rsidR="00893021">
          <w:rPr>
            <w:noProof/>
            <w:webHidden/>
          </w:rPr>
          <w:fldChar w:fldCharType="separate"/>
        </w:r>
        <w:r w:rsidR="00893021">
          <w:rPr>
            <w:noProof/>
            <w:webHidden/>
          </w:rPr>
          <w:t>4</w:t>
        </w:r>
        <w:r w:rsidR="00893021">
          <w:rPr>
            <w:noProof/>
            <w:webHidden/>
          </w:rPr>
          <w:fldChar w:fldCharType="end"/>
        </w:r>
      </w:hyperlink>
    </w:p>
    <w:p w14:paraId="6F83FF01" w14:textId="17748FDC" w:rsidR="00893021" w:rsidRDefault="00A63939">
      <w:pPr>
        <w:pStyle w:val="TOC1"/>
        <w:rPr>
          <w:rFonts w:asciiTheme="minorHAnsi" w:eastAsiaTheme="minorEastAsia" w:hAnsiTheme="minorHAnsi"/>
          <w:noProof/>
          <w:sz w:val="22"/>
        </w:rPr>
      </w:pPr>
      <w:hyperlink w:anchor="_Toc63158336" w:history="1">
        <w:r w:rsidR="00893021" w:rsidRPr="003C61D4">
          <w:rPr>
            <w:rStyle w:val="Hyperlink"/>
            <w:noProof/>
          </w:rPr>
          <w:t>2) Walking through the included example</w:t>
        </w:r>
        <w:r w:rsidR="00893021">
          <w:rPr>
            <w:noProof/>
            <w:webHidden/>
          </w:rPr>
          <w:tab/>
        </w:r>
        <w:r w:rsidR="00893021">
          <w:rPr>
            <w:noProof/>
            <w:webHidden/>
          </w:rPr>
          <w:fldChar w:fldCharType="begin"/>
        </w:r>
        <w:r w:rsidR="00893021">
          <w:rPr>
            <w:noProof/>
            <w:webHidden/>
          </w:rPr>
          <w:instrText xml:space="preserve"> PAGEREF _Toc63158336 \h </w:instrText>
        </w:r>
        <w:r w:rsidR="00893021">
          <w:rPr>
            <w:noProof/>
            <w:webHidden/>
          </w:rPr>
        </w:r>
        <w:r w:rsidR="00893021">
          <w:rPr>
            <w:noProof/>
            <w:webHidden/>
          </w:rPr>
          <w:fldChar w:fldCharType="separate"/>
        </w:r>
        <w:r w:rsidR="00893021">
          <w:rPr>
            <w:noProof/>
            <w:webHidden/>
          </w:rPr>
          <w:t>5</w:t>
        </w:r>
        <w:r w:rsidR="00893021">
          <w:rPr>
            <w:noProof/>
            <w:webHidden/>
          </w:rPr>
          <w:fldChar w:fldCharType="end"/>
        </w:r>
      </w:hyperlink>
    </w:p>
    <w:p w14:paraId="35DABB2E" w14:textId="04F07D6B" w:rsidR="00893021" w:rsidRDefault="00A63939">
      <w:pPr>
        <w:pStyle w:val="TOC1"/>
        <w:rPr>
          <w:rFonts w:asciiTheme="minorHAnsi" w:eastAsiaTheme="minorEastAsia" w:hAnsiTheme="minorHAnsi"/>
          <w:noProof/>
          <w:sz w:val="22"/>
        </w:rPr>
      </w:pPr>
      <w:hyperlink w:anchor="_Toc63158337" w:history="1">
        <w:r w:rsidR="00893021" w:rsidRPr="003C61D4">
          <w:rPr>
            <w:rStyle w:val="Hyperlink"/>
            <w:noProof/>
          </w:rPr>
          <w:t>3) Understanding the notebooks</w:t>
        </w:r>
        <w:r w:rsidR="00893021">
          <w:rPr>
            <w:noProof/>
            <w:webHidden/>
          </w:rPr>
          <w:tab/>
        </w:r>
        <w:r w:rsidR="00893021">
          <w:rPr>
            <w:noProof/>
            <w:webHidden/>
          </w:rPr>
          <w:fldChar w:fldCharType="begin"/>
        </w:r>
        <w:r w:rsidR="00893021">
          <w:rPr>
            <w:noProof/>
            <w:webHidden/>
          </w:rPr>
          <w:instrText xml:space="preserve"> PAGEREF _Toc63158337 \h </w:instrText>
        </w:r>
        <w:r w:rsidR="00893021">
          <w:rPr>
            <w:noProof/>
            <w:webHidden/>
          </w:rPr>
        </w:r>
        <w:r w:rsidR="00893021">
          <w:rPr>
            <w:noProof/>
            <w:webHidden/>
          </w:rPr>
          <w:fldChar w:fldCharType="separate"/>
        </w:r>
        <w:r w:rsidR="00893021">
          <w:rPr>
            <w:noProof/>
            <w:webHidden/>
          </w:rPr>
          <w:t>7</w:t>
        </w:r>
        <w:r w:rsidR="00893021">
          <w:rPr>
            <w:noProof/>
            <w:webHidden/>
          </w:rPr>
          <w:fldChar w:fldCharType="end"/>
        </w:r>
      </w:hyperlink>
    </w:p>
    <w:p w14:paraId="234BAA41" w14:textId="1D75BC43" w:rsidR="00893021" w:rsidRDefault="00A63939">
      <w:pPr>
        <w:pStyle w:val="TOC1"/>
        <w:rPr>
          <w:rFonts w:asciiTheme="minorHAnsi" w:eastAsiaTheme="minorEastAsia" w:hAnsiTheme="minorHAnsi"/>
          <w:noProof/>
          <w:sz w:val="22"/>
        </w:rPr>
      </w:pPr>
      <w:hyperlink w:anchor="_Toc63158338" w:history="1">
        <w:r w:rsidR="00893021" w:rsidRPr="003C61D4">
          <w:rPr>
            <w:rStyle w:val="Hyperlink"/>
            <w:noProof/>
          </w:rPr>
          <w:t>4) Power BI dashboard examples</w:t>
        </w:r>
        <w:r w:rsidR="00893021">
          <w:rPr>
            <w:noProof/>
            <w:webHidden/>
          </w:rPr>
          <w:tab/>
        </w:r>
        <w:r w:rsidR="00893021">
          <w:rPr>
            <w:noProof/>
            <w:webHidden/>
          </w:rPr>
          <w:fldChar w:fldCharType="begin"/>
        </w:r>
        <w:r w:rsidR="00893021">
          <w:rPr>
            <w:noProof/>
            <w:webHidden/>
          </w:rPr>
          <w:instrText xml:space="preserve"> PAGEREF _Toc63158338 \h </w:instrText>
        </w:r>
        <w:r w:rsidR="00893021">
          <w:rPr>
            <w:noProof/>
            <w:webHidden/>
          </w:rPr>
        </w:r>
        <w:r w:rsidR="00893021">
          <w:rPr>
            <w:noProof/>
            <w:webHidden/>
          </w:rPr>
          <w:fldChar w:fldCharType="separate"/>
        </w:r>
        <w:r w:rsidR="00893021">
          <w:rPr>
            <w:noProof/>
            <w:webHidden/>
          </w:rPr>
          <w:t>8</w:t>
        </w:r>
        <w:r w:rsidR="00893021">
          <w:rPr>
            <w:noProof/>
            <w:webHidden/>
          </w:rPr>
          <w:fldChar w:fldCharType="end"/>
        </w:r>
      </w:hyperlink>
    </w:p>
    <w:p w14:paraId="28CF5196" w14:textId="3455200B" w:rsidR="00893021" w:rsidRDefault="00A63939">
      <w:pPr>
        <w:pStyle w:val="TOC1"/>
        <w:rPr>
          <w:rFonts w:asciiTheme="minorHAnsi" w:eastAsiaTheme="minorEastAsia" w:hAnsiTheme="minorHAnsi"/>
          <w:noProof/>
          <w:sz w:val="22"/>
        </w:rPr>
      </w:pPr>
      <w:hyperlink w:anchor="_Toc63158339" w:history="1">
        <w:r w:rsidR="00893021" w:rsidRPr="003C61D4">
          <w:rPr>
            <w:rStyle w:val="Hyperlink"/>
            <w:noProof/>
          </w:rPr>
          <w:t>5) Connect Power BI workspace</w:t>
        </w:r>
        <w:r w:rsidR="00893021">
          <w:rPr>
            <w:noProof/>
            <w:webHidden/>
          </w:rPr>
          <w:tab/>
        </w:r>
        <w:r w:rsidR="00893021">
          <w:rPr>
            <w:noProof/>
            <w:webHidden/>
          </w:rPr>
          <w:fldChar w:fldCharType="begin"/>
        </w:r>
        <w:r w:rsidR="00893021">
          <w:rPr>
            <w:noProof/>
            <w:webHidden/>
          </w:rPr>
          <w:instrText xml:space="preserve"> PAGEREF _Toc63158339 \h </w:instrText>
        </w:r>
        <w:r w:rsidR="00893021">
          <w:rPr>
            <w:noProof/>
            <w:webHidden/>
          </w:rPr>
        </w:r>
        <w:r w:rsidR="00893021">
          <w:rPr>
            <w:noProof/>
            <w:webHidden/>
          </w:rPr>
          <w:fldChar w:fldCharType="separate"/>
        </w:r>
        <w:r w:rsidR="00893021">
          <w:rPr>
            <w:noProof/>
            <w:webHidden/>
          </w:rPr>
          <w:t>11</w:t>
        </w:r>
        <w:r w:rsidR="00893021">
          <w:rPr>
            <w:noProof/>
            <w:webHidden/>
          </w:rPr>
          <w:fldChar w:fldCharType="end"/>
        </w:r>
      </w:hyperlink>
    </w:p>
    <w:p w14:paraId="3479B665" w14:textId="627D769C" w:rsidR="00893021" w:rsidRDefault="00A63939">
      <w:pPr>
        <w:pStyle w:val="TOC1"/>
        <w:rPr>
          <w:rFonts w:asciiTheme="minorHAnsi" w:eastAsiaTheme="minorEastAsia" w:hAnsiTheme="minorHAnsi"/>
          <w:noProof/>
          <w:sz w:val="22"/>
        </w:rPr>
      </w:pPr>
      <w:hyperlink w:anchor="_Toc63158340" w:history="1">
        <w:r w:rsidR="00893021" w:rsidRPr="003C61D4">
          <w:rPr>
            <w:rStyle w:val="Hyperlink"/>
            <w:noProof/>
          </w:rPr>
          <w:t>6) Connect Machine Learning Studio</w:t>
        </w:r>
        <w:r w:rsidR="00893021">
          <w:rPr>
            <w:noProof/>
            <w:webHidden/>
          </w:rPr>
          <w:tab/>
        </w:r>
        <w:r w:rsidR="00893021">
          <w:rPr>
            <w:noProof/>
            <w:webHidden/>
          </w:rPr>
          <w:fldChar w:fldCharType="begin"/>
        </w:r>
        <w:r w:rsidR="00893021">
          <w:rPr>
            <w:noProof/>
            <w:webHidden/>
          </w:rPr>
          <w:instrText xml:space="preserve"> PAGEREF _Toc63158340 \h </w:instrText>
        </w:r>
        <w:r w:rsidR="00893021">
          <w:rPr>
            <w:noProof/>
            <w:webHidden/>
          </w:rPr>
        </w:r>
        <w:r w:rsidR="00893021">
          <w:rPr>
            <w:noProof/>
            <w:webHidden/>
          </w:rPr>
          <w:fldChar w:fldCharType="separate"/>
        </w:r>
        <w:r w:rsidR="00893021">
          <w:rPr>
            <w:noProof/>
            <w:webHidden/>
          </w:rPr>
          <w:t>12</w:t>
        </w:r>
        <w:r w:rsidR="00893021">
          <w:rPr>
            <w:noProof/>
            <w:webHidden/>
          </w:rPr>
          <w:fldChar w:fldCharType="end"/>
        </w:r>
      </w:hyperlink>
    </w:p>
    <w:p w14:paraId="3C56FE6F" w14:textId="7A5F0648" w:rsidR="00893021" w:rsidRDefault="00A63939">
      <w:pPr>
        <w:pStyle w:val="TOC1"/>
        <w:rPr>
          <w:rFonts w:asciiTheme="minorHAnsi" w:eastAsiaTheme="minorEastAsia" w:hAnsiTheme="minorHAnsi"/>
          <w:noProof/>
          <w:sz w:val="22"/>
        </w:rPr>
      </w:pPr>
      <w:hyperlink w:anchor="_Toc63158341" w:history="1">
        <w:r w:rsidR="00893021" w:rsidRPr="003C61D4">
          <w:rPr>
            <w:rStyle w:val="Hyperlink"/>
            <w:noProof/>
          </w:rPr>
          <w:t>7) Privacy and Security</w:t>
        </w:r>
        <w:r w:rsidR="00893021">
          <w:rPr>
            <w:noProof/>
            <w:webHidden/>
          </w:rPr>
          <w:tab/>
        </w:r>
        <w:r w:rsidR="00893021">
          <w:rPr>
            <w:noProof/>
            <w:webHidden/>
          </w:rPr>
          <w:fldChar w:fldCharType="begin"/>
        </w:r>
        <w:r w:rsidR="00893021">
          <w:rPr>
            <w:noProof/>
            <w:webHidden/>
          </w:rPr>
          <w:instrText xml:space="preserve"> PAGEREF _Toc63158341 \h </w:instrText>
        </w:r>
        <w:r w:rsidR="00893021">
          <w:rPr>
            <w:noProof/>
            <w:webHidden/>
          </w:rPr>
        </w:r>
        <w:r w:rsidR="00893021">
          <w:rPr>
            <w:noProof/>
            <w:webHidden/>
          </w:rPr>
          <w:fldChar w:fldCharType="separate"/>
        </w:r>
        <w:r w:rsidR="00893021">
          <w:rPr>
            <w:noProof/>
            <w:webHidden/>
          </w:rPr>
          <w:t>13</w:t>
        </w:r>
        <w:r w:rsidR="00893021">
          <w:rPr>
            <w:noProof/>
            <w:webHidden/>
          </w:rPr>
          <w:fldChar w:fldCharType="end"/>
        </w:r>
      </w:hyperlink>
    </w:p>
    <w:p w14:paraId="3C6DF1C6" w14:textId="706BB593"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63158333"/>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60723858"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sidR="00DE3D75">
              <w:rPr>
                <w:rFonts w:cs="Segoe UI"/>
              </w:rPr>
              <w:t xml:space="preserve"> and a set of</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77684BEC" w:rsidR="006477CE" w:rsidRDefault="006477CE" w:rsidP="006477CE">
            <w:pPr>
              <w:pStyle w:val="Bodycopy"/>
            </w:pPr>
            <w:r>
              <w:t>Modules and packages in Open Edu Analytics can contain the same set of assets – the main distinction between the two is that modules are self-contained while packages have dependencies on one or more modules.</w:t>
            </w:r>
          </w:p>
          <w:p w14:paraId="310CDADF" w14:textId="327CC397" w:rsidR="006477CE" w:rsidRDefault="006477CE" w:rsidP="006477CE">
            <w:pPr>
              <w:pStyle w:val="Bodycopy"/>
              <w:spacing w:after="0"/>
            </w:pPr>
            <w:r>
              <w:t>Modules and packages have the following 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8" w:anchor="overview" w:history="1">
              <w:r w:rsidRPr="005070D2">
                <w:rPr>
                  <w:rStyle w:val="Hyperlink"/>
                </w:rPr>
                <w:t>cloud shell</w:t>
              </w:r>
            </w:hyperlink>
          </w:p>
          <w:p w14:paraId="5F5378C5" w14:textId="77777777" w:rsidR="006477CE" w:rsidRDefault="006477CE" w:rsidP="006477CE">
            <w:pPr>
              <w:pStyle w:val="Bodycopy"/>
              <w:numPr>
                <w:ilvl w:val="0"/>
                <w:numId w:val="16"/>
              </w:numPr>
              <w:spacing w:after="0"/>
            </w:pPr>
            <w:r>
              <w:t>a notebooks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1260B7EB"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Open Edu Analytics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63158334"/>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w:t>
      </w:r>
      <w:proofErr w:type="gramStart"/>
      <w:r>
        <w:rPr>
          <w:rFonts w:cs="Segoe UI"/>
        </w:rPr>
        <w:t>to</w:t>
      </w:r>
      <w:proofErr w:type="gramEnd"/>
      <w:r>
        <w:rPr>
          <w:rFonts w:cs="Segoe UI"/>
        </w:rPr>
        <w:t xml:space="preserve">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lastRenderedPageBreak/>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01106450" w14:textId="21B87A1F" w:rsidR="003908C3" w:rsidRDefault="00533758" w:rsidP="003D7EBC">
      <w:pPr>
        <w:rPr>
          <w:rFonts w:cs="Segoe UI"/>
        </w:rPr>
      </w:pPr>
      <w:r>
        <w:rPr>
          <w:rFonts w:cs="Segoe UI"/>
        </w:rPr>
        <w:t xml:space="preserve">For a list of </w:t>
      </w:r>
      <w:r w:rsidR="00744E63">
        <w:rPr>
          <w:rFonts w:cs="Segoe UI"/>
        </w:rPr>
        <w:t>available locations</w:t>
      </w:r>
      <w:r>
        <w:rPr>
          <w:rFonts w:cs="Segoe UI"/>
        </w:rPr>
        <w:t xml:space="preserve">, see: </w:t>
      </w:r>
      <w:hyperlink r:id="rId24"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32A4AB0D"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r w:rsidR="0093251C">
        <w:rPr>
          <w:rFonts w:cs="Segoe UI"/>
        </w:rPr>
        <w:t>test-env</w:t>
      </w:r>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5A49E742" w14:textId="52591D9D" w:rsidR="00533758" w:rsidRPr="00AE53DC" w:rsidRDefault="00533758" w:rsidP="00AE53DC">
      <w:pPr>
        <w:pStyle w:val="ListParagraph"/>
        <w:numPr>
          <w:ilvl w:val="0"/>
          <w:numId w:val="14"/>
        </w:numPr>
        <w:rPr>
          <w:rFonts w:cs="Segoe UI"/>
        </w:rPr>
      </w:pPr>
      <w:r>
        <w:rPr>
          <w:rFonts w:cs="Segoe UI"/>
        </w:rPr>
        <w:t>Apache Spark pool</w:t>
      </w:r>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4926B1C0" w14:textId="77777777" w:rsidR="00AE53DC" w:rsidRDefault="00AE53DC" w:rsidP="00BB27A0">
      <w:pPr>
        <w:rPr>
          <w:rFonts w:cs="Segoe UI"/>
        </w:rPr>
      </w:pPr>
    </w:p>
    <w:p w14:paraId="39CD4372" w14:textId="56384E75"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01FA6DF" w14:textId="74DBE61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874BDED" w:rsidR="00AE53DC" w:rsidRP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3317DD39" w14:textId="6C7DE505" w:rsidR="00AE53DC" w:rsidRDefault="00AE53DC" w:rsidP="00BB27A0">
      <w:pPr>
        <w:rPr>
          <w:rFonts w:cs="Segoe UI"/>
          <w:color w:val="24292E"/>
          <w:shd w:val="clear" w:color="auto" w:fill="FFFFFF"/>
        </w:rPr>
      </w:pPr>
    </w:p>
    <w:p w14:paraId="7A582038" w14:textId="366834C1" w:rsidR="00AE53DC" w:rsidRDefault="00AE53DC" w:rsidP="00AE53DC">
      <w:pPr>
        <w:pStyle w:val="Heading2"/>
        <w:rPr>
          <w:shd w:val="clear" w:color="auto" w:fill="FFFFFF"/>
        </w:rPr>
      </w:pPr>
      <w:bookmarkStart w:id="3" w:name="_Toc63158335"/>
      <w:r>
        <w:rPr>
          <w:shd w:val="clear" w:color="auto" w:fill="FFFFFF"/>
        </w:rPr>
        <w:t>Debugging</w:t>
      </w:r>
      <w:bookmarkEnd w:id="3"/>
    </w:p>
    <w:p w14:paraId="6E743487" w14:textId="1EC1F132" w:rsidR="008168B3" w:rsidRPr="008168B3" w:rsidRDefault="008168B3" w:rsidP="00BB27A0">
      <w:pPr>
        <w:rPr>
          <w:rFonts w:cs="Segoe UI"/>
          <w:b/>
          <w:bCs/>
          <w:color w:val="24292E"/>
          <w:shd w:val="clear" w:color="auto" w:fill="FFFFFF"/>
        </w:rPr>
      </w:pPr>
      <w:r w:rsidRPr="008168B3">
        <w:rPr>
          <w:rFonts w:cs="Segoe UI"/>
          <w:b/>
          <w:bCs/>
          <w:color w:val="24292E"/>
          <w:shd w:val="clear" w:color="auto" w:fill="FFFFFF"/>
        </w:rPr>
        <w:t>Role Assignment of “Owner”</w:t>
      </w:r>
    </w:p>
    <w:p w14:paraId="34C7DB97" w14:textId="1BA39ABE" w:rsidR="00AE53DC" w:rsidRDefault="00AE53DC" w:rsidP="00BB27A0">
      <w:pPr>
        <w:rPr>
          <w:rFonts w:cs="Segoe UI"/>
          <w:color w:val="24292E"/>
          <w:shd w:val="clear" w:color="auto" w:fill="FFFFFF"/>
        </w:rPr>
      </w:pPr>
      <w:r>
        <w:rPr>
          <w:rFonts w:cs="Segoe UI"/>
          <w:color w:val="24292E"/>
          <w:shd w:val="clear" w:color="auto" w:fill="FFFFFF"/>
        </w:rPr>
        <w:t xml:space="preserve">If you got errors when running the setup script, verify that you have the role assignment of “Owner” on your Azure subscription by going to Azure portal, </w:t>
      </w:r>
      <w:r w:rsidR="000A7878">
        <w:rPr>
          <w:rFonts w:cs="Segoe UI"/>
          <w:color w:val="24292E"/>
          <w:shd w:val="clear" w:color="auto" w:fill="FFFFFF"/>
        </w:rPr>
        <w:t>then going to Subscriptions -&gt; Access control (IAM) -&gt; Role assignments</w:t>
      </w:r>
    </w:p>
    <w:p w14:paraId="4ED4705D" w14:textId="24FDACCC" w:rsidR="00AE53DC" w:rsidRDefault="000A7878" w:rsidP="00BB27A0">
      <w:pPr>
        <w:rPr>
          <w:noProof/>
        </w:rPr>
      </w:pPr>
      <w:r>
        <w:rPr>
          <w:noProof/>
        </w:rPr>
        <w:t>If you do not have the role assignment of “Owner”, you may be able to add the role assignment yourself – otherwise you’ll need to contact the administrator of the subscription.</w:t>
      </w:r>
    </w:p>
    <w:p w14:paraId="32DAC9E7" w14:textId="30C0AF64" w:rsidR="008168B3" w:rsidRDefault="008168B3" w:rsidP="00BB27A0">
      <w:pPr>
        <w:rPr>
          <w:rFonts w:cs="Segoe UI"/>
          <w:color w:val="24292E"/>
          <w:shd w:val="clear" w:color="auto" w:fill="FFFFFF"/>
        </w:rPr>
      </w:pPr>
      <w:r>
        <w:rPr>
          <w:noProof/>
        </w:rPr>
        <w:drawing>
          <wp:inline distT="0" distB="0" distL="0" distR="0" wp14:anchorId="05B88FBF" wp14:editId="329F9FC2">
            <wp:extent cx="4863710" cy="1861114"/>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889446" cy="1870962"/>
                    </a:xfrm>
                    <a:prstGeom prst="rect">
                      <a:avLst/>
                    </a:prstGeom>
                    <a:noFill/>
                    <a:ln>
                      <a:noFill/>
                    </a:ln>
                  </pic:spPr>
                </pic:pic>
              </a:graphicData>
            </a:graphic>
          </wp:inline>
        </w:drawing>
      </w:r>
    </w:p>
    <w:p w14:paraId="6B1567F7" w14:textId="5F7ED5AE" w:rsidR="008168B3" w:rsidRDefault="008168B3" w:rsidP="00BB27A0">
      <w:pPr>
        <w:rPr>
          <w:rFonts w:cs="Segoe UI"/>
          <w:color w:val="24292E"/>
          <w:shd w:val="clear" w:color="auto" w:fill="FFFFFF"/>
        </w:rPr>
      </w:pPr>
    </w:p>
    <w:p w14:paraId="1FD857B8" w14:textId="77777777" w:rsidR="008168B3" w:rsidRDefault="008168B3" w:rsidP="00BB27A0">
      <w:pPr>
        <w:rPr>
          <w:rFonts w:cs="Segoe UI"/>
          <w:color w:val="24292E"/>
          <w:shd w:val="clear" w:color="auto" w:fill="FFFFFF"/>
        </w:rPr>
      </w:pPr>
    </w:p>
    <w:p w14:paraId="57DFA546" w14:textId="5F25A90A" w:rsidR="00AE53DC" w:rsidRPr="001207E9" w:rsidRDefault="008168B3" w:rsidP="00BB27A0">
      <w:pPr>
        <w:rPr>
          <w:rFonts w:cs="Segoe UI"/>
          <w:b/>
          <w:bCs/>
        </w:rPr>
      </w:pPr>
      <w:proofErr w:type="spellStart"/>
      <w:proofErr w:type="gramStart"/>
      <w:r w:rsidRPr="001207E9">
        <w:rPr>
          <w:rFonts w:cs="Segoe UI"/>
          <w:b/>
          <w:bCs/>
        </w:rPr>
        <w:t>ValidationFailed</w:t>
      </w:r>
      <w:proofErr w:type="spellEnd"/>
      <w:proofErr w:type="gramEnd"/>
    </w:p>
    <w:p w14:paraId="42D2D5DA" w14:textId="7379602A" w:rsidR="008168B3" w:rsidRDefault="008168B3" w:rsidP="00BB27A0">
      <w:pPr>
        <w:rPr>
          <w:rFonts w:cs="Segoe UI"/>
        </w:rPr>
      </w:pPr>
      <w:r>
        <w:rPr>
          <w:rFonts w:cs="Segoe UI"/>
        </w:rPr>
        <w:t>If the setup script fails, scroll up to the first error that occurred. If that error is “</w:t>
      </w:r>
      <w:proofErr w:type="spellStart"/>
      <w:r w:rsidRPr="008168B3">
        <w:rPr>
          <w:rFonts w:cs="Segoe UI"/>
        </w:rPr>
        <w:t>BadRequestError</w:t>
      </w:r>
      <w:proofErr w:type="spellEnd"/>
      <w:r w:rsidRPr="008168B3">
        <w:rPr>
          <w:rFonts w:cs="Segoe UI"/>
        </w:rPr>
        <w:t xml:space="preserve">: </w:t>
      </w:r>
      <w:proofErr w:type="spellStart"/>
      <w:r w:rsidRPr="008168B3">
        <w:rPr>
          <w:rFonts w:cs="Segoe UI"/>
        </w:rPr>
        <w:t>ValidationFailed</w:t>
      </w:r>
      <w:proofErr w:type="spellEnd"/>
      <w:r w:rsidRPr="008168B3">
        <w:rPr>
          <w:rFonts w:cs="Segoe UI"/>
        </w:rPr>
        <w:t>: Workspace request validation failed, check error details for more information</w:t>
      </w:r>
      <w:r>
        <w:rPr>
          <w:rFonts w:cs="Segoe UI"/>
        </w:rPr>
        <w:t>” and it occurs when attempting to create the Synapse workspace, these are some potential causes:</w:t>
      </w:r>
    </w:p>
    <w:p w14:paraId="126B0ED7" w14:textId="5222B1DC" w:rsidR="008168B3" w:rsidRDefault="008168B3" w:rsidP="008168B3">
      <w:pPr>
        <w:pStyle w:val="ListParagraph"/>
        <w:numPr>
          <w:ilvl w:val="0"/>
          <w:numId w:val="17"/>
        </w:numPr>
        <w:rPr>
          <w:rFonts w:cs="Segoe UI"/>
        </w:rPr>
      </w:pPr>
      <w:r>
        <w:rPr>
          <w:rFonts w:cs="Segoe UI"/>
        </w:rPr>
        <w:t xml:space="preserve">A resource provisioning timing issue can occur. Wait </w:t>
      </w:r>
      <w:proofErr w:type="gramStart"/>
      <w:r>
        <w:rPr>
          <w:rFonts w:cs="Segoe UI"/>
        </w:rPr>
        <w:t>few</w:t>
      </w:r>
      <w:proofErr w:type="gramEnd"/>
      <w:r>
        <w:rPr>
          <w:rFonts w:cs="Segoe UI"/>
        </w:rPr>
        <w:t xml:space="preserve"> minutes then try rerunning the setup script with the same arguments (it will skip over resources already created).</w:t>
      </w:r>
    </w:p>
    <w:p w14:paraId="180E28E1" w14:textId="6AC760B3" w:rsidR="008168B3" w:rsidRDefault="008168B3" w:rsidP="008168B3">
      <w:pPr>
        <w:pStyle w:val="ListParagraph"/>
        <w:numPr>
          <w:ilvl w:val="0"/>
          <w:numId w:val="17"/>
        </w:numPr>
        <w:rPr>
          <w:rFonts w:cs="Segoe UI"/>
        </w:rPr>
      </w:pPr>
      <w:proofErr w:type="gramStart"/>
      <w:r>
        <w:rPr>
          <w:rFonts w:cs="Segoe UI"/>
        </w:rPr>
        <w:t>It’s</w:t>
      </w:r>
      <w:proofErr w:type="gramEnd"/>
      <w:r>
        <w:rPr>
          <w:rFonts w:cs="Segoe UI"/>
        </w:rPr>
        <w:t xml:space="preserve"> possible that there was a naming conflict (some of the resources being created must be globally unique). Try rerunning the setup script using a different prefix.</w:t>
      </w:r>
    </w:p>
    <w:p w14:paraId="7DD5AE6E" w14:textId="00804289" w:rsidR="008168B3" w:rsidRPr="008168B3" w:rsidRDefault="008168B3" w:rsidP="008168B3">
      <w:pPr>
        <w:pStyle w:val="ListParagraph"/>
        <w:numPr>
          <w:ilvl w:val="0"/>
          <w:numId w:val="17"/>
        </w:numPr>
        <w:rPr>
          <w:rFonts w:cs="Segoe UI"/>
        </w:rPr>
      </w:pPr>
      <w:r>
        <w:rPr>
          <w:rFonts w:cs="Segoe UI"/>
        </w:rPr>
        <w:t xml:space="preserve">Your Azure subscription may need to have additional Resource providers registered. See: </w:t>
      </w:r>
      <w:hyperlink r:id="rId30" w:history="1">
        <w:r>
          <w:rPr>
            <w:rStyle w:val="Hyperlink"/>
          </w:rPr>
          <w:t>Resource providers and resource types - Azure Resource Manager | Microsoft Docs</w:t>
        </w:r>
      </w:hyperlink>
    </w:p>
    <w:p w14:paraId="793DE2F2" w14:textId="77777777" w:rsidR="00AE53DC" w:rsidRDefault="00AE53DC">
      <w:pPr>
        <w:spacing w:line="240" w:lineRule="auto"/>
        <w:rPr>
          <w:rFonts w:ascii="Segoe UI Light" w:eastAsia="Times New Roman" w:hAnsi="Segoe UI Light" w:cs="Times New Roman"/>
          <w:color w:val="0054A6" w:themeColor="text2"/>
          <w:kern w:val="36"/>
          <w:sz w:val="60"/>
          <w:szCs w:val="39"/>
        </w:rPr>
      </w:pPr>
      <w:r>
        <w:br w:type="page"/>
      </w:r>
    </w:p>
    <w:p w14:paraId="77CCD5A6" w14:textId="5304C672" w:rsidR="00075510" w:rsidRDefault="00075510" w:rsidP="00075510">
      <w:pPr>
        <w:pStyle w:val="Heading1"/>
      </w:pPr>
      <w:bookmarkStart w:id="4" w:name="_Toc63158336"/>
      <w:r>
        <w:lastRenderedPageBreak/>
        <w:t>2</w:t>
      </w:r>
      <w:r w:rsidRPr="003D7EBC">
        <w:t xml:space="preserve">) </w:t>
      </w:r>
      <w:r>
        <w:t>Walking through the included example</w:t>
      </w:r>
      <w:bookmarkEnd w:id="4"/>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255" cy="328132"/>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2"/>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4"/>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 xml:space="preserve">2.5) Once the notebook execution has completed, navigate to “Data”, expand s2_m365, hover on the table named “org”, click on the menu for the table and select “New SQL script”, then choose “Select TOP 100 </w:t>
      </w:r>
      <w:proofErr w:type="gramStart"/>
      <w:r>
        <w:rPr>
          <w:rFonts w:cs="Segoe UI"/>
        </w:rPr>
        <w:t>rows</w:t>
      </w:r>
      <w:proofErr w:type="gramEnd"/>
      <w:r>
        <w:rPr>
          <w:rFonts w:cs="Segoe UI"/>
        </w:rPr>
        <w:t>”</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5"/>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6"/>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4BA79D69" w14:textId="3F2E5E1B" w:rsidR="00893021" w:rsidRDefault="00893021" w:rsidP="00893021">
      <w:pPr>
        <w:pStyle w:val="Heading1"/>
      </w:pPr>
      <w:bookmarkStart w:id="5" w:name="_Toc63158337"/>
      <w:r>
        <w:lastRenderedPageBreak/>
        <w:t>3</w:t>
      </w:r>
      <w:r w:rsidRPr="003D7EBC">
        <w:t xml:space="preserve">) </w:t>
      </w:r>
      <w:r>
        <w:t>Understanding the notebooks</w:t>
      </w:r>
      <w:bookmarkEnd w:id="5"/>
    </w:p>
    <w:p w14:paraId="6C5711CC" w14:textId="77777777" w:rsidR="00893021" w:rsidRDefault="00893021">
      <w:pPr>
        <w:spacing w:line="240" w:lineRule="auto"/>
      </w:pPr>
    </w:p>
    <w:p w14:paraId="2F9F1587" w14:textId="030124A0" w:rsidR="00893021" w:rsidRDefault="00A63939">
      <w:pPr>
        <w:spacing w:line="240" w:lineRule="auto"/>
      </w:pPr>
      <w:hyperlink r:id="rId37" w:anchor="create-an-external-table-backed-by-parquet-in-spark-and-query-from-serverless-sql-pool" w:history="1">
        <w:r w:rsidR="00893021" w:rsidRPr="00893021">
          <w:rPr>
            <w:rStyle w:val="Hyperlink"/>
          </w:rPr>
          <w:t>Create external tables backed by Parquet in Spark and query from serverless SQL pool</w:t>
        </w:r>
      </w:hyperlink>
    </w:p>
    <w:p w14:paraId="05B656D8" w14:textId="77777777" w:rsidR="00893021" w:rsidRPr="00893021" w:rsidRDefault="00893021">
      <w:pPr>
        <w:spacing w:line="240" w:lineRule="auto"/>
      </w:pPr>
    </w:p>
    <w:p w14:paraId="52AE04CB" w14:textId="77777777" w:rsidR="00893021" w:rsidRDefault="00893021">
      <w:pPr>
        <w:spacing w:line="240" w:lineRule="auto"/>
        <w:rPr>
          <w:rFonts w:ascii="Segoe UI Light" w:eastAsia="Times New Roman" w:hAnsi="Segoe UI Light" w:cs="Times New Roman"/>
          <w:color w:val="0054A6" w:themeColor="text2"/>
          <w:kern w:val="36"/>
          <w:sz w:val="60"/>
          <w:szCs w:val="39"/>
        </w:rPr>
      </w:pPr>
      <w:r>
        <w:br w:type="page"/>
      </w:r>
    </w:p>
    <w:p w14:paraId="65E5CB81" w14:textId="6E65CE73" w:rsidR="00D20593" w:rsidRDefault="00893021" w:rsidP="00D20593">
      <w:pPr>
        <w:pStyle w:val="Heading1"/>
      </w:pPr>
      <w:bookmarkStart w:id="6" w:name="_Toc63158338"/>
      <w:r>
        <w:lastRenderedPageBreak/>
        <w:t>4</w:t>
      </w:r>
      <w:r w:rsidR="00D20593" w:rsidRPr="003D7EBC">
        <w:t xml:space="preserve">) </w:t>
      </w:r>
      <w:r w:rsidR="006477CE">
        <w:t>Power BI dashboard examples</w:t>
      </w:r>
      <w:bookmarkEnd w:id="6"/>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8" w:history="1">
        <w:r w:rsidRPr="000C2738">
          <w:rPr>
            <w:rStyle w:val="Hyperlink"/>
          </w:rPr>
          <w:t>downloaded from here</w:t>
        </w:r>
      </w:hyperlink>
      <w:r>
        <w:t>).</w:t>
      </w:r>
    </w:p>
    <w:p w14:paraId="4928C967" w14:textId="31FE31FB" w:rsidR="000C2738" w:rsidRDefault="000C2738" w:rsidP="006477CE">
      <w:pPr>
        <w:pStyle w:val="Bodycopy"/>
      </w:pPr>
      <w:r>
        <w:t xml:space="preserve">3.1) Navigate to your local version of the </w:t>
      </w:r>
      <w:proofErr w:type="spellStart"/>
      <w:r>
        <w:t>OpenEduAnalytics</w:t>
      </w:r>
      <w:proofErr w:type="spellEnd"/>
      <w:r>
        <w:t xml:space="preserve"> </w:t>
      </w:r>
      <w:proofErr w:type="gramStart"/>
      <w:r>
        <w:t>repository, and</w:t>
      </w:r>
      <w:proofErr w:type="gramEnd"/>
      <w:r>
        <w:t xml:space="preserve"> double-click on </w:t>
      </w:r>
      <w:r w:rsidRPr="000C2738">
        <w:t>OpenEduAnalytics\packages\ContosoISD\powerbi</w:t>
      </w:r>
      <w:r>
        <w:t>\techInequityDashboardContoso.pbix to open the Power BI dashboard in Power BI desktop.</w:t>
      </w:r>
    </w:p>
    <w:p w14:paraId="7FD03B8D" w14:textId="2C18A68A" w:rsidR="000C2738" w:rsidRPr="006477CE" w:rsidRDefault="000C2738" w:rsidP="006477CE">
      <w:pPr>
        <w:pStyle w:val="Bodycopy"/>
      </w:pPr>
      <w:r>
        <w:t xml:space="preserve">3.2) You will be prompted for credentials to the pre-configured data source, but since you need to specify </w:t>
      </w:r>
      <w:proofErr w:type="gramStart"/>
      <w:r>
        <w:t>an</w:t>
      </w:r>
      <w:proofErr w:type="gramEnd"/>
      <w:r>
        <w:t xml:space="preserve"> new data source, you can just click on “Cancel”, and then click on “Close” on the next dialog.</w:t>
      </w:r>
    </w:p>
    <w:p w14:paraId="5CA2852E" w14:textId="48B9D599" w:rsidR="00BA05A0" w:rsidRDefault="000C2738" w:rsidP="00BA05A0">
      <w:pPr>
        <w:pStyle w:val="Bodycopy"/>
      </w:pPr>
      <w:r>
        <w:rPr>
          <w:noProof/>
        </w:rPr>
        <w:drawing>
          <wp:anchor distT="0" distB="0" distL="114300" distR="114300" simplePos="0" relativeHeight="251668481" behindDoc="0" locked="0" layoutInCell="1" allowOverlap="1" wp14:anchorId="60F5FD3F" wp14:editId="55BDDDA6">
            <wp:simplePos x="0" y="0"/>
            <wp:positionH relativeFrom="column">
              <wp:posOffset>3829649</wp:posOffset>
            </wp:positionH>
            <wp:positionV relativeFrom="paragraph">
              <wp:posOffset>2229</wp:posOffset>
            </wp:positionV>
            <wp:extent cx="2441276" cy="1667144"/>
            <wp:effectExtent l="0" t="0" r="0" b="952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2441276" cy="16671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9856FB" wp14:editId="03FA1579">
            <wp:extent cx="2967487" cy="1681026"/>
            <wp:effectExtent l="0" t="0" r="444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0"/>
                    <a:stretch>
                      <a:fillRect/>
                    </a:stretch>
                  </pic:blipFill>
                  <pic:spPr>
                    <a:xfrm>
                      <a:off x="0" y="0"/>
                      <a:ext cx="3021968" cy="1711888"/>
                    </a:xfrm>
                    <a:prstGeom prst="rect">
                      <a:avLst/>
                    </a:prstGeom>
                  </pic:spPr>
                </pic:pic>
              </a:graphicData>
            </a:graphic>
          </wp:inline>
        </w:drawing>
      </w:r>
    </w:p>
    <w:p w14:paraId="758DC933" w14:textId="508CEA03" w:rsidR="000C2738" w:rsidRDefault="000C2738" w:rsidP="00BA05A0">
      <w:pPr>
        <w:pStyle w:val="Bodycopy"/>
      </w:pPr>
      <w:r>
        <w:t>3.3) Now click on File -&gt; Options and Settings -&gt; Data source settings</w:t>
      </w:r>
      <w:r w:rsidR="00443A44">
        <w:t xml:space="preserve">, and on the next screen click on “Change </w:t>
      </w:r>
      <w:proofErr w:type="gramStart"/>
      <w:r w:rsidR="00443A44">
        <w:t>Source</w:t>
      </w:r>
      <w:proofErr w:type="gramEnd"/>
      <w:r w:rsidR="00443A44">
        <w:t>”</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41"/>
                    <a:stretch>
                      <a:fillRect/>
                    </a:stretch>
                  </pic:blipFill>
                  <pic:spPr>
                    <a:xfrm>
                      <a:off x="0" y="0"/>
                      <a:ext cx="3844479" cy="1837518"/>
                    </a:xfrm>
                    <a:prstGeom prst="rect">
                      <a:avLst/>
                    </a:prstGeom>
                  </pic:spPr>
                </pic:pic>
              </a:graphicData>
            </a:graphic>
          </wp:inline>
        </w:drawing>
      </w:r>
    </w:p>
    <w:p w14:paraId="25A2E105" w14:textId="5C5585B7" w:rsidR="000C2738" w:rsidRDefault="000C2738" w:rsidP="00BA05A0">
      <w:pPr>
        <w:pStyle w:val="Bodycopy"/>
      </w:pPr>
      <w:r>
        <w:t xml:space="preserve">3.4)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57F7A76E" w:rsidR="00443A44" w:rsidRDefault="00443A44" w:rsidP="00BA05A0">
      <w:pPr>
        <w:pStyle w:val="Bodycopy"/>
      </w:pPr>
      <w:r>
        <w:rPr>
          <w:noProof/>
        </w:rPr>
        <w:drawing>
          <wp:inline distT="0" distB="0" distL="0" distR="0" wp14:anchorId="3D7B06DF" wp14:editId="33C36DAF">
            <wp:extent cx="6090249" cy="2360535"/>
            <wp:effectExtent l="0" t="0" r="635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2"/>
                    <a:stretch>
                      <a:fillRect/>
                    </a:stretch>
                  </pic:blipFill>
                  <pic:spPr>
                    <a:xfrm>
                      <a:off x="0" y="0"/>
                      <a:ext cx="6104090" cy="2365900"/>
                    </a:xfrm>
                    <a:prstGeom prst="rect">
                      <a:avLst/>
                    </a:prstGeom>
                  </pic:spPr>
                </pic:pic>
              </a:graphicData>
            </a:graphic>
          </wp:inline>
        </w:drawing>
      </w:r>
    </w:p>
    <w:p w14:paraId="52DEFAA8" w14:textId="1E38D98F" w:rsidR="00443A44" w:rsidRDefault="00443A44" w:rsidP="00BA05A0">
      <w:pPr>
        <w:pStyle w:val="Bodycopy"/>
      </w:pPr>
      <w:r>
        <w:lastRenderedPageBreak/>
        <w:t>3.5) Enter the value you retrieved in the previous step in the textbox for “Server”</w:t>
      </w:r>
      <w:r w:rsidR="00B7748D">
        <w:t xml:space="preserve">, and for “Database” enter “s2_ContosoISD”, then click </w:t>
      </w:r>
      <w:r w:rsidR="008C27A3">
        <w:t xml:space="preserve">“Edit </w:t>
      </w:r>
      <w:proofErr w:type="gramStart"/>
      <w:r w:rsidR="008C27A3">
        <w:t>Permissions</w:t>
      </w:r>
      <w:proofErr w:type="gramEnd"/>
      <w:r w:rsidR="008C27A3">
        <w:t>”</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3"/>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73974C5F" w14:textId="68FAFC3E" w:rsidR="008C27A3" w:rsidRDefault="008C27A3" w:rsidP="00BA05A0">
      <w:pPr>
        <w:pStyle w:val="Bodycopy"/>
      </w:pPr>
      <w:r>
        <w:rPr>
          <w:noProof/>
        </w:rPr>
        <w:drawing>
          <wp:anchor distT="0" distB="0" distL="114300" distR="114300" simplePos="0" relativeHeight="251669505" behindDoc="0" locked="0" layoutInCell="1" allowOverlap="1" wp14:anchorId="49696351" wp14:editId="4F702E7A">
            <wp:simplePos x="0" y="0"/>
            <wp:positionH relativeFrom="column">
              <wp:posOffset>2233283</wp:posOffset>
            </wp:positionH>
            <wp:positionV relativeFrom="paragraph">
              <wp:posOffset>559555</wp:posOffset>
            </wp:positionV>
            <wp:extent cx="3346450" cy="1479550"/>
            <wp:effectExtent l="0" t="0" r="6350" b="6350"/>
            <wp:wrapNone/>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4"/>
                    <a:stretch>
                      <a:fillRect/>
                    </a:stretch>
                  </pic:blipFill>
                  <pic:spPr>
                    <a:xfrm>
                      <a:off x="0" y="0"/>
                      <a:ext cx="3346450" cy="1479550"/>
                    </a:xfrm>
                    <a:prstGeom prst="rect">
                      <a:avLst/>
                    </a:prstGeom>
                  </pic:spPr>
                </pic:pic>
              </a:graphicData>
            </a:graphic>
          </wp:anchor>
        </w:drawing>
      </w:r>
      <w:r>
        <w:rPr>
          <w:noProof/>
        </w:rPr>
        <w:drawing>
          <wp:inline distT="0" distB="0" distL="0" distR="0" wp14:anchorId="54889601" wp14:editId="4D0934CA">
            <wp:extent cx="3769743" cy="2953314"/>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5"/>
                    <a:stretch>
                      <a:fillRect/>
                    </a:stretch>
                  </pic:blipFill>
                  <pic:spPr>
                    <a:xfrm>
                      <a:off x="0" y="0"/>
                      <a:ext cx="3783845" cy="2964362"/>
                    </a:xfrm>
                    <a:prstGeom prst="rect">
                      <a:avLst/>
                    </a:prstGeom>
                  </pic:spPr>
                </pic:pic>
              </a:graphicData>
            </a:graphic>
          </wp:inline>
        </w:drawing>
      </w:r>
      <w:r w:rsidRPr="008C27A3">
        <w:rPr>
          <w:noProof/>
        </w:rPr>
        <w:t xml:space="preserve"> </w:t>
      </w:r>
    </w:p>
    <w:p w14:paraId="34C8F7CB" w14:textId="2FCEE4C7" w:rsidR="00443A44" w:rsidRDefault="005137FD" w:rsidP="00BA05A0">
      <w:pPr>
        <w:pStyle w:val="Bodycopy"/>
      </w:pPr>
      <w:r>
        <w:t xml:space="preserve">3.7) You should see a dashboard </w:t>
      </w:r>
      <w:proofErr w:type="gramStart"/>
      <w:r>
        <w:t>similar to</w:t>
      </w:r>
      <w:proofErr w:type="gramEnd"/>
      <w:r>
        <w:t xml:space="preserve"> this screenshot. Click around and test the different tabs and interactive components.</w:t>
      </w:r>
    </w:p>
    <w:p w14:paraId="2FE721ED" w14:textId="1C9D7AF5" w:rsidR="005137FD" w:rsidRDefault="005137FD" w:rsidP="00BA05A0">
      <w:pPr>
        <w:pStyle w:val="Bodycopy"/>
      </w:pPr>
      <w:r>
        <w:rPr>
          <w:noProof/>
        </w:rPr>
        <w:lastRenderedPageBreak/>
        <w:drawing>
          <wp:inline distT="0" distB="0" distL="0" distR="0" wp14:anchorId="6082CC37" wp14:editId="6610371F">
            <wp:extent cx="4537494" cy="2448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6"/>
                    <a:stretch>
                      <a:fillRect/>
                    </a:stretch>
                  </pic:blipFill>
                  <pic:spPr>
                    <a:xfrm>
                      <a:off x="0" y="0"/>
                      <a:ext cx="4546230" cy="2452858"/>
                    </a:xfrm>
                    <a:prstGeom prst="rect">
                      <a:avLst/>
                    </a:prstGeom>
                  </pic:spPr>
                </pic:pic>
              </a:graphicData>
            </a:graphic>
          </wp:inline>
        </w:drawing>
      </w:r>
    </w:p>
    <w:p w14:paraId="44B3032D" w14:textId="77777777" w:rsidR="00564640" w:rsidRDefault="00564640">
      <w:pPr>
        <w:spacing w:line="240" w:lineRule="auto"/>
      </w:pPr>
    </w:p>
    <w:p w14:paraId="610FE0D4" w14:textId="016617FD" w:rsidR="00B7748D" w:rsidRPr="00564640" w:rsidRDefault="00564640">
      <w:pPr>
        <w:spacing w:line="240" w:lineRule="auto"/>
      </w:pPr>
      <w:r>
        <w:t xml:space="preserve">3.8) Following these same steps, you can open the report within the M365 module found at </w:t>
      </w:r>
      <w:proofErr w:type="spellStart"/>
      <w:r w:rsidRPr="00564640">
        <w:t>OpenEduAnalytics</w:t>
      </w:r>
      <w:proofErr w:type="spellEnd"/>
      <w:r w:rsidRPr="00564640">
        <w:t>\modules\M365\</w:t>
      </w:r>
      <w:proofErr w:type="spellStart"/>
      <w:r w:rsidRPr="00564640">
        <w:t>powerbi</w:t>
      </w:r>
      <w:proofErr w:type="spellEnd"/>
      <w:r>
        <w:t>\M365_dashboard.pbix</w:t>
      </w:r>
      <w:r>
        <w:br/>
        <w:t xml:space="preserve">The only difference is that when specifying the value for “Database”, use the value “s2_m365” </w:t>
      </w:r>
      <w:r w:rsidR="00B7748D">
        <w:br w:type="page"/>
      </w:r>
    </w:p>
    <w:p w14:paraId="604E2157" w14:textId="44A60D10" w:rsidR="00BA05A0" w:rsidRDefault="00893021" w:rsidP="00BA05A0">
      <w:pPr>
        <w:pStyle w:val="Heading1"/>
      </w:pPr>
      <w:bookmarkStart w:id="7" w:name="_Toc63158339"/>
      <w:r>
        <w:lastRenderedPageBreak/>
        <w:t>5</w:t>
      </w:r>
      <w:r w:rsidR="00BA05A0" w:rsidRPr="003D7EBC">
        <w:t xml:space="preserve">) </w:t>
      </w:r>
      <w:r w:rsidR="00BA05A0">
        <w:t>Connect</w:t>
      </w:r>
      <w:r w:rsidR="00BA05A0" w:rsidRPr="003D7EBC">
        <w:t xml:space="preserve"> </w:t>
      </w:r>
      <w:r w:rsidR="00BA05A0">
        <w:t>Power BI workspace</w:t>
      </w:r>
      <w:bookmarkEnd w:id="7"/>
    </w:p>
    <w:p w14:paraId="68CC9D16" w14:textId="464A209E" w:rsidR="005137FD" w:rsidRDefault="005137FD" w:rsidP="00BA05A0">
      <w:pPr>
        <w:pStyle w:val="Bodycopy"/>
      </w:pPr>
      <w:r>
        <w:t xml:space="preserve">If you have a Power BI cloud </w:t>
      </w:r>
      <w:proofErr w:type="gramStart"/>
      <w:r>
        <w:t>account ,</w:t>
      </w:r>
      <w:proofErr w:type="gramEnd"/>
      <w:r>
        <w:t xml:space="preserve"> you have the option of connecting a cloud based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7"/>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8" w:history="1">
        <w:r w:rsidRPr="00BA05A0">
          <w:rPr>
            <w:rStyle w:val="Hyperlink"/>
          </w:rPr>
          <w:t>Linking a Power BI workspace to a Synapse workspace</w:t>
        </w:r>
      </w:hyperlink>
    </w:p>
    <w:p w14:paraId="5787D3D6" w14:textId="6B0B8B02" w:rsidR="008E43AD" w:rsidRDefault="000136D9" w:rsidP="00BA05A0">
      <w:pPr>
        <w:pStyle w:val="Bodycopy"/>
        <w:rPr>
          <w:rStyle w:val="Hyperlink"/>
        </w:rPr>
      </w:pPr>
      <w:r>
        <w:t xml:space="preserve">For more information about what Power BI licenses are needed for a given scenario, see: </w:t>
      </w:r>
      <w:hyperlink r:id="rId49" w:anchor=":~:text=Add%20Power%20BI%20Premium%20to%20be%20able%20to,finance%20team%2C%20providing%20larger%20scale%20and%20greater%20performance" w:history="1">
        <w:r>
          <w:rPr>
            <w:rStyle w:val="Hyperlink"/>
          </w:rPr>
          <w:t>Power BI Premium FAQ - Power BI | Microsoft Docs</w:t>
        </w:r>
      </w:hyperlink>
    </w:p>
    <w:p w14:paraId="34E0BBBF" w14:textId="77777777" w:rsidR="006A43AD" w:rsidRDefault="006A43AD" w:rsidP="00BA05A0">
      <w:pPr>
        <w:pStyle w:val="Bodycopy"/>
      </w:pPr>
    </w:p>
    <w:p w14:paraId="75D4FC11" w14:textId="77777777" w:rsidR="00893AB7" w:rsidRDefault="00893AB7" w:rsidP="00893AB7">
      <w:pPr>
        <w:pStyle w:val="Bodycopy"/>
      </w:pPr>
    </w:p>
    <w:p w14:paraId="4AD26F54" w14:textId="0605D857" w:rsidR="00434301" w:rsidRDefault="00434301" w:rsidP="00893AB7">
      <w:pPr>
        <w:pStyle w:val="Bodycopy"/>
      </w:pPr>
    </w:p>
    <w:p w14:paraId="775E06C1" w14:textId="77777777" w:rsidR="00CD4F18" w:rsidRDefault="00CD4F18">
      <w:pPr>
        <w:spacing w:line="240" w:lineRule="auto"/>
        <w:rPr>
          <w:rFonts w:ascii="Segoe UI Light" w:eastAsia="Times New Roman" w:hAnsi="Segoe UI Light" w:cs="Times New Roman"/>
          <w:color w:val="0054A6" w:themeColor="text2"/>
          <w:kern w:val="36"/>
          <w:sz w:val="60"/>
          <w:szCs w:val="39"/>
        </w:rPr>
      </w:pPr>
      <w:r>
        <w:br w:type="page"/>
      </w:r>
    </w:p>
    <w:p w14:paraId="5B67D154" w14:textId="634AF89D" w:rsidR="006A43AD" w:rsidRDefault="00893021" w:rsidP="006A43AD">
      <w:pPr>
        <w:pStyle w:val="Heading1"/>
      </w:pPr>
      <w:bookmarkStart w:id="8" w:name="_Toc63158340"/>
      <w:r>
        <w:lastRenderedPageBreak/>
        <w:t>6</w:t>
      </w:r>
      <w:r w:rsidR="006A43AD">
        <w:t>) Connect Machine Learning Studio</w:t>
      </w:r>
      <w:bookmarkEnd w:id="8"/>
    </w:p>
    <w:p w14:paraId="730CDBD0" w14:textId="77777777" w:rsidR="006A43AD" w:rsidRDefault="006A43AD">
      <w:pPr>
        <w:spacing w:line="240" w:lineRule="auto"/>
        <w:rPr>
          <w:rFonts w:ascii="Segoe UI Light" w:eastAsia="Times New Roman" w:hAnsi="Segoe UI Light" w:cs="Times New Roman"/>
          <w:color w:val="0054A6" w:themeColor="text2"/>
          <w:kern w:val="36"/>
          <w:sz w:val="60"/>
          <w:szCs w:val="39"/>
        </w:rPr>
      </w:pPr>
      <w:r>
        <w:br w:type="page"/>
      </w:r>
    </w:p>
    <w:p w14:paraId="29492785" w14:textId="399081E3" w:rsidR="00434301" w:rsidRDefault="00893021" w:rsidP="00434301">
      <w:pPr>
        <w:pStyle w:val="Heading1"/>
      </w:pPr>
      <w:bookmarkStart w:id="9" w:name="_Toc63158341"/>
      <w:r>
        <w:lastRenderedPageBreak/>
        <w:t>7</w:t>
      </w:r>
      <w:r w:rsidR="00434301">
        <w:t>) Privacy and Security</w:t>
      </w:r>
      <w:bookmarkEnd w:id="9"/>
    </w:p>
    <w:p w14:paraId="36CF1092" w14:textId="78EBFDF1" w:rsidR="00434301" w:rsidRDefault="00434301" w:rsidP="00434301">
      <w:pPr>
        <w:pStyle w:val="Bodycopy"/>
      </w:pPr>
      <w:r>
        <w:t xml:space="preserve">At the storage level, data protection comes from </w:t>
      </w:r>
      <w:hyperlink r:id="rId50"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0F8CA225" w14:textId="6161BCF2" w:rsidR="00312F15" w:rsidRDefault="00434301" w:rsidP="00434301">
      <w:pPr>
        <w:pStyle w:val="Bodycopy"/>
      </w:pPr>
      <w:r>
        <w:t xml:space="preserve">Security of access is provided </w:t>
      </w:r>
      <w:r w:rsidR="00312F15">
        <w:t xml:space="preserve">at the storage level </w:t>
      </w:r>
      <w:r>
        <w:t xml:space="preserve">through the use of </w:t>
      </w:r>
      <w:hyperlink r:id="rId51"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r w:rsidR="00312F15">
        <w:t xml:space="preserve"> Additional permissions can be set at the SQL level for finer-grained control over access. See </w:t>
      </w:r>
      <w:hyperlink r:id="rId52" w:history="1">
        <w:r w:rsidR="00312F15" w:rsidRPr="00312F15">
          <w:rPr>
            <w:rStyle w:val="Hyperlink"/>
          </w:rPr>
          <w:t>Securing access to ADLS files using Synapse SQL permission model</w:t>
        </w:r>
      </w:hyperlink>
      <w:r w:rsidR="00312F15">
        <w:t xml:space="preserve"> for more info.</w:t>
      </w:r>
    </w:p>
    <w:p w14:paraId="4E4ADFD3" w14:textId="555D2639" w:rsidR="00434301" w:rsidRDefault="00CD4F18" w:rsidP="00434301">
      <w:pPr>
        <w:pStyle w:val="Bodycopy"/>
      </w:pPr>
      <w:r>
        <w:t>In the Open Edu Analytics architecture, d</w:t>
      </w:r>
      <w:r w:rsidR="00434301">
        <w:t xml:space="preserve">ata privacy is guarded by first reducing what data is made available - that is, reducing the data set to that which is needed for a given use case. In addition, the data is either pseudonymized or anonymized to protect personally identifiable information (PII). Pseudonymization is </w:t>
      </w:r>
      <w:hyperlink r:id="rId53"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 while anonymization is the processing of personal data such that the personal data can no longer be attributed to a specific data subject, even with the use of additional information.</w:t>
      </w:r>
    </w:p>
    <w:p w14:paraId="7E9DF397" w14:textId="15BE5451" w:rsidR="00CD4F18" w:rsidRDefault="00CD4F18" w:rsidP="00434301">
      <w:pPr>
        <w:pStyle w:val="Bodycopy"/>
      </w:pPr>
      <w:r>
        <w:t xml:space="preserve">The process of pseudonymization or anonymization is performed through a </w:t>
      </w:r>
      <w:proofErr w:type="spellStart"/>
      <w:r>
        <w:t>pyspark</w:t>
      </w:r>
      <w:proofErr w:type="spellEnd"/>
      <w:r>
        <w:t xml:space="preserve"> script which reads in non-anonymized data</w:t>
      </w:r>
      <w:r w:rsidR="00097655">
        <w:t xml:space="preserve"> from the data lake</w:t>
      </w:r>
      <w:r>
        <w:t xml:space="preserve"> and explicitly </w:t>
      </w:r>
      <w:r w:rsidR="00097655">
        <w:t>obscures</w:t>
      </w:r>
      <w:r>
        <w:t xml:space="preserve"> fields with PII and </w:t>
      </w:r>
      <w:r w:rsidR="00097655">
        <w:t xml:space="preserve">performs a one-way hash on ID’s and writes the anonymized data to a stage3 container in the data lake. An excerpt from the script </w:t>
      </w:r>
      <w:hyperlink r:id="rId54" w:history="1">
        <w:r w:rsidR="00097655" w:rsidRPr="00097655">
          <w:rPr>
            <w:rStyle w:val="Hyperlink"/>
          </w:rPr>
          <w:t>OpenEduAnalytics/modules/M365/notebooks/M365_setup_and_update.ipynb</w:t>
        </w:r>
      </w:hyperlink>
      <w:r w:rsidR="00097655">
        <w:t xml:space="preserve"> that is responsible for the anonymization of the M365 data is shown below.</w:t>
      </w:r>
    </w:p>
    <w:p w14:paraId="4CF8E57D" w14:textId="33F6F884" w:rsidR="00CD4F18" w:rsidRPr="00434301" w:rsidRDefault="00CD4F18" w:rsidP="00434301">
      <w:pPr>
        <w:pStyle w:val="Bodycopy"/>
      </w:pPr>
      <w:r>
        <w:rPr>
          <w:noProof/>
        </w:rPr>
        <w:drawing>
          <wp:inline distT="0" distB="0" distL="0" distR="0" wp14:anchorId="24A8B9F2" wp14:editId="1B2EED96">
            <wp:extent cx="6858000" cy="384048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5"/>
                    <a:stretch>
                      <a:fillRect/>
                    </a:stretch>
                  </pic:blipFill>
                  <pic:spPr>
                    <a:xfrm>
                      <a:off x="0" y="0"/>
                      <a:ext cx="6858000" cy="3840480"/>
                    </a:xfrm>
                    <a:prstGeom prst="rect">
                      <a:avLst/>
                    </a:prstGeom>
                  </pic:spPr>
                </pic:pic>
              </a:graphicData>
            </a:graphic>
          </wp:inline>
        </w:drawing>
      </w: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56"/>
      <w:footerReference w:type="default" r:id="rId57"/>
      <w:headerReference w:type="first" r:id="rId58"/>
      <w:footerReference w:type="first" r:id="rId59"/>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81857" w14:textId="77777777" w:rsidR="00A63939" w:rsidRDefault="00A63939" w:rsidP="00B85670">
      <w:pPr>
        <w:spacing w:line="240" w:lineRule="auto"/>
      </w:pPr>
      <w:r>
        <w:separator/>
      </w:r>
    </w:p>
  </w:endnote>
  <w:endnote w:type="continuationSeparator" w:id="0">
    <w:p w14:paraId="2B24E853" w14:textId="77777777" w:rsidR="00A63939" w:rsidRDefault="00A63939" w:rsidP="00B85670">
      <w:pPr>
        <w:spacing w:line="240" w:lineRule="auto"/>
      </w:pPr>
      <w:r>
        <w:continuationSeparator/>
      </w:r>
    </w:p>
  </w:endnote>
  <w:endnote w:type="continuationNotice" w:id="1">
    <w:p w14:paraId="6681283C" w14:textId="77777777" w:rsidR="00A63939" w:rsidRDefault="00A639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803BE" w14:textId="77777777" w:rsidR="00A63939" w:rsidRDefault="00A63939" w:rsidP="00B85670">
      <w:pPr>
        <w:spacing w:line="240" w:lineRule="auto"/>
      </w:pPr>
      <w:r>
        <w:separator/>
      </w:r>
    </w:p>
  </w:footnote>
  <w:footnote w:type="continuationSeparator" w:id="0">
    <w:p w14:paraId="0E28C55F" w14:textId="77777777" w:rsidR="00A63939" w:rsidRDefault="00A63939" w:rsidP="00B85670">
      <w:pPr>
        <w:spacing w:line="240" w:lineRule="auto"/>
      </w:pPr>
      <w:r>
        <w:continuationSeparator/>
      </w:r>
    </w:p>
  </w:footnote>
  <w:footnote w:type="continuationNotice" w:id="1">
    <w:p w14:paraId="25E65BB7" w14:textId="77777777" w:rsidR="00A63939" w:rsidRDefault="00A6393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5"/>
  </w:num>
  <w:num w:numId="13">
    <w:abstractNumId w:val="14"/>
  </w:num>
  <w:num w:numId="14">
    <w:abstractNumId w:val="13"/>
  </w:num>
  <w:num w:numId="15">
    <w:abstractNumId w:val="16"/>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36D9"/>
    <w:rsid w:val="000409EA"/>
    <w:rsid w:val="00044308"/>
    <w:rsid w:val="00055BF3"/>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91D75"/>
    <w:rsid w:val="00893021"/>
    <w:rsid w:val="00893AB7"/>
    <w:rsid w:val="00897213"/>
    <w:rsid w:val="008B6D6F"/>
    <w:rsid w:val="008C27A3"/>
    <w:rsid w:val="008D2A85"/>
    <w:rsid w:val="008E43AD"/>
    <w:rsid w:val="0093251C"/>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5C7F"/>
    <w:rsid w:val="00A3775A"/>
    <w:rsid w:val="00A42280"/>
    <w:rsid w:val="00A63939"/>
    <w:rsid w:val="00A65E5C"/>
    <w:rsid w:val="00A67BF5"/>
    <w:rsid w:val="00A840A2"/>
    <w:rsid w:val="00AC067E"/>
    <w:rsid w:val="00AC3A62"/>
    <w:rsid w:val="00AD5C07"/>
    <w:rsid w:val="00AE50C2"/>
    <w:rsid w:val="00AE53DC"/>
    <w:rsid w:val="00AF36DF"/>
    <w:rsid w:val="00AF74CA"/>
    <w:rsid w:val="00B012A7"/>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1B25"/>
    <w:rsid w:val="00C67304"/>
    <w:rsid w:val="00C77794"/>
    <w:rsid w:val="00CA0546"/>
    <w:rsid w:val="00CA3A19"/>
    <w:rsid w:val="00CC57AD"/>
    <w:rsid w:val="00CC5DBA"/>
    <w:rsid w:val="00CD0A5B"/>
    <w:rsid w:val="00CD4F18"/>
    <w:rsid w:val="00CD7E08"/>
    <w:rsid w:val="00CE21CC"/>
    <w:rsid w:val="00CF123E"/>
    <w:rsid w:val="00D02DDC"/>
    <w:rsid w:val="00D17847"/>
    <w:rsid w:val="00D20593"/>
    <w:rsid w:val="00D23865"/>
    <w:rsid w:val="00D26019"/>
    <w:rsid w:val="00D263DB"/>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cloud-shell/"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docs.microsoft.com/en-us/azure/storage/common/storage-service-encryption" TargetMode="External"/><Relationship Id="rId55"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cid:image002.png@01D70607.F115BB70" TargetMode="External"/><Relationship Id="rId11" Type="http://schemas.openxmlformats.org/officeDocument/2006/relationships/footer" Target="footer1.xml"/><Relationship Id="rId24" Type="http://schemas.openxmlformats.org/officeDocument/2006/relationships/hyperlink" Target="https://azure.microsoft.com/en-us/global-infrastructure/services/?products=synapse-analytics&amp;regions=all" TargetMode="External"/><Relationship Id="rId32" Type="http://schemas.openxmlformats.org/officeDocument/2006/relationships/image" Target="media/image11.png"/><Relationship Id="rId37" Type="http://schemas.openxmlformats.org/officeDocument/2006/relationships/hyperlink" Target="https://docs.microsoft.com/en-us/azure/synapse-analytics/metadata/table"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gdpr.eu/article-4-definitions/" TargetMode="External"/><Relationship Id="rId58"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azure.microsoft.com/en-us/features/azure-portal/" TargetMode="Externa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docs.microsoft.com/en-us/azure/azure-resource-manager/management/resource-providers-and-types"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docs.microsoft.com/en-us/azure/synapse-analytics/quickstart-power-bi"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docs.microsoft.com/en-us/azure/active-directory/fundamentals/active-directory-manage-group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powerbi.microsoft.com/desktop/" TargetMode="External"/><Relationship Id="rId46" Type="http://schemas.openxmlformats.org/officeDocument/2006/relationships/image" Target="media/image23.png"/><Relationship Id="rId59" Type="http://schemas.openxmlformats.org/officeDocument/2006/relationships/footer" Target="footer3.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hyperlink" Target="https://github.com/microsoft/OpenEduAnalytics/blob/main/modules/M365/notebooks/M365_setup_and_update.ipyn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docs.microsoft.com/en-us/power-bi/admin/service-premium-faq"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yperlink" Target="https://techcommunity.microsoft.com/t5/azure-synapse-analytics/securing-access-to-adls-files-using-synapse-sql-permission-model/ba-p/1796282"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3.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4111</TotalTime>
  <Pages>15</Pages>
  <Words>2480</Words>
  <Characters>14141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96</cp:revision>
  <cp:lastPrinted>2021-01-26T14:02:00Z</cp:lastPrinted>
  <dcterms:created xsi:type="dcterms:W3CDTF">2020-09-04T16:17:00Z</dcterms:created>
  <dcterms:modified xsi:type="dcterms:W3CDTF">2021-02-18T20:22:00Z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