
<file path=[Content_Types].xml><?xml version="1.0" encoding="utf-8"?>
<Types xmlns="http://schemas.openxmlformats.org/package/2006/content-types">
  <Default Extension="B372CC5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929EE" w14:textId="7D610D48" w:rsidR="00795CA0" w:rsidRDefault="004B0C72">
      <w:pPr>
        <w:pStyle w:val="elementtoproo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hyperlink r:id="rId5" w:history="1">
        <w:r w:rsidRPr="004B0C72">
          <w:rPr>
            <w:rStyle w:val="Hyperlink"/>
            <w:rFonts w:ascii="Calibri" w:hAnsi="Calibri" w:cs="Calibri"/>
            <w:sz w:val="22"/>
            <w:szCs w:val="22"/>
          </w:rPr>
          <w:t>Student SOC one pager</w:t>
        </w:r>
      </w:hyperlink>
      <w:r>
        <w:rPr>
          <w:rFonts w:ascii="Calibri" w:hAnsi="Calibri" w:cs="Calibri"/>
          <w:sz w:val="22"/>
          <w:szCs w:val="22"/>
        </w:rPr>
        <w:t xml:space="preserve"> to be attached to email </w:t>
      </w:r>
    </w:p>
    <w:p w14:paraId="217B7B5E" w14:textId="77777777" w:rsidR="004B0C72" w:rsidRDefault="004B0C72">
      <w:pPr>
        <w:pStyle w:val="elementtoproof"/>
        <w:rPr>
          <w:rFonts w:ascii="Calibri" w:hAnsi="Calibri" w:cs="Calibri"/>
          <w:sz w:val="22"/>
          <w:szCs w:val="22"/>
        </w:rPr>
      </w:pPr>
    </w:p>
    <w:tbl>
      <w:tblPr>
        <w:tblW w:w="105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0"/>
      </w:tblGrid>
      <w:tr w:rsidR="00795CA0" w14:paraId="22AE5303" w14:textId="77777777">
        <w:trPr>
          <w:trHeight w:val="750"/>
          <w:jc w:val="center"/>
        </w:trPr>
        <w:tc>
          <w:tcPr>
            <w:tcW w:w="2450" w:type="dxa"/>
            <w:tcBorders>
              <w:top w:val="single" w:sz="6" w:space="0" w:color="0C64C0"/>
              <w:left w:val="single" w:sz="6" w:space="0" w:color="0C64C0"/>
              <w:bottom w:val="single" w:sz="6" w:space="0" w:color="0C64C0"/>
              <w:right w:val="single" w:sz="6" w:space="0" w:color="0C64C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1A5EAA" w14:textId="77777777" w:rsidR="00795CA0" w:rsidRDefault="003045D2">
            <w:pPr>
              <w:pStyle w:val="NormalWeb"/>
              <w:spacing w:line="21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Segoe UI Semibold" w:hAnsi="Segoe UI Semibold" w:cs="Segoe UI Semibold"/>
                <w:noProof/>
                <w:color w:val="FFFFFF"/>
                <w:sz w:val="22"/>
                <w:szCs w:val="22"/>
              </w:rPr>
              <w:drawing>
                <wp:inline distT="0" distB="0" distL="0" distR="0" wp14:anchorId="75D4AEE2" wp14:editId="7B461354">
                  <wp:extent cx="2286000" cy="476250"/>
                  <wp:effectExtent l="0" t="0" r="0" b="0"/>
                  <wp:docPr id="1" name="x_x_x_Picture 4" descr="Microsof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_x_x_Picture 4" descr="Microsof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CA0" w14:paraId="3F17F550" w14:textId="77777777" w:rsidTr="00A8100C">
        <w:trPr>
          <w:trHeight w:val="1071"/>
          <w:jc w:val="center"/>
        </w:trPr>
        <w:tc>
          <w:tcPr>
            <w:tcW w:w="2450" w:type="dxa"/>
            <w:tcBorders>
              <w:top w:val="single" w:sz="6" w:space="0" w:color="0C64C0"/>
              <w:left w:val="single" w:sz="6" w:space="0" w:color="0C64C0"/>
              <w:bottom w:val="single" w:sz="6" w:space="0" w:color="0C64C0"/>
              <w:right w:val="single" w:sz="6" w:space="0" w:color="0C64C0"/>
            </w:tcBorders>
            <w:shd w:val="clear" w:color="auto" w:fill="0C64C0"/>
            <w:tcMar>
              <w:top w:w="300" w:type="dxa"/>
              <w:left w:w="300" w:type="dxa"/>
              <w:bottom w:w="150" w:type="dxa"/>
              <w:right w:w="300" w:type="dxa"/>
            </w:tcMar>
            <w:hideMark/>
          </w:tcPr>
          <w:p w14:paraId="14B356DC" w14:textId="2925C937" w:rsidR="00795CA0" w:rsidRPr="00A8100C" w:rsidRDefault="00A8100C" w:rsidP="00903BA6">
            <w:pPr>
              <w:rPr>
                <w:rFonts w:ascii="Segoe UI Variable Text Semibold" w:hAnsi="Segoe UI Variable Text Semibold"/>
                <w:sz w:val="46"/>
                <w:szCs w:val="46"/>
              </w:rPr>
            </w:pPr>
            <w:r w:rsidRPr="00A8100C">
              <w:rPr>
                <w:rFonts w:ascii="Segoe UI Variable Text Semibold" w:hAnsi="Segoe UI Variable Text Semibold"/>
                <w:color w:val="FFFFFF" w:themeColor="background1"/>
                <w:sz w:val="46"/>
                <w:szCs w:val="46"/>
              </w:rPr>
              <w:t>Launch a Transformative Student SOC Program</w:t>
            </w:r>
          </w:p>
        </w:tc>
      </w:tr>
      <w:tr w:rsidR="00795CA0" w14:paraId="766162B7" w14:textId="77777777" w:rsidTr="00254DF9">
        <w:trPr>
          <w:trHeight w:val="7791"/>
          <w:jc w:val="center"/>
        </w:trPr>
        <w:tc>
          <w:tcPr>
            <w:tcW w:w="2450" w:type="dxa"/>
            <w:tcBorders>
              <w:top w:val="single" w:sz="6" w:space="0" w:color="0C64C0"/>
              <w:left w:val="single" w:sz="6" w:space="0" w:color="0C64C0"/>
              <w:bottom w:val="single" w:sz="6" w:space="0" w:color="0C64C0"/>
              <w:right w:val="single" w:sz="6" w:space="0" w:color="0C64C0"/>
            </w:tcBorders>
            <w:tcMar>
              <w:top w:w="150" w:type="dxa"/>
              <w:left w:w="300" w:type="dxa"/>
              <w:bottom w:w="375" w:type="dxa"/>
              <w:right w:w="300" w:type="dxa"/>
            </w:tcMar>
            <w:hideMark/>
          </w:tcPr>
          <w:p w14:paraId="1F22A1F3" w14:textId="77777777" w:rsidR="00B3745C" w:rsidRDefault="003045D2" w:rsidP="00102705">
            <w:pPr>
              <w:pStyle w:val="elementtoproof"/>
              <w:spacing w:after="360"/>
              <w:rPr>
                <w:rFonts w:ascii="Segoe UI" w:hAnsi="Segoe UI" w:cs="Segoe UI"/>
                <w:b/>
                <w:bCs/>
                <w:color w:val="0C64C0"/>
              </w:rPr>
            </w:pPr>
            <w:r>
              <w:rPr>
                <w:rFonts w:ascii="Segoe UI" w:hAnsi="Segoe UI" w:cs="Segoe UI"/>
                <w:b/>
                <w:bCs/>
                <w:color w:val="0C64C0"/>
              </w:rPr>
              <w:t>What is Student SOC?</w:t>
            </w:r>
          </w:p>
          <w:p w14:paraId="73744AD4" w14:textId="29CDF2DE" w:rsidR="00795CA0" w:rsidRPr="00214DF5" w:rsidRDefault="00B3745C">
            <w:pPr>
              <w:pStyle w:val="elementtoproof"/>
              <w:spacing w:after="360"/>
              <w:rPr>
                <w:rFonts w:ascii="Segoe UI" w:hAnsi="Segoe UI" w:cs="Segoe UI"/>
                <w:color w:val="000000"/>
              </w:rPr>
            </w:pPr>
            <w:r w:rsidRPr="00B3745C">
              <w:rPr>
                <w:rFonts w:ascii="Segoe UI" w:hAnsi="Segoe UI" w:cs="Segoe UI"/>
                <w:color w:val="000000"/>
              </w:rPr>
              <w:t xml:space="preserve">Student </w:t>
            </w:r>
            <w:r w:rsidR="00214DF5">
              <w:rPr>
                <w:rFonts w:ascii="Segoe UI" w:hAnsi="Segoe UI" w:cs="Segoe UI"/>
                <w:color w:val="000000"/>
              </w:rPr>
              <w:t>Security Operation Centers (</w:t>
            </w:r>
            <w:r w:rsidRPr="00B3745C">
              <w:rPr>
                <w:rFonts w:ascii="Segoe UI" w:hAnsi="Segoe UI" w:cs="Segoe UI"/>
                <w:color w:val="000000"/>
              </w:rPr>
              <w:t>SOCs</w:t>
            </w:r>
            <w:r w:rsidR="00214DF5">
              <w:rPr>
                <w:rFonts w:ascii="Segoe UI" w:hAnsi="Segoe UI" w:cs="Segoe UI"/>
                <w:color w:val="000000"/>
              </w:rPr>
              <w:t>)</w:t>
            </w:r>
            <w:r w:rsidRPr="00B3745C">
              <w:rPr>
                <w:rFonts w:ascii="Segoe UI" w:hAnsi="Segoe UI" w:cs="Segoe UI"/>
                <w:color w:val="000000"/>
              </w:rPr>
              <w:t xml:space="preserve"> are campus-based cybersecurity operations centers that</w:t>
            </w:r>
            <w:r w:rsidR="00214DF5">
              <w:rPr>
                <w:rFonts w:ascii="Segoe UI" w:hAnsi="Segoe UI" w:cs="Segoe UI"/>
                <w:color w:val="000000"/>
              </w:rPr>
              <w:t xml:space="preserve"> provide hands-on training for students in real-world security monitoring and response. Address the cybersecurity talent gap, helping fill over 400,000 open jobs across the Americas. </w:t>
            </w:r>
            <w:r w:rsidR="00DA3B1C">
              <w:rPr>
                <w:rFonts w:ascii="Segoe UI" w:hAnsi="Segoe UI" w:cs="Segoe UI"/>
                <w:color w:val="000000"/>
              </w:rPr>
              <w:t>And o</w:t>
            </w:r>
            <w:r w:rsidR="00214DF5">
              <w:rPr>
                <w:rFonts w:ascii="Segoe UI" w:hAnsi="Segoe UI" w:cs="Segoe UI"/>
                <w:color w:val="000000"/>
              </w:rPr>
              <w:t xml:space="preserve">perate as both educational and operational units, giving students practical experience while contributing to the institution’s digital safety.                                                  </w:t>
            </w:r>
            <w:r>
              <w:rPr>
                <w:rFonts w:ascii="Segoe UI" w:hAnsi="Segoe UI" w:cs="Segoe UI"/>
                <w:color w:val="000000"/>
              </w:rPr>
              <w:t>-------------------------------------------------------------------------------------------------------</w:t>
            </w:r>
            <w:r>
              <w:rPr>
                <w:rFonts w:ascii="Segoe UI" w:hAnsi="Segoe UI" w:cs="Segoe UI"/>
                <w:b/>
                <w:bCs/>
                <w:color w:val="0C64C0"/>
              </w:rPr>
              <w:t>Benefits of Engaging Students in AI-Driven Security Initiatives:</w:t>
            </w:r>
          </w:p>
          <w:p w14:paraId="4F67A8A4" w14:textId="77777777" w:rsidR="00795CA0" w:rsidRDefault="003045D2" w:rsidP="00AA03F3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Empower students with real-world experience: </w:t>
            </w:r>
            <w:r>
              <w:rPr>
                <w:rFonts w:ascii="Segoe UI" w:eastAsia="Times New Roman" w:hAnsi="Segoe UI" w:cs="Segoe UI"/>
                <w:color w:val="000000"/>
              </w:rPr>
              <w:t>Utilize the skills of your students to enhance cybersecurity, while offering valuable, hands-on training.</w:t>
            </w:r>
          </w:p>
          <w:p w14:paraId="56BD7EB5" w14:textId="77777777" w:rsidR="00795CA0" w:rsidRDefault="003045D2" w:rsidP="00AA03F3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Defend against threats with a cost-effective solution​: </w:t>
            </w:r>
            <w:r>
              <w:rPr>
                <w:rFonts w:ascii="Segoe UI" w:eastAsia="Times New Roman" w:hAnsi="Segoe UI" w:cs="Segoe UI"/>
                <w:color w:val="000000"/>
              </w:rPr>
              <w:t>Build a proactive security infrastructure using campus resources, avoiding high external consultancy costs.</w:t>
            </w:r>
          </w:p>
          <w:p w14:paraId="3EB2CB82" w14:textId="77777777" w:rsidR="00795CA0" w:rsidRDefault="003045D2" w:rsidP="00AA03F3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Foster student engagement and talent development​: </w:t>
            </w:r>
            <w:r>
              <w:rPr>
                <w:rFonts w:ascii="Segoe UI" w:eastAsia="Times New Roman" w:hAnsi="Segoe UI" w:cs="Segoe UI"/>
                <w:color w:val="000000"/>
              </w:rPr>
              <w:t>Equip the next generation of cybersecurity professionals and foster a sense of community responsibility towards security.</w:t>
            </w:r>
          </w:p>
          <w:p w14:paraId="3DE44161" w14:textId="6494B406" w:rsidR="00E7599D" w:rsidRPr="00E7599D" w:rsidRDefault="00974A09" w:rsidP="00E7599D">
            <w:pPr>
              <w:pStyle w:val="elementtoproof"/>
              <w:spacing w:after="120"/>
              <w:rPr>
                <w:rFonts w:ascii="Segoe UI" w:hAnsi="Segoe UI" w:cs="Segoe UI"/>
                <w:b/>
                <w:bCs/>
                <w:color w:val="0C64C0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----------------------------------------------------------------------------------------------------------------</w:t>
            </w:r>
          </w:p>
          <w:p w14:paraId="4949EC0E" w14:textId="70FBC8C6" w:rsidR="00254DF9" w:rsidRDefault="00143435">
            <w:pPr>
              <w:pStyle w:val="elementtoproof"/>
              <w:spacing w:after="120"/>
              <w:rPr>
                <w:rFonts w:ascii="Segoe UI" w:hAnsi="Segoe UI" w:cs="Segoe UI"/>
                <w:b/>
                <w:bCs/>
                <w:color w:val="0C64C0"/>
              </w:rPr>
            </w:pPr>
            <w:r>
              <w:rPr>
                <w:rFonts w:ascii="Segoe UI" w:hAnsi="Segoe UI" w:cs="Segoe UI"/>
                <w:b/>
                <w:bCs/>
                <w:color w:val="0C64C0"/>
              </w:rPr>
              <w:t>Interested?</w:t>
            </w:r>
          </w:p>
          <w:p w14:paraId="0A3CA272" w14:textId="514EF96B" w:rsidR="00254DF9" w:rsidRDefault="00254DF9" w:rsidP="00CC5C8D">
            <w:pPr>
              <w:pStyle w:val="elementtoproof"/>
              <w:spacing w:after="120"/>
              <w:rPr>
                <w:rFonts w:ascii="Segoe UI" w:hAnsi="Segoe UI" w:cs="Segoe UI"/>
              </w:rPr>
            </w:pPr>
            <w:r w:rsidRPr="00143435">
              <w:rPr>
                <w:rFonts w:ascii="Segoe UI" w:hAnsi="Segoe UI" w:cs="Segoe UI"/>
              </w:rPr>
              <w:t xml:space="preserve">Read more about the benefits of the Student SOC program </w:t>
            </w:r>
            <w:hyperlink r:id="rId7" w:history="1">
              <w:r w:rsidRPr="00EF1BCC">
                <w:rPr>
                  <w:rStyle w:val="Hyperlink"/>
                  <w:rFonts w:ascii="Segoe UI" w:hAnsi="Segoe UI" w:cs="Segoe UI"/>
                </w:rPr>
                <w:t>here</w:t>
              </w:r>
            </w:hyperlink>
            <w:r w:rsidRPr="00143435">
              <w:rPr>
                <w:rFonts w:ascii="Segoe UI" w:hAnsi="Segoe UI" w:cs="Segoe UI"/>
              </w:rPr>
              <w:t>.</w:t>
            </w:r>
          </w:p>
          <w:p w14:paraId="44DF9FE7" w14:textId="3373F8FF" w:rsidR="00143435" w:rsidRPr="00143435" w:rsidRDefault="00143435">
            <w:pPr>
              <w:pStyle w:val="elementtoproof"/>
              <w:spacing w:after="1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Hear from </w:t>
            </w:r>
            <w:r w:rsidR="00827D2E">
              <w:rPr>
                <w:rFonts w:ascii="Segoe UI" w:hAnsi="Segoe UI" w:cs="Segoe UI"/>
              </w:rPr>
              <w:t xml:space="preserve">students and educators who implemented successful Student SOC programs </w:t>
            </w:r>
            <w:hyperlink r:id="rId8" w:history="1">
              <w:r w:rsidR="00827D2E" w:rsidRPr="00827D2E">
                <w:rPr>
                  <w:rStyle w:val="Hyperlink"/>
                  <w:rFonts w:ascii="Segoe UI" w:hAnsi="Segoe UI" w:cs="Segoe UI"/>
                </w:rPr>
                <w:t>here</w:t>
              </w:r>
            </w:hyperlink>
            <w:r w:rsidR="00827D2E">
              <w:rPr>
                <w:rFonts w:ascii="Segoe UI" w:hAnsi="Segoe UI" w:cs="Segoe UI"/>
              </w:rPr>
              <w:t>.</w:t>
            </w:r>
          </w:p>
          <w:p w14:paraId="583EA589" w14:textId="2C5657F4" w:rsidR="00795CA0" w:rsidRDefault="000E1414">
            <w:pPr>
              <w:pStyle w:val="elementtoproof"/>
              <w:spacing w:after="120"/>
            </w:pPr>
            <w:r>
              <w:rPr>
                <w:rFonts w:ascii="Segoe UI" w:hAnsi="Segoe UI" w:cs="Segoe UI"/>
                <w:b/>
                <w:bCs/>
                <w:color w:val="000000"/>
                <w:u w:val="single"/>
              </w:rPr>
              <w:t xml:space="preserve">Set up a </w:t>
            </w:r>
            <w:r w:rsidR="00DA3B1C">
              <w:rPr>
                <w:rFonts w:ascii="Segoe UI" w:hAnsi="Segoe UI" w:cs="Segoe UI"/>
                <w:b/>
                <w:bCs/>
                <w:color w:val="000000"/>
                <w:u w:val="single"/>
              </w:rPr>
              <w:t>30-minute</w:t>
            </w:r>
            <w:r>
              <w:rPr>
                <w:rFonts w:ascii="Segoe UI" w:hAnsi="Segoe UI" w:cs="Segoe UI"/>
                <w:b/>
                <w:bCs/>
                <w:color w:val="000000"/>
                <w:u w:val="single"/>
              </w:rPr>
              <w:t xml:space="preserve"> call with your ATU and a Student SOC PM.​</w:t>
            </w:r>
            <w:r>
              <w:rPr>
                <w:b/>
                <w:bCs/>
              </w:rPr>
              <w:t> </w:t>
            </w:r>
          </w:p>
        </w:tc>
      </w:tr>
      <w:tr w:rsidR="00795CA0" w14:paraId="6DC283EC" w14:textId="77777777" w:rsidTr="00CC5C8D">
        <w:trPr>
          <w:trHeight w:val="825"/>
          <w:jc w:val="center"/>
        </w:trPr>
        <w:tc>
          <w:tcPr>
            <w:tcW w:w="2450" w:type="dxa"/>
            <w:tcBorders>
              <w:top w:val="single" w:sz="6" w:space="0" w:color="0C64C0"/>
              <w:left w:val="single" w:sz="6" w:space="0" w:color="0C64C0"/>
              <w:bottom w:val="single" w:sz="6" w:space="0" w:color="0C64C0"/>
              <w:right w:val="single" w:sz="6" w:space="0" w:color="0C64C0"/>
            </w:tcBorders>
            <w:shd w:val="clear" w:color="auto" w:fill="0C64C0"/>
            <w:tcMar>
              <w:top w:w="150" w:type="dxa"/>
              <w:left w:w="300" w:type="dxa"/>
              <w:bottom w:w="375" w:type="dxa"/>
              <w:right w:w="300" w:type="dxa"/>
            </w:tcMar>
            <w:hideMark/>
          </w:tcPr>
          <w:p w14:paraId="1115008B" w14:textId="77777777" w:rsidR="00795CA0" w:rsidRDefault="003045D2">
            <w:pPr>
              <w:jc w:val="center"/>
              <w:rPr>
                <w:rFonts w:ascii="Segoe UI" w:eastAsia="Times New Roman" w:hAnsi="Segoe UI" w:cs="Segoe UI"/>
                <w:color w:val="FFFFFF"/>
                <w:sz w:val="30"/>
                <w:szCs w:val="3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30"/>
                <w:szCs w:val="30"/>
              </w:rPr>
              <w:t>Partner with us to build a skilled cybersecurity workforce and empower the next generation​ of leaders in the field!</w:t>
            </w:r>
          </w:p>
        </w:tc>
      </w:tr>
      <w:tr w:rsidR="00795CA0" w14:paraId="34FA9594" w14:textId="77777777">
        <w:trPr>
          <w:trHeight w:val="1369"/>
          <w:jc w:val="center"/>
        </w:trPr>
        <w:tc>
          <w:tcPr>
            <w:tcW w:w="2450" w:type="dxa"/>
            <w:tcBorders>
              <w:top w:val="single" w:sz="6" w:space="0" w:color="0C64C0"/>
              <w:left w:val="single" w:sz="6" w:space="0" w:color="0C64C0"/>
              <w:bottom w:val="single" w:sz="6" w:space="0" w:color="0C64C0"/>
              <w:right w:val="single" w:sz="6" w:space="0" w:color="0C64C0"/>
            </w:tcBorders>
            <w:shd w:val="clear" w:color="auto" w:fill="FFFFFF"/>
            <w:tcMar>
              <w:top w:w="75" w:type="dxa"/>
              <w:left w:w="300" w:type="dxa"/>
              <w:bottom w:w="150" w:type="dxa"/>
              <w:right w:w="300" w:type="dxa"/>
            </w:tcMar>
            <w:hideMark/>
          </w:tcPr>
          <w:p w14:paraId="5A4BF41C" w14:textId="77777777" w:rsidR="00795CA0" w:rsidRDefault="003045D2">
            <w:pPr>
              <w:pStyle w:val="elementtoproof"/>
              <w:spacing w:line="312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lastRenderedPageBreak/>
              <w:t>Additional questions or escalations?</w:t>
            </w:r>
          </w:p>
          <w:p w14:paraId="2EE0CE49" w14:textId="77777777" w:rsidR="00795CA0" w:rsidRDefault="003045D2">
            <w:pPr>
              <w:pStyle w:val="elementtoproof"/>
              <w:spacing w:line="312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 xml:space="preserve">Contact: </w:t>
            </w:r>
            <w:r>
              <w:rPr>
                <w:rFonts w:ascii="Segoe UI" w:hAnsi="Segoe UI" w:cs="Segoe UI"/>
                <w:color w:val="0563C1"/>
                <w:sz w:val="20"/>
                <w:szCs w:val="20"/>
                <w:u w:val="single"/>
                <w:shd w:val="clear" w:color="auto" w:fill="FFFFFF"/>
              </w:rPr>
              <w:t>studentsoc@microsoft.com</w:t>
            </w:r>
          </w:p>
          <w:p w14:paraId="01568085" w14:textId="77777777" w:rsidR="00795CA0" w:rsidRDefault="00795CA0">
            <w:pPr>
              <w:pStyle w:val="NormalWeb"/>
              <w:spacing w:line="312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9" w:history="1">
              <w:r>
                <w:rPr>
                  <w:rStyle w:val="Hyperlink"/>
                  <w:rFonts w:ascii="Segoe UI" w:hAnsi="Segoe UI" w:cs="Segoe UI"/>
                  <w:color w:val="000000"/>
                  <w:sz w:val="20"/>
                  <w:szCs w:val="20"/>
                  <w:shd w:val="clear" w:color="auto" w:fill="FFFFFF"/>
                </w:rPr>
                <w:t>Privacy Statement</w:t>
              </w:r>
            </w:hyperlink>
            <w:r w:rsidR="003045D2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 xml:space="preserve"> | </w:t>
            </w:r>
            <w:r w:rsidR="003045D2">
              <w:rPr>
                <w:rFonts w:ascii="Segoe UI" w:hAnsi="Segoe UI" w:cs="Segoe UI"/>
                <w:color w:val="000000"/>
                <w:sz w:val="20"/>
                <w:szCs w:val="20"/>
                <w:u w:val="single"/>
                <w:shd w:val="clear" w:color="auto" w:fill="FFFFFF"/>
              </w:rPr>
              <w:t>Unsubscribe</w:t>
            </w:r>
          </w:p>
          <w:p w14:paraId="6E8D120E" w14:textId="77777777" w:rsidR="00795CA0" w:rsidRDefault="003045D2">
            <w:pPr>
              <w:pStyle w:val="NormalWeb"/>
              <w:spacing w:line="312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Microsoft Corporation, One Microsoft Way, Redmond, WA 98052 USA</w:t>
            </w:r>
          </w:p>
        </w:tc>
      </w:tr>
      <w:tr w:rsidR="00795CA0" w14:paraId="6CC75E11" w14:textId="77777777">
        <w:trPr>
          <w:trHeight w:val="330"/>
          <w:jc w:val="center"/>
        </w:trPr>
        <w:tc>
          <w:tcPr>
            <w:tcW w:w="2450" w:type="dxa"/>
            <w:tcBorders>
              <w:top w:val="single" w:sz="6" w:space="0" w:color="0C64C0"/>
              <w:left w:val="single" w:sz="6" w:space="0" w:color="0C64C0"/>
              <w:bottom w:val="single" w:sz="6" w:space="0" w:color="0C64C0"/>
              <w:right w:val="single" w:sz="6" w:space="0" w:color="0C64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4922C4" w14:textId="77777777" w:rsidR="00795CA0" w:rsidRDefault="003045D2">
            <w:pPr>
              <w:pStyle w:val="elementtoproof"/>
              <w:rPr>
                <w:color w:val="000000"/>
              </w:rPr>
            </w:pPr>
            <w:r>
              <w:rPr>
                <w:rFonts w:ascii="Segoe UI Semibold" w:hAnsi="Segoe UI Semibold" w:cs="Segoe UI Semibold"/>
                <w:color w:val="FFFFFF"/>
                <w:sz w:val="22"/>
                <w:szCs w:val="22"/>
                <w:shd w:val="clear" w:color="auto" w:fill="FFFFFF"/>
              </w:rPr>
              <w:t> </w:t>
            </w:r>
            <w:r w:rsidR="00FA51E2">
              <w:rPr>
                <w:rFonts w:ascii="Segoe UI Semibold" w:hAnsi="Segoe UI Semibold" w:cs="Segoe UI Semibold"/>
                <w:noProof/>
                <w:color w:val="FFFFFF"/>
                <w:sz w:val="22"/>
                <w:szCs w:val="22"/>
                <w:shd w:val="clear" w:color="auto" w:fill="FFFFFF"/>
              </w:rPr>
              <w:drawing>
                <wp:inline distT="0" distB="0" distL="0" distR="0" wp14:anchorId="4A6067D7" wp14:editId="6F7C735A">
                  <wp:extent cx="2286000" cy="444500"/>
                  <wp:effectExtent l="0" t="0" r="0" b="0"/>
                  <wp:docPr id="2" name="x_x_x_Picture 4_0" descr="Microsof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_x_x_Picture 4_0" descr="Microsof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709A1A" w14:textId="77777777" w:rsidR="006D79D3" w:rsidRDefault="003045D2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6D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Variable Text Semibold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4854"/>
    <w:multiLevelType w:val="hybridMultilevel"/>
    <w:tmpl w:val="2A30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74FCF"/>
    <w:multiLevelType w:val="hybridMultilevel"/>
    <w:tmpl w:val="5C048680"/>
    <w:lvl w:ilvl="0" w:tplc="1A34C1B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E1095"/>
    <w:multiLevelType w:val="multilevel"/>
    <w:tmpl w:val="99E8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08549F"/>
    <w:multiLevelType w:val="hybridMultilevel"/>
    <w:tmpl w:val="259A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B4DDB"/>
    <w:multiLevelType w:val="multilevel"/>
    <w:tmpl w:val="091E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7515655">
    <w:abstractNumId w:val="2"/>
  </w:num>
  <w:num w:numId="2" w16cid:durableId="2005934993">
    <w:abstractNumId w:val="0"/>
  </w:num>
  <w:num w:numId="3" w16cid:durableId="36781554">
    <w:abstractNumId w:val="4"/>
  </w:num>
  <w:num w:numId="4" w16cid:durableId="1713381474">
    <w:abstractNumId w:val="1"/>
  </w:num>
  <w:num w:numId="5" w16cid:durableId="66609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C1"/>
    <w:rsid w:val="000010CB"/>
    <w:rsid w:val="000E1414"/>
    <w:rsid w:val="00102705"/>
    <w:rsid w:val="00143435"/>
    <w:rsid w:val="00164C8B"/>
    <w:rsid w:val="001866CD"/>
    <w:rsid w:val="001D3E52"/>
    <w:rsid w:val="00214DF5"/>
    <w:rsid w:val="00254DF9"/>
    <w:rsid w:val="00413009"/>
    <w:rsid w:val="004B0C72"/>
    <w:rsid w:val="00580A9B"/>
    <w:rsid w:val="006228AF"/>
    <w:rsid w:val="006D4CA6"/>
    <w:rsid w:val="006D79D3"/>
    <w:rsid w:val="00727727"/>
    <w:rsid w:val="007821C1"/>
    <w:rsid w:val="00795CA0"/>
    <w:rsid w:val="007C7069"/>
    <w:rsid w:val="00827D2E"/>
    <w:rsid w:val="00841F36"/>
    <w:rsid w:val="008D0416"/>
    <w:rsid w:val="00903BA6"/>
    <w:rsid w:val="00974A09"/>
    <w:rsid w:val="00A8100C"/>
    <w:rsid w:val="00AA03F3"/>
    <w:rsid w:val="00B3745C"/>
    <w:rsid w:val="00BC09F4"/>
    <w:rsid w:val="00BD60F5"/>
    <w:rsid w:val="00C247A0"/>
    <w:rsid w:val="00C90865"/>
    <w:rsid w:val="00CC5C8D"/>
    <w:rsid w:val="00DA3B1C"/>
    <w:rsid w:val="00E7599D"/>
    <w:rsid w:val="00EF1BCC"/>
    <w:rsid w:val="00EF5A5F"/>
    <w:rsid w:val="00FA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CD2D2"/>
  <w15:chartTrackingRefBased/>
  <w15:docId w15:val="{748F3D47-6A79-4887-9976-C0FE973A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elementtoproof">
    <w:name w:val="elementtoproof"/>
    <w:basedOn w:val="Normal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03B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3B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24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lgoKJJyMx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education/blog/2025/04/student-socs-turn-college-experience-into-career-readiness/?msockid=0c31c7f70c956ed803fdd2e8089560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B372CC50"/><Relationship Id="rId11" Type="http://schemas.openxmlformats.org/officeDocument/2006/relationships/theme" Target="theme/theme1.xml"/><Relationship Id="rId5" Type="http://schemas.openxmlformats.org/officeDocument/2006/relationships/hyperlink" Target="https://microsoft.sharepoint.com/:b:/t/StudentSOC/EXjUbA8p0ApBm9TZFIb5gdYBHbUpYP67zRsmZUYedTnRIQ?e=hrveh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m10.safelinks.protection.outlook.com/?url=https%3A%2F%2Fprivacy.microsoft.com%2Fen-us%2Fprivacystatement&amp;data=05%7C01%7Cbrian.chang%40concentrix.com%7Ce4c46ad6a1ac47230e8708dbe217400b%7C599e51d62f8c43478e591f795a51a98c%7C0%7C0%7C638352361734782372%7CUnknown%7CTWFpbGZsb3d8eyJWIjoiMC4wLjAwMDAiLCJQIjoiV2luMzIiLCJBTiI6Ik1haWwiLCJXVCI6Mn0%3D%7C3000%7C%7C%7C&amp;sdata=vZLy4dTosv1z%2BoKGIIxEiHh6fjiIZcE%2BnHX9U2Kfroc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Links>
    <vt:vector size="24" baseType="variant">
      <vt:variant>
        <vt:i4>3932221</vt:i4>
      </vt:variant>
      <vt:variant>
        <vt:i4>9</vt:i4>
      </vt:variant>
      <vt:variant>
        <vt:i4>0</vt:i4>
      </vt:variant>
      <vt:variant>
        <vt:i4>5</vt:i4>
      </vt:variant>
      <vt:variant>
        <vt:lpwstr>https://nam10.safelinks.protection.outlook.com/?url=https%3A%2F%2Fprivacy.microsoft.com%2Fen-us%2Fprivacystatement&amp;data=05%7C01%7Cbrian.chang%40concentrix.com%7Ce4c46ad6a1ac47230e8708dbe217400b%7C599e51d62f8c43478e591f795a51a98c%7C0%7C0%7C638352361734782372%7CUnknown%7CTWFpbGZsb3d8eyJWIjoiMC4wLjAwMDAiLCJQIjoiV2luMzIiLCJBTiI6Ik1haWwiLCJXVCI6Mn0%3D%7C3000%7C%7C%7C&amp;sdata=vZLy4dTosv1z%2BoKGIIxEiHh6fjiIZcE%2BnHX9U2Kfroc%3D&amp;reserved=0</vt:lpwstr>
      </vt:variant>
      <vt:variant>
        <vt:lpwstr/>
      </vt:variant>
      <vt:variant>
        <vt:i4>3604522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https://www.youtube.com/watch?v=NlgoKJJyMxo</vt:lpwstr>
      </vt:variant>
      <vt:variant>
        <vt:lpwstr/>
      </vt:variant>
      <vt:variant>
        <vt:i4>7995515</vt:i4>
      </vt:variant>
      <vt:variant>
        <vt:i4>3</vt:i4>
      </vt:variant>
      <vt:variant>
        <vt:i4>0</vt:i4>
      </vt:variant>
      <vt:variant>
        <vt:i4>5</vt:i4>
      </vt:variant>
      <vt:variant>
        <vt:lpwstr>https://www.microsoft.com/en-us/education/blog/2025/04/student-socs-turn-college-experience-into-career-readiness/?msockid=0c31c7f70c956ed803fdd2e8089560db</vt:lpwstr>
      </vt:variant>
      <vt:variant>
        <vt:lpwstr/>
      </vt:variant>
      <vt:variant>
        <vt:i4>5439510</vt:i4>
      </vt:variant>
      <vt:variant>
        <vt:i4>0</vt:i4>
      </vt:variant>
      <vt:variant>
        <vt:i4>0</vt:i4>
      </vt:variant>
      <vt:variant>
        <vt:i4>5</vt:i4>
      </vt:variant>
      <vt:variant>
        <vt:lpwstr>https://microsoft.sharepoint.com/:b:/t/StudentSOC/EXjUbA8p0ApBm9TZFIb5gdYBHbUpYP67zRsmZUYedTnRIQ?e=hrvehg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Lanman</dc:creator>
  <cp:keywords/>
  <dc:description/>
  <cp:lastModifiedBy>Emily Lanman</cp:lastModifiedBy>
  <cp:revision>27</cp:revision>
  <dcterms:created xsi:type="dcterms:W3CDTF">2025-05-13T19:08:00Z</dcterms:created>
  <dcterms:modified xsi:type="dcterms:W3CDTF">2025-06-09T16:21:00Z</dcterms:modified>
</cp:coreProperties>
</file>