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rchitectural-proposal"/>
    <w:p>
      <w:pPr>
        <w:pStyle w:val="Heading1"/>
      </w:pPr>
      <w:r>
        <w:t xml:space="preserve">Architectural Proposal</w:t>
      </w:r>
    </w:p>
    <w:bookmarkStart w:id="20" w:name="project-overview"/>
    <w:p>
      <w:pPr>
        <w:pStyle w:val="Heading2"/>
      </w:pPr>
      <w:r>
        <w:t xml:space="preserve">Project Overview</w:t>
      </w:r>
    </w:p>
    <w:p>
      <w:pPr>
        <w:pStyle w:val="FirstParagraph"/>
      </w:pPr>
      <w:r>
        <w:t xml:space="preserve">This architectural proposal presents a comprehensive framework for designing a modular apartment building that harmonizes sustainability, functionality, and aesthetic appeal. The building is conceptualized as a modern residential complex employing advanced modular construction techniques that accelerate building timelines while maintaining high-quality standards. Situated in an urban environment within Germany, this project seeks to address the growing demand for affordable yet elegant living spaces, designed to promote environmental stewardship and foster community interaction.</w:t>
      </w:r>
    </w:p>
    <w:p>
      <w:pPr>
        <w:pStyle w:val="BodyText"/>
      </w:pPr>
      <w:r>
        <w:t xml:space="preserve">The design is deeply influenced by modernist architectural principles: clean lines, open spaces, and functional simplicity, combined with natural elements to enhance occupant well-being. It leverages cutting-edge sustainable materials, cross-laminated timber structures, and smart building technologies to significantly reduce carbon footprint and operational costs over the building’s lifecycle.</w:t>
      </w:r>
    </w:p>
    <w:p>
      <w:pPr>
        <w:pStyle w:val="BodyText"/>
      </w:pPr>
      <w:r>
        <w:t xml:space="preserve">A carefully planned approach towards modular design ensures flexibility for future expansion or interior customization, giving residents freedom to personalize their living environments while adhering to standard configurations that streamline production and quality control. The building aims to become a landmark example of forward-thinking urban residential architecture aligned with German building codes and environmental directives.</w:t>
      </w:r>
    </w:p>
    <w:bookmarkEnd w:id="20"/>
    <w:bookmarkStart w:id="21" w:name="design-objectives"/>
    <w:p>
      <w:pPr>
        <w:pStyle w:val="Heading2"/>
      </w:pPr>
      <w:r>
        <w:t xml:space="preserve">Design Objectives</w:t>
      </w:r>
    </w:p>
    <w:p>
      <w:pPr>
        <w:pStyle w:val="FirstParagraph"/>
      </w:pPr>
      <w:r>
        <w:t xml:space="preserve">The design objectives are multifaceted and have been formulated to meet the needs of diverse stakeholders—including residents, developers, contractors, and regulatory authorities—while optimizing value and sustainability:</w:t>
      </w:r>
    </w:p>
    <w:p>
      <w:pPr>
        <w:pStyle w:val="Compact"/>
        <w:numPr>
          <w:ilvl w:val="0"/>
          <w:numId w:val="1001"/>
        </w:numPr>
      </w:pPr>
      <w:r>
        <w:rPr>
          <w:b/>
          <w:bCs/>
        </w:rPr>
        <w:t xml:space="preserve">Pre-Defined Standard Apartment Configurations:</w:t>
      </w:r>
    </w:p>
    <w:p>
      <w:pPr>
        <w:pStyle w:val="Compact"/>
        <w:numPr>
          <w:ilvl w:val="0"/>
          <w:numId w:val="1001"/>
        </w:numPr>
      </w:pPr>
      <w:r>
        <w:t xml:space="preserve">Provide a variety of apartment types including studios, one-bedroom, two-bedroom, and three-bedroom units.</w:t>
      </w:r>
    </w:p>
    <w:p>
      <w:pPr>
        <w:pStyle w:val="Compact"/>
        <w:numPr>
          <w:ilvl w:val="0"/>
          <w:numId w:val="1001"/>
        </w:numPr>
      </w:pPr>
      <w:r>
        <w:t xml:space="preserve">Each configuration balances elegance and practicality, featuring open-plan living spaces, efficient kitchens, quality bathroom fixtures, and generous natural lighting.</w:t>
      </w:r>
    </w:p>
    <w:p>
      <w:pPr>
        <w:numPr>
          <w:ilvl w:val="0"/>
          <w:numId w:val="1001"/>
        </w:numPr>
      </w:pPr>
      <w:r>
        <w:t xml:space="preserve">Use modular, repeatable layouts that allow for optimized manufacturing and on-site assembly.</w:t>
      </w:r>
    </w:p>
    <w:p>
      <w:pPr>
        <w:numPr>
          <w:ilvl w:val="0"/>
          <w:numId w:val="1001"/>
        </w:numPr>
      </w:pPr>
      <w:r>
        <w:rPr>
          <w:b/>
          <w:bCs/>
        </w:rPr>
        <w:t xml:space="preserve">Compliance with German Building Regulations:</w:t>
      </w:r>
    </w:p>
    <w:p>
      <w:pPr>
        <w:pStyle w:val="Compact"/>
        <w:numPr>
          <w:ilvl w:val="0"/>
          <w:numId w:val="1001"/>
        </w:numPr>
      </w:pPr>
      <w:r>
        <w:t xml:space="preserve">Meet all statutory requirements stipulated by the EnEV (Energy Saving Ordinance) and Bauordnung (Building Codes).</w:t>
      </w:r>
    </w:p>
    <w:p>
      <w:pPr>
        <w:pStyle w:val="Compact"/>
        <w:numPr>
          <w:ilvl w:val="0"/>
          <w:numId w:val="1001"/>
        </w:numPr>
      </w:pPr>
      <w:r>
        <w:t xml:space="preserve">Ensure compliance with regulations regarding fire safety, noise insulation, accessibility for persons with disabilities (DIN 18040), and ventilation standards.</w:t>
      </w:r>
    </w:p>
    <w:p>
      <w:pPr>
        <w:numPr>
          <w:ilvl w:val="0"/>
          <w:numId w:val="1001"/>
        </w:numPr>
      </w:pPr>
      <w:r>
        <w:t xml:space="preserve">Embed green building certifications such as DGNB (German Sustainable Building Council) criteria to achieve environmental benchmarking.</w:t>
      </w:r>
    </w:p>
    <w:p>
      <w:pPr>
        <w:numPr>
          <w:ilvl w:val="0"/>
          <w:numId w:val="1001"/>
        </w:numPr>
      </w:pPr>
      <w:r>
        <w:rPr>
          <w:b/>
          <w:bCs/>
        </w:rPr>
        <w:t xml:space="preserve">Promotion of Sustainable Architecture Practices:</w:t>
      </w:r>
    </w:p>
    <w:p>
      <w:pPr>
        <w:pStyle w:val="Compact"/>
        <w:numPr>
          <w:ilvl w:val="0"/>
          <w:numId w:val="1001"/>
        </w:numPr>
      </w:pPr>
      <w:r>
        <w:t xml:space="preserve">Prioritize environmentally friendly materials with low embodied energy and high recyclability.</w:t>
      </w:r>
    </w:p>
    <w:p>
      <w:pPr>
        <w:pStyle w:val="Compact"/>
        <w:numPr>
          <w:ilvl w:val="0"/>
          <w:numId w:val="1001"/>
        </w:numPr>
      </w:pPr>
      <w:r>
        <w:t xml:space="preserve">Incorporate energy-efficient design elements such as passive solar heating, shading devices, and permeable landscaping.</w:t>
      </w:r>
    </w:p>
    <w:p>
      <w:pPr>
        <w:numPr>
          <w:ilvl w:val="0"/>
          <w:numId w:val="1001"/>
        </w:numPr>
      </w:pPr>
      <w:r>
        <w:t xml:space="preserve">Integrate renewable energy technologies and smart building systems for optimized consumption.</w:t>
      </w:r>
    </w:p>
    <w:p>
      <w:pPr>
        <w:numPr>
          <w:ilvl w:val="0"/>
          <w:numId w:val="1001"/>
        </w:numPr>
      </w:pPr>
      <w:r>
        <w:rPr>
          <w:b/>
          <w:bCs/>
        </w:rPr>
        <w:t xml:space="preserve">Quality and Cost Balance:</w:t>
      </w:r>
    </w:p>
    <w:p>
      <w:pPr>
        <w:pStyle w:val="Compact"/>
        <w:numPr>
          <w:ilvl w:val="0"/>
          <w:numId w:val="1001"/>
        </w:numPr>
      </w:pPr>
      <w:r>
        <w:t xml:space="preserve">Optimize material selection and construction methodologies to reduce initial costs without compromising durability or design quality.</w:t>
      </w:r>
    </w:p>
    <w:p>
      <w:pPr>
        <w:pStyle w:val="Compact"/>
        <w:numPr>
          <w:ilvl w:val="0"/>
          <w:numId w:val="1001"/>
        </w:numPr>
      </w:pPr>
      <w:r>
        <w:t xml:space="preserve">Use standardized modular components to decrease labor time and minimize waste.</w:t>
      </w:r>
    </w:p>
    <w:p>
      <w:pPr>
        <w:pStyle w:val="Compact"/>
        <w:numPr>
          <w:ilvl w:val="0"/>
          <w:numId w:val="1001"/>
        </w:numPr>
      </w:pPr>
      <w:r>
        <w:t xml:space="preserve">Employ lifecycle cost analysis to ensure affordability for end-users and financial viability for investors.</w:t>
      </w:r>
    </w:p>
    <w:bookmarkEnd w:id="21"/>
    <w:bookmarkStart w:id="26" w:name="architectural-features"/>
    <w:p>
      <w:pPr>
        <w:pStyle w:val="Heading2"/>
      </w:pPr>
      <w:r>
        <w:t xml:space="preserve">Architectural Features</w:t>
      </w:r>
    </w:p>
    <w:p>
      <w:pPr>
        <w:pStyle w:val="FirstParagraph"/>
      </w:pPr>
      <w:r>
        <w:t xml:space="preserve">The building’s architectural features have been designed to provide a cohesive, adaptable, and enjoyable living environment:</w:t>
      </w:r>
    </w:p>
    <w:bookmarkStart w:id="22" w:name="modular-units"/>
    <w:p>
      <w:pPr>
        <w:pStyle w:val="Heading3"/>
      </w:pPr>
      <w:r>
        <w:t xml:space="preserve">Modular Units</w:t>
      </w:r>
    </w:p>
    <w:p>
      <w:pPr>
        <w:pStyle w:val="Compact"/>
        <w:numPr>
          <w:ilvl w:val="0"/>
          <w:numId w:val="1002"/>
        </w:numPr>
      </w:pPr>
      <w:r>
        <w:t xml:space="preserve">Prefabricated modules are manufactured in controlled factory settings ensuring consistent quality standards.</w:t>
      </w:r>
    </w:p>
    <w:p>
      <w:pPr>
        <w:pStyle w:val="Compact"/>
        <w:numPr>
          <w:ilvl w:val="0"/>
          <w:numId w:val="1002"/>
        </w:numPr>
      </w:pPr>
      <w:r>
        <w:t xml:space="preserve">Modules include pre-installed utilities, finishes, and insulation, reducing on-site construction time.</w:t>
      </w:r>
    </w:p>
    <w:p>
      <w:pPr>
        <w:pStyle w:val="Compact"/>
        <w:numPr>
          <w:ilvl w:val="0"/>
          <w:numId w:val="1002"/>
        </w:numPr>
      </w:pPr>
      <w:r>
        <w:t xml:space="preserve">The building’s framework consists of standardized modules measuring approximately 7 meters by 3.5 meters, configurable vertically and horizontally.</w:t>
      </w:r>
    </w:p>
    <w:p>
      <w:pPr>
        <w:pStyle w:val="Compact"/>
        <w:numPr>
          <w:ilvl w:val="0"/>
          <w:numId w:val="1002"/>
        </w:numPr>
      </w:pPr>
      <w:r>
        <w:t xml:space="preserve">Flexible interlocking systems allow for varied apartment arrangements and rapid reconfiguration if needed.</w:t>
      </w:r>
    </w:p>
    <w:bookmarkEnd w:id="22"/>
    <w:bookmarkStart w:id="23" w:name="Xc92a11e22c155b8fa9a0a9d7aad9e06c5918924"/>
    <w:p>
      <w:pPr>
        <w:pStyle w:val="Heading3"/>
      </w:pPr>
      <w:r>
        <w:t xml:space="preserve">Eco-friendly Materials and Thermal Performance</w:t>
      </w:r>
    </w:p>
    <w:p>
      <w:pPr>
        <w:pStyle w:val="Compact"/>
        <w:numPr>
          <w:ilvl w:val="0"/>
          <w:numId w:val="1003"/>
        </w:numPr>
      </w:pPr>
      <w:r>
        <w:t xml:space="preserve">The exterior envelope employs a multi-layered approach combining high-performance insulation panels, vapor barriers, and triple-glazed windows to maximize thermal retention.</w:t>
      </w:r>
    </w:p>
    <w:p>
      <w:pPr>
        <w:pStyle w:val="Compact"/>
        <w:numPr>
          <w:ilvl w:val="0"/>
          <w:numId w:val="1003"/>
        </w:numPr>
      </w:pPr>
      <w:r>
        <w:t xml:space="preserve">Natural, renewable materials such as CLT reduce CO₂ emissions by an estimated 50% compared to traditional concrete structures.</w:t>
      </w:r>
    </w:p>
    <w:p>
      <w:pPr>
        <w:pStyle w:val="Compact"/>
        <w:numPr>
          <w:ilvl w:val="0"/>
          <w:numId w:val="1003"/>
        </w:numPr>
      </w:pPr>
      <w:r>
        <w:t xml:space="preserve">Exterior cladding incorporates locally sourced timber treated with non-toxic preservatives for longevity and aesthetic integration with natural surroundings.</w:t>
      </w:r>
    </w:p>
    <w:bookmarkEnd w:id="23"/>
    <w:bookmarkStart w:id="24" w:name="clean-minimalist-nature-inspired-design"/>
    <w:p>
      <w:pPr>
        <w:pStyle w:val="Heading3"/>
      </w:pPr>
      <w:r>
        <w:t xml:space="preserve">Clean, Minimalist, Nature-Inspired Design</w:t>
      </w:r>
    </w:p>
    <w:p>
      <w:pPr>
        <w:pStyle w:val="Compact"/>
        <w:numPr>
          <w:ilvl w:val="0"/>
          <w:numId w:val="1004"/>
        </w:numPr>
      </w:pPr>
      <w:r>
        <w:t xml:space="preserve">Interiors focus on minimalistic design incorporating natural light, neutral color palettes, and organic textures to enhance occupant comfort and reduce visual clutter.</w:t>
      </w:r>
    </w:p>
    <w:p>
      <w:pPr>
        <w:pStyle w:val="Compact"/>
        <w:numPr>
          <w:ilvl w:val="0"/>
          <w:numId w:val="1004"/>
        </w:numPr>
      </w:pPr>
      <w:r>
        <w:t xml:space="preserve">Incorporation of indoor green spaces such as vertical gardens and communal rooftop terraces foster well-being and community engagement.</w:t>
      </w:r>
    </w:p>
    <w:p>
      <w:pPr>
        <w:pStyle w:val="Compact"/>
        <w:numPr>
          <w:ilvl w:val="0"/>
          <w:numId w:val="1004"/>
        </w:numPr>
      </w:pPr>
      <w:r>
        <w:t xml:space="preserve">Floor-to-ceiling windows and open floor plans encourage connectivity between indoor and outdoor environments.</w:t>
      </w:r>
    </w:p>
    <w:bookmarkEnd w:id="24"/>
    <w:bookmarkStart w:id="25" w:name="flexible-interior-layouts"/>
    <w:p>
      <w:pPr>
        <w:pStyle w:val="Heading3"/>
      </w:pPr>
      <w:r>
        <w:t xml:space="preserve">Flexible Interior Layouts</w:t>
      </w:r>
    </w:p>
    <w:p>
      <w:pPr>
        <w:pStyle w:val="Compact"/>
        <w:numPr>
          <w:ilvl w:val="0"/>
          <w:numId w:val="1005"/>
        </w:numPr>
      </w:pPr>
      <w:r>
        <w:t xml:space="preserve">Apartments are designed with modular furniture and walls where feasible, allowing occupants to tailor space use for working, recreation, or family needs.</w:t>
      </w:r>
    </w:p>
    <w:p>
      <w:pPr>
        <w:pStyle w:val="Compact"/>
        <w:numPr>
          <w:ilvl w:val="0"/>
          <w:numId w:val="1005"/>
        </w:numPr>
      </w:pPr>
      <w:r>
        <w:t xml:space="preserve">Incorporation of multi-functional rooms adaptable for home offices or guest accommodation is prioritized.</w:t>
      </w:r>
    </w:p>
    <w:p>
      <w:pPr>
        <w:pStyle w:val="Compact"/>
        <w:numPr>
          <w:ilvl w:val="0"/>
          <w:numId w:val="1005"/>
        </w:numPr>
      </w:pPr>
      <w:r>
        <w:t xml:space="preserve">Basement and ground floor areas provide communal amenities including fitness facilities, bike storage, and co-working spaces.</w:t>
      </w:r>
    </w:p>
    <w:bookmarkEnd w:id="25"/>
    <w:bookmarkEnd w:id="26"/>
    <w:bookmarkStart w:id="31" w:name="materials-and-technologies"/>
    <w:p>
      <w:pPr>
        <w:pStyle w:val="Heading2"/>
      </w:pPr>
      <w:r>
        <w:t xml:space="preserve">Materials and Technologies</w:t>
      </w:r>
    </w:p>
    <w:bookmarkStart w:id="27" w:name="structural-elements"/>
    <w:p>
      <w:pPr>
        <w:pStyle w:val="Heading3"/>
      </w:pPr>
      <w:r>
        <w:t xml:space="preserve">Structural Elements</w:t>
      </w:r>
    </w:p>
    <w:p>
      <w:pPr>
        <w:pStyle w:val="Compact"/>
        <w:numPr>
          <w:ilvl w:val="0"/>
          <w:numId w:val="1006"/>
        </w:numPr>
      </w:pPr>
      <w:r>
        <w:rPr>
          <w:b/>
          <w:bCs/>
        </w:rPr>
        <w:t xml:space="preserve">Cross-Laminated Timber (CLT):</w:t>
      </w:r>
    </w:p>
    <w:p>
      <w:pPr>
        <w:pStyle w:val="Compact"/>
        <w:numPr>
          <w:ilvl w:val="0"/>
          <w:numId w:val="1006"/>
        </w:numPr>
      </w:pPr>
      <w:r>
        <w:t xml:space="preserve">Chosen for its sustainability, fire resistance, and excellent load-bearing capacity.</w:t>
      </w:r>
    </w:p>
    <w:p>
      <w:pPr>
        <w:pStyle w:val="Compact"/>
        <w:numPr>
          <w:ilvl w:val="0"/>
          <w:numId w:val="1006"/>
        </w:numPr>
      </w:pPr>
      <w:r>
        <w:t xml:space="preserve">Prefabricated panels are assembled with precision for rapid onsite erection and minimal waste.</w:t>
      </w:r>
    </w:p>
    <w:p>
      <w:pPr>
        <w:pStyle w:val="Compact"/>
        <w:numPr>
          <w:ilvl w:val="0"/>
          <w:numId w:val="1006"/>
        </w:numPr>
      </w:pPr>
      <w:r>
        <w:t xml:space="preserve">CLT reduces construction time by approximately 20% compared to conventional concrete frameworks.</w:t>
      </w:r>
    </w:p>
    <w:bookmarkEnd w:id="27"/>
    <w:bookmarkStart w:id="28" w:name="insulation-and-glazing"/>
    <w:p>
      <w:pPr>
        <w:pStyle w:val="Heading3"/>
      </w:pPr>
      <w:r>
        <w:t xml:space="preserve">Insulation and Glazing</w:t>
      </w:r>
    </w:p>
    <w:p>
      <w:pPr>
        <w:pStyle w:val="Compact"/>
        <w:numPr>
          <w:ilvl w:val="0"/>
          <w:numId w:val="1007"/>
        </w:numPr>
      </w:pPr>
      <w:r>
        <w:rPr>
          <w:b/>
          <w:bCs/>
        </w:rPr>
        <w:t xml:space="preserve">High-Performance Insulation:</w:t>
      </w:r>
    </w:p>
    <w:p>
      <w:pPr>
        <w:pStyle w:val="Compact"/>
        <w:numPr>
          <w:ilvl w:val="0"/>
          <w:numId w:val="1007"/>
        </w:numPr>
      </w:pPr>
      <w:r>
        <w:t xml:space="preserve">Use of expanded cork board and mineral wool insulation achieving U-values below 0.15 W/m²K.</w:t>
      </w:r>
    </w:p>
    <w:p>
      <w:pPr>
        <w:pStyle w:val="Compact"/>
        <w:numPr>
          <w:ilvl w:val="0"/>
          <w:numId w:val="1007"/>
        </w:numPr>
      </w:pPr>
      <w:r>
        <w:rPr>
          <w:b/>
          <w:bCs/>
        </w:rPr>
        <w:t xml:space="preserve">Triple-Glazed Windows:</w:t>
      </w:r>
    </w:p>
    <w:p>
      <w:pPr>
        <w:pStyle w:val="Compact"/>
        <w:numPr>
          <w:ilvl w:val="0"/>
          <w:numId w:val="1007"/>
        </w:numPr>
      </w:pPr>
      <w:r>
        <w:t xml:space="preserve">Argon-filled glazing with low emissivity coatings to reduce heat loss and minimize noise pollution.</w:t>
      </w:r>
    </w:p>
    <w:bookmarkEnd w:id="28"/>
    <w:bookmarkStart w:id="29" w:name="renewable-energy-systems"/>
    <w:p>
      <w:pPr>
        <w:pStyle w:val="Heading3"/>
      </w:pPr>
      <w:r>
        <w:t xml:space="preserve">Renewable Energy Systems</w:t>
      </w:r>
    </w:p>
    <w:p>
      <w:pPr>
        <w:pStyle w:val="Compact"/>
        <w:numPr>
          <w:ilvl w:val="0"/>
          <w:numId w:val="1008"/>
        </w:numPr>
      </w:pPr>
      <w:r>
        <w:rPr>
          <w:b/>
          <w:bCs/>
        </w:rPr>
        <w:t xml:space="preserve">Photovoltaic Panels:</w:t>
      </w:r>
    </w:p>
    <w:p>
      <w:pPr>
        <w:pStyle w:val="Compact"/>
        <w:numPr>
          <w:ilvl w:val="0"/>
          <w:numId w:val="1008"/>
        </w:numPr>
      </w:pPr>
      <w:r>
        <w:t xml:space="preserve">Roof-mounted and integrated façade panels provide up to 30% of the building’s electrical energy needs.</w:t>
      </w:r>
    </w:p>
    <w:p>
      <w:pPr>
        <w:pStyle w:val="Compact"/>
        <w:numPr>
          <w:ilvl w:val="0"/>
          <w:numId w:val="1008"/>
        </w:numPr>
      </w:pPr>
      <w:r>
        <w:rPr>
          <w:b/>
          <w:bCs/>
        </w:rPr>
        <w:t xml:space="preserve">Heat Pumps:</w:t>
      </w:r>
    </w:p>
    <w:p>
      <w:pPr>
        <w:pStyle w:val="Compact"/>
        <w:numPr>
          <w:ilvl w:val="0"/>
          <w:numId w:val="1008"/>
        </w:numPr>
      </w:pPr>
      <w:r>
        <w:t xml:space="preserve">Air-source heat pumps coupled with underfloor heating systems improve energy efficiency and occupant comfort.</w:t>
      </w:r>
    </w:p>
    <w:p>
      <w:pPr>
        <w:pStyle w:val="Compact"/>
        <w:numPr>
          <w:ilvl w:val="0"/>
          <w:numId w:val="1008"/>
        </w:numPr>
      </w:pPr>
      <w:r>
        <w:rPr>
          <w:b/>
          <w:bCs/>
        </w:rPr>
        <w:t xml:space="preserve">Rainwater Harvesting:</w:t>
      </w:r>
    </w:p>
    <w:p>
      <w:pPr>
        <w:pStyle w:val="Compact"/>
        <w:numPr>
          <w:ilvl w:val="0"/>
          <w:numId w:val="1008"/>
        </w:numPr>
      </w:pPr>
      <w:r>
        <w:t xml:space="preserve">Collection and reuse systems support irrigation and greywater applications, reducing municipal water consumption.</w:t>
      </w:r>
    </w:p>
    <w:bookmarkEnd w:id="29"/>
    <w:bookmarkStart w:id="30" w:name="smart-building-management"/>
    <w:p>
      <w:pPr>
        <w:pStyle w:val="Heading3"/>
      </w:pPr>
      <w:r>
        <w:t xml:space="preserve">Smart Building Management</w:t>
      </w:r>
    </w:p>
    <w:p>
      <w:pPr>
        <w:pStyle w:val="Compact"/>
        <w:numPr>
          <w:ilvl w:val="0"/>
          <w:numId w:val="1009"/>
        </w:numPr>
      </w:pPr>
      <w:r>
        <w:rPr>
          <w:b/>
          <w:bCs/>
        </w:rPr>
        <w:t xml:space="preserve">Integrated IoT Sensors:</w:t>
      </w:r>
    </w:p>
    <w:p>
      <w:pPr>
        <w:pStyle w:val="Compact"/>
        <w:numPr>
          <w:ilvl w:val="0"/>
          <w:numId w:val="1009"/>
        </w:numPr>
      </w:pPr>
      <w:r>
        <w:t xml:space="preserve">Real-time monitoring of temperature, humidity, lighting, and energy use.</w:t>
      </w:r>
    </w:p>
    <w:p>
      <w:pPr>
        <w:pStyle w:val="Compact"/>
        <w:numPr>
          <w:ilvl w:val="0"/>
          <w:numId w:val="1009"/>
        </w:numPr>
      </w:pPr>
      <w:r>
        <w:rPr>
          <w:b/>
          <w:bCs/>
        </w:rPr>
        <w:t xml:space="preserve">Automated Lighting and HVAC:</w:t>
      </w:r>
    </w:p>
    <w:p>
      <w:pPr>
        <w:pStyle w:val="Compact"/>
        <w:numPr>
          <w:ilvl w:val="0"/>
          <w:numId w:val="1009"/>
        </w:numPr>
      </w:pPr>
      <w:r>
        <w:t xml:space="preserve">Adaptive controls based on occupancy and external conditions reduce energy waste.</w:t>
      </w:r>
    </w:p>
    <w:p>
      <w:pPr>
        <w:pStyle w:val="Compact"/>
        <w:numPr>
          <w:ilvl w:val="0"/>
          <w:numId w:val="1009"/>
        </w:numPr>
      </w:pPr>
      <w:r>
        <w:rPr>
          <w:b/>
          <w:bCs/>
        </w:rPr>
        <w:t xml:space="preserve">User-Friendly Interfaces:</w:t>
      </w:r>
    </w:p>
    <w:p>
      <w:pPr>
        <w:pStyle w:val="Compact"/>
        <w:numPr>
          <w:ilvl w:val="0"/>
          <w:numId w:val="1009"/>
        </w:numPr>
      </w:pPr>
      <w:r>
        <w:t xml:space="preserve">Residents can customize environmental settings via smartphone apps.</w:t>
      </w:r>
    </w:p>
    <w:bookmarkEnd w:id="30"/>
    <w:bookmarkEnd w:id="31"/>
    <w:bookmarkStart w:id="33" w:name="cost-analysis"/>
    <w:p>
      <w:pPr>
        <w:pStyle w:val="Heading2"/>
      </w:pPr>
      <w:r>
        <w:t xml:space="preserve">Cost Analysis</w:t>
      </w:r>
    </w:p>
    <w:p>
      <w:pPr>
        <w:pStyle w:val="FirstParagraph"/>
      </w:pPr>
      <w:r>
        <w:t xml:space="preserve">The project adopts a transparent and detail-oriented cost analysis approach to ensure financial viability while delivering value to clients.</w:t>
      </w:r>
    </w:p>
    <w:p>
      <w:pPr>
        <w:pStyle w:val="BodyText"/>
      </w:pPr>
      <w:r>
        <w:t xml:space="preserve">| Cost Components | Estimated Unit Cost (EUR) | Comments |</w:t>
      </w:r>
      <w:r>
        <w:t xml:space="preserve"> </w:t>
      </w:r>
      <w:r>
        <w:t xml:space="preserve">|-------------------------------|---------------------------|------------------------------------------------|</w:t>
      </w:r>
      <w:r>
        <w:t xml:space="preserve"> </w:t>
      </w:r>
      <w:r>
        <w:t xml:space="preserve">| Modular Prefabrication | 1,200 €/m² | Includes manufacturing, structural assembly |</w:t>
      </w:r>
      <w:r>
        <w:t xml:space="preserve"> </w:t>
      </w:r>
      <w:r>
        <w:t xml:space="preserve">| Sustainable Materials Premium | +220 €/m² (10% increase) | High-performance insulation, triple glazing |</w:t>
      </w:r>
      <w:r>
        <w:t xml:space="preserve"> </w:t>
      </w:r>
      <w:r>
        <w:t xml:space="preserve">| Onsite Assembly and Labor | 500 €/m² | Reduced by modular process efficiencies (15%) |</w:t>
      </w:r>
      <w:r>
        <w:t xml:space="preserve"> </w:t>
      </w:r>
      <w:r>
        <w:t xml:space="preserve">| Renewable Energy Integration | 300 €/m² | Solar panels, heat pumps, system installation |</w:t>
      </w:r>
      <w:r>
        <w:t xml:space="preserve"> </w:t>
      </w:r>
      <w:r>
        <w:t xml:space="preserve">| Smart Systems Installation | 150 €/m² | IoT sensors, management software |</w:t>
      </w:r>
      <w:r>
        <w:t xml:space="preserve"> </w:t>
      </w:r>
      <w:r>
        <w:t xml:space="preserve">| General Contractor and Fees | 250 €/m² | Project management, permits, overhead |</w:t>
      </w:r>
      <w:r>
        <w:t xml:space="preserve"> </w:t>
      </w:r>
      <w:r>
        <w:t xml:space="preserve">|</w:t>
      </w:r>
      <w:r>
        <w:t xml:space="preserve"> </w:t>
      </w:r>
      <w:r>
        <w:rPr>
          <w:b/>
          <w:bCs/>
        </w:rPr>
        <w:t xml:space="preserve">Total Estimated Cost</w:t>
      </w:r>
      <w:r>
        <w:t xml:space="preserve"> </w:t>
      </w:r>
      <w:r>
        <w:t xml:space="preserve">|</w:t>
      </w:r>
      <w:r>
        <w:t xml:space="preserve"> </w:t>
      </w:r>
      <w:r>
        <w:rPr>
          <w:b/>
          <w:bCs/>
        </w:rPr>
        <w:t xml:space="preserve">2,620 €/m²</w:t>
      </w:r>
      <w:r>
        <w:t xml:space="preserve"> </w:t>
      </w:r>
      <w:r>
        <w:t xml:space="preserve">| 19% above basic due to sustainability features |</w:t>
      </w:r>
    </w:p>
    <w:bookmarkStart w:id="32" w:name="summary"/>
    <w:p>
      <w:pPr>
        <w:pStyle w:val="Heading3"/>
      </w:pPr>
      <w:r>
        <w:t xml:space="preserve">Summary</w:t>
      </w:r>
    </w:p>
    <w:p>
      <w:pPr>
        <w:pStyle w:val="FirstParagraph"/>
      </w:pPr>
      <w:r>
        <w:t xml:space="preserve">While modular construction results in labor and onsite cost savings of approximately 15%, the integration of sustainable materials and technologies results in a roughly 10-15% premium on upfront costs. However, life cycle cost analysis reveals returning savings via energy efficiency (estimated reduction of utility costs by up to 35%) and maintenance savings due to durable, long-lasting building elements.</w:t>
      </w:r>
    </w:p>
    <w:p>
      <w:pPr>
        <w:pStyle w:val="BodyText"/>
      </w:pPr>
      <w:r>
        <w:t xml:space="preserve">Negotiations with project managers allow balancing between premium material selections and budget constraints, identifying viable alternatives without compromising core sustainability and quality objectives.</w:t>
      </w:r>
    </w:p>
    <w:bookmarkEnd w:id="32"/>
    <w:bookmarkEnd w:id="33"/>
    <w:bookmarkStart w:id="37" w:name="compliance-and-regulations"/>
    <w:p>
      <w:pPr>
        <w:pStyle w:val="Heading2"/>
      </w:pPr>
      <w:r>
        <w:t xml:space="preserve">Compliance and Regulations</w:t>
      </w:r>
    </w:p>
    <w:p>
      <w:pPr>
        <w:pStyle w:val="FirstParagraph"/>
      </w:pPr>
      <w:r>
        <w:t xml:space="preserve">The project diligently adheres to all pertinent codes and regulations to ensure safety, accessibility, and environmental responsibility.</w:t>
      </w:r>
    </w:p>
    <w:bookmarkStart w:id="34" w:name="building-codes-and-safety"/>
    <w:p>
      <w:pPr>
        <w:pStyle w:val="Heading3"/>
      </w:pPr>
      <w:r>
        <w:t xml:space="preserve">Building Codes and Safety</w:t>
      </w:r>
    </w:p>
    <w:p>
      <w:pPr>
        <w:pStyle w:val="Compact"/>
        <w:numPr>
          <w:ilvl w:val="0"/>
          <w:numId w:val="1010"/>
        </w:numPr>
      </w:pPr>
      <w:r>
        <w:t xml:space="preserve">Compliance with German Bauordnung statutes including fire safety measures such as sprinkler systems, fire-resistant timber treatments, and egress route planning.</w:t>
      </w:r>
    </w:p>
    <w:p>
      <w:pPr>
        <w:pStyle w:val="Compact"/>
        <w:numPr>
          <w:ilvl w:val="0"/>
          <w:numId w:val="1010"/>
        </w:numPr>
      </w:pPr>
      <w:r>
        <w:t xml:space="preserve">Structural design verified per Eurocode standards with seismic and wind loading considerations.</w:t>
      </w:r>
    </w:p>
    <w:p>
      <w:pPr>
        <w:pStyle w:val="Compact"/>
        <w:numPr>
          <w:ilvl w:val="0"/>
          <w:numId w:val="1010"/>
        </w:numPr>
      </w:pPr>
      <w:r>
        <w:t xml:space="preserve">Reinforcement of modular joints and panel connections to meet stability and durability criteria.</w:t>
      </w:r>
    </w:p>
    <w:bookmarkEnd w:id="34"/>
    <w:bookmarkStart w:id="35" w:name="accessibility"/>
    <w:p>
      <w:pPr>
        <w:pStyle w:val="Heading3"/>
      </w:pPr>
      <w:r>
        <w:t xml:space="preserve">Accessibility</w:t>
      </w:r>
    </w:p>
    <w:p>
      <w:pPr>
        <w:pStyle w:val="Compact"/>
        <w:numPr>
          <w:ilvl w:val="0"/>
          <w:numId w:val="1011"/>
        </w:numPr>
      </w:pPr>
      <w:r>
        <w:t xml:space="preserve">Meeting DIN 18040 standards for barrier-free design ensuring wheelchair accessibility in communal spaces and designated apartments.</w:t>
      </w:r>
    </w:p>
    <w:p>
      <w:pPr>
        <w:pStyle w:val="Compact"/>
        <w:numPr>
          <w:ilvl w:val="0"/>
          <w:numId w:val="1011"/>
        </w:numPr>
      </w:pPr>
      <w:r>
        <w:t xml:space="preserve">Installation of elevators with size and safety features compliant with legislation.</w:t>
      </w:r>
    </w:p>
    <w:p>
      <w:pPr>
        <w:pStyle w:val="Compact"/>
        <w:numPr>
          <w:ilvl w:val="0"/>
          <w:numId w:val="1011"/>
        </w:numPr>
      </w:pPr>
      <w:r>
        <w:t xml:space="preserve">Accessible sanitary fixtures and signage supporting diverse occupant needs.</w:t>
      </w:r>
    </w:p>
    <w:bookmarkEnd w:id="35"/>
    <w:bookmarkStart w:id="36" w:name="environmental-standards"/>
    <w:p>
      <w:pPr>
        <w:pStyle w:val="Heading3"/>
      </w:pPr>
      <w:r>
        <w:t xml:space="preserve">Environmental Standards</w:t>
      </w:r>
    </w:p>
    <w:p>
      <w:pPr>
        <w:pStyle w:val="Compact"/>
        <w:numPr>
          <w:ilvl w:val="0"/>
          <w:numId w:val="1012"/>
        </w:numPr>
      </w:pPr>
      <w:r>
        <w:t xml:space="preserve">Waste management plans during construction promoting recycling and minimization.</w:t>
      </w:r>
    </w:p>
    <w:p>
      <w:pPr>
        <w:pStyle w:val="Compact"/>
        <w:numPr>
          <w:ilvl w:val="0"/>
          <w:numId w:val="1012"/>
        </w:numPr>
      </w:pPr>
      <w:r>
        <w:t xml:space="preserve">Noise impact assessments to limit disturbance to surrounding community.</w:t>
      </w:r>
    </w:p>
    <w:p>
      <w:pPr>
        <w:pStyle w:val="Compact"/>
        <w:numPr>
          <w:ilvl w:val="0"/>
          <w:numId w:val="1012"/>
        </w:numPr>
      </w:pPr>
      <w:r>
        <w:t xml:space="preserve">Landscaping designed to preserve natural habitats and promote biodiversity.</w:t>
      </w:r>
    </w:p>
    <w:bookmarkEnd w:id="36"/>
    <w:bookmarkEnd w:id="37"/>
    <w:bookmarkStart w:id="38" w:name="project-timeline-and-responsibilities"/>
    <w:p>
      <w:pPr>
        <w:pStyle w:val="Heading2"/>
      </w:pPr>
      <w:r>
        <w:t xml:space="preserve">Project Timeline and Responsibilities</w:t>
      </w:r>
    </w:p>
    <w:p>
      <w:pPr>
        <w:pStyle w:val="FirstParagraph"/>
      </w:pPr>
      <w:r>
        <w:t xml:space="preserve">| Phase | Activity | Responsible Personnel | Target Date |</w:t>
      </w:r>
      <w:r>
        <w:t xml:space="preserve"> </w:t>
      </w:r>
      <w:r>
        <w:t xml:space="preserve">|----------------------------------|--------------------------------------------------|-------------------------------------|-------------------|</w:t>
      </w:r>
      <w:r>
        <w:t xml:space="preserve"> </w:t>
      </w:r>
      <w:r>
        <w:t xml:space="preserve">| Preliminary Design Completion | Finalize apartment layouts, structural concepts | Oscar (Awesome Inc.) | 2 weeks from now |</w:t>
      </w:r>
      <w:r>
        <w:t xml:space="preserve"> </w:t>
      </w:r>
      <w:r>
        <w:t xml:space="preserve">| Material Sourcing &amp; Contractor Engagement | Select sustainable suppliers and negotiate contracts | Project Manager Petra | 1 month |</w:t>
      </w:r>
      <w:r>
        <w:t xml:space="preserve"> </w:t>
      </w:r>
      <w:r>
        <w:t xml:space="preserve">| Client Consultation &amp; Feedback | Review designs, incorporate client preferences | Oscar and Anna (Interior Designer) | Monthly reviews |</w:t>
      </w:r>
      <w:r>
        <w:t xml:space="preserve"> </w:t>
      </w:r>
      <w:r>
        <w:t xml:space="preserve">| Permitting &amp; Regulatory Approval | Submit documentation and resolve queries | Legal Consultant &amp; Project Manager | 2 months |</w:t>
      </w:r>
      <w:r>
        <w:t xml:space="preserve"> </w:t>
      </w:r>
      <w:r>
        <w:t xml:space="preserve">| Prefabrication &amp; Factory Setup | Manufacture modular units | Manufacturing Partner | 3 months |</w:t>
      </w:r>
      <w:r>
        <w:t xml:space="preserve"> </w:t>
      </w:r>
      <w:r>
        <w:t xml:space="preserve">| Construction Commencement | Site preparation, foundation works | Site Manager Lars | Q3 2024 |</w:t>
      </w:r>
      <w:r>
        <w:t xml:space="preserve"> </w:t>
      </w:r>
      <w:r>
        <w:t xml:space="preserve">| Modular Assembly Onsite | Erection of modules, utility hookups | Construction Contractor | Q4 2024 – Q1 2025 |</w:t>
      </w:r>
      <w:r>
        <w:t xml:space="preserve"> </w:t>
      </w:r>
      <w:r>
        <w:t xml:space="preserve">| Interior Finishing &amp; Commissioning | Install fixtures, perform system testing | Construction &amp; Design Teams | Q2 2025 |</w:t>
      </w:r>
      <w:r>
        <w:t xml:space="preserve"> </w:t>
      </w:r>
      <w:r>
        <w:t xml:space="preserve">| Handover &amp; Occupancy | Final inspections, resident move-in | Project Manager &amp; Client | Mid 2025 |</w:t>
      </w:r>
    </w:p>
    <w:p>
      <w:pPr>
        <w:pStyle w:val="BodyText"/>
      </w:pPr>
      <w:r>
        <w:t xml:space="preserve">Clear leadership roles are established to maintain accountability and streamline decision-making. Regular progress meetings and design workshops are planned to monitor adherence to schedule and quality benchmarks.</w:t>
      </w:r>
    </w:p>
    <w:bookmarkEnd w:id="38"/>
    <w:bookmarkStart w:id="39" w:name="conclusion"/>
    <w:p>
      <w:pPr>
        <w:pStyle w:val="Heading2"/>
      </w:pPr>
      <w:r>
        <w:t xml:space="preserve">Conclusion</w:t>
      </w:r>
    </w:p>
    <w:p>
      <w:pPr>
        <w:pStyle w:val="FirstParagraph"/>
      </w:pPr>
      <w:r>
        <w:t xml:space="preserve">This architectural proposal offers a thoughtfully balanced solution for a modular apartment building that meets contemporary demands for sustainable, functional, and aesthetically pleasing homes. By combining innovative modular construction, eco-friendly materials, and smart technologies, the project delivers living spaces designed to foster well-being, community interaction, and environmental responsibility.</w:t>
      </w:r>
    </w:p>
    <w:p>
      <w:pPr>
        <w:pStyle w:val="BodyText"/>
      </w:pPr>
      <w:r>
        <w:t xml:space="preserve">The approach ensures compliance with stringent German regulations and balances cost-effectiveness with high quality, building a model for future residential developments in urban contexts. This design not only addresses the immediate needs for functional housing but also contributes to long-term sustainable city growth.</w:t>
      </w:r>
    </w:p>
    <w:p>
      <w:r>
        <w:pict>
          <v:rect style="width:0;height:1.5pt" o:hralign="center" o:hrstd="t" o:hr="t"/>
        </w:pict>
      </w:r>
    </w:p>
    <w:p>
      <w:pPr>
        <w:pStyle w:val="FirstParagraph"/>
      </w:pPr>
      <w:r>
        <w:t xml:space="preserve">For detailed discussions, customization options, or further engagement, please contact:</w:t>
      </w:r>
    </w:p>
    <w:p>
      <w:pPr>
        <w:pStyle w:val="BodyText"/>
      </w:pPr>
      <w:r>
        <w:t xml:space="preserve">Oscar</w:t>
      </w:r>
      <w:r>
        <w:br/>
      </w:r>
      <w:r>
        <w:t xml:space="preserve">Awesome Inc.</w:t>
      </w:r>
      <w:r>
        <w:br/>
      </w:r>
      <w:r>
        <w:t xml:space="preserve">Email: oscar@awesomeinc.de</w:t>
      </w:r>
      <w:r>
        <w:br/>
      </w:r>
      <w:r>
        <w:t xml:space="preserve">Phone: +49 30 1234 5678</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2025-08-09T16:45:50Z</dcterms:created>
  <dcterms:modified xsi:type="dcterms:W3CDTF">2025-08-09T16:45:50Z</dcterms:modified>
</cp:coreProperties>
</file>

<file path=docProps/custom.xml><?xml version="1.0" encoding="utf-8"?>
<Properties xmlns="http://schemas.openxmlformats.org/officeDocument/2006/custom-properties" xmlns:vt="http://schemas.openxmlformats.org/officeDocument/2006/docPropsVTypes"/>
</file>