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fdc08a140e69a6604f19d135dfde33138a7386"/>
    <w:p>
      <w:pPr>
        <w:pStyle w:val="Heading1"/>
      </w:pPr>
      <w:r>
        <w:t xml:space="preserve">Architectural Proposal — Standardized Apartment Building &amp; Cost Analysis</w:t>
      </w:r>
    </w:p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Oscar (Lead Architect, Awesome Inc.)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 a detailed architectural and cost-feasibility proposal for a standardized apartment building product that Awesome Inc. can offer to clients as a pre-defined, configurable building type. The proposal expands the concept from a high-level outline into a comprehensive package that includes:</w:t>
      </w:r>
    </w:p>
    <w:p>
      <w:pPr>
        <w:pStyle w:val="Compact"/>
        <w:numPr>
          <w:ilvl w:val="0"/>
          <w:numId w:val="1001"/>
        </w:numPr>
      </w:pPr>
      <w:r>
        <w:t xml:space="preserve">A refined design concept and spatial strategy emphasizing functionality, durability and energy efficiency.</w:t>
      </w:r>
    </w:p>
    <w:p>
      <w:pPr>
        <w:pStyle w:val="Compact"/>
        <w:numPr>
          <w:ilvl w:val="0"/>
          <w:numId w:val="1001"/>
        </w:numPr>
      </w:pPr>
      <w:r>
        <w:t xml:space="preserve">A detailed representative unit mix, area schedule and illustrative unit descriptions.</w:t>
      </w:r>
    </w:p>
    <w:p>
      <w:pPr>
        <w:pStyle w:val="Compact"/>
        <w:numPr>
          <w:ilvl w:val="0"/>
          <w:numId w:val="1001"/>
        </w:numPr>
      </w:pPr>
      <w:r>
        <w:t xml:space="preserve">Standard elements, tiered options and a fully expanded specification matrix for procurement.</w:t>
      </w:r>
    </w:p>
    <w:p>
      <w:pPr>
        <w:pStyle w:val="Compact"/>
        <w:numPr>
          <w:ilvl w:val="0"/>
          <w:numId w:val="1001"/>
        </w:numPr>
      </w:pPr>
      <w:r>
        <w:t xml:space="preserve">Structural, MEP and sustainability targets with suggested performance criteria and typical component selections.</w:t>
      </w:r>
    </w:p>
    <w:p>
      <w:pPr>
        <w:pStyle w:val="Compact"/>
        <w:numPr>
          <w:ilvl w:val="0"/>
          <w:numId w:val="1001"/>
        </w:numPr>
      </w:pPr>
      <w:r>
        <w:t xml:space="preserve">A more detailed preliminary cost model with line-item breakdowns, sensitivity scenarios and lifecycle (operational cost) indications.</w:t>
      </w:r>
    </w:p>
    <w:p>
      <w:pPr>
        <w:pStyle w:val="Compact"/>
        <w:numPr>
          <w:ilvl w:val="0"/>
          <w:numId w:val="1001"/>
        </w:numPr>
      </w:pPr>
      <w:r>
        <w:t xml:space="preserve">A procurement and delivery strategy with recommended contract forms, quality assurance measures and a risk register.</w:t>
      </w:r>
    </w:p>
    <w:p>
      <w:pPr>
        <w:pStyle w:val="Compact"/>
        <w:numPr>
          <w:ilvl w:val="0"/>
          <w:numId w:val="1001"/>
        </w:numPr>
      </w:pPr>
      <w:r>
        <w:t xml:space="preserve">A phased project timeline with delivery milestones, decision points and responsibilities.</w:t>
      </w:r>
    </w:p>
    <w:p>
      <w:pPr>
        <w:pStyle w:val="Compact"/>
        <w:numPr>
          <w:ilvl w:val="0"/>
          <w:numId w:val="1001"/>
        </w:numPr>
      </w:pPr>
      <w:r>
        <w:t xml:space="preserve">Next-step actions, deliverables and practical checklists for moving to pre-tender and tender stages.</w:t>
      </w:r>
    </w:p>
    <w:p>
      <w:pPr>
        <w:pStyle w:val="FirstParagraph"/>
      </w:pPr>
      <w:r>
        <w:t xml:space="preserve">Numbers included are conceptual early-stage estimates intended to establish feasibility and guide decisions. Typical expected accuracy at this stage: +/- 10–15%. These should be refined by site-specific investigations and a cost consultant prior to tender.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objectives-expanded"/>
    <w:p>
      <w:pPr>
        <w:pStyle w:val="Heading2"/>
      </w:pPr>
      <w:r>
        <w:t xml:space="preserve">Project objectives (expanded)</w:t>
      </w:r>
    </w:p>
    <w:p>
      <w:pPr>
        <w:pStyle w:val="FirstParagraph"/>
      </w:pPr>
      <w:r>
        <w:t xml:space="preserve">Primary objectives</w:t>
      </w:r>
      <w:r>
        <w:t xml:space="preserve"> </w:t>
      </w:r>
      <w:r>
        <w:t xml:space="preserve">- Deliver a repeatable, high-quality apartment typology clients can select with minimal bespoke design time, enabling rapid deployment across multiple sites.</w:t>
      </w:r>
      <w:r>
        <w:t xml:space="preserve"> </w:t>
      </w:r>
      <w:r>
        <w:t xml:space="preserve">- Prioritize durability, low operational energy demand and straightforward maintainability to reduce lifecycle costs and enhance marketability.</w:t>
      </w:r>
      <w:r>
        <w:t xml:space="preserve"> </w:t>
      </w:r>
      <w:r>
        <w:t xml:space="preserve">- Maintain a modular palette of materials and finishes with a limited number of configurable options to accelerate procurement and control cost variability.</w:t>
      </w:r>
      <w:r>
        <w:t xml:space="preserve"> </w:t>
      </w:r>
      <w:r>
        <w:t xml:space="preserve">- Ensure basic compliance with applicable German residential regulations and accessibility standards, with the understanding that local authority requirements will be confirmed at permit stage.</w:t>
      </w:r>
    </w:p>
    <w:p>
      <w:pPr>
        <w:pStyle w:val="BodyText"/>
      </w:pPr>
      <w:r>
        <w:t xml:space="preserve">Secondary objectives</w:t>
      </w:r>
      <w:r>
        <w:t xml:space="preserve"> </w:t>
      </w:r>
      <w:r>
        <w:t xml:space="preserve">- Reduce embodied carbon where cost-effective by offering a timber-concrete hybrid upper floor option and specifying low-carbon materials.</w:t>
      </w:r>
      <w:r>
        <w:t xml:space="preserve"> </w:t>
      </w:r>
      <w:r>
        <w:t xml:space="preserve">- Achieve a balance between initial capital cost and lifecycle operating cost—promote investments in fabric and systems that reduce tenant energy costs.</w:t>
      </w:r>
      <w:r>
        <w:t xml:space="preserve"> </w:t>
      </w:r>
      <w:r>
        <w:t xml:space="preserve">- Create a product that can be marketed to mid-market buyers and long-term renters, with optional premium finishes packages for PRS (Private Rented Sector) or for-sale units.</w:t>
      </w:r>
    </w:p>
    <w:p>
      <w:pPr>
        <w:pStyle w:val="BodyText"/>
      </w:pPr>
      <w:r>
        <w:t xml:space="preserve">Success criteria</w:t>
      </w:r>
      <w:r>
        <w:t xml:space="preserve"> </w:t>
      </w:r>
      <w:r>
        <w:t xml:space="preserve">- Cost: Achieve competitive installed cost per m2 within the ranges identified in the preliminary estimates.</w:t>
      </w:r>
      <w:r>
        <w:t xml:space="preserve"> </w:t>
      </w:r>
      <w:r>
        <w:t xml:space="preserve">- Performance: Target operational heating demand ≤ 45–60 kWh/m2·a (illustrative, depending on final envelope and system choices) and balanced ventilation with heat recovery.</w:t>
      </w:r>
      <w:r>
        <w:t xml:space="preserve"> </w:t>
      </w:r>
      <w:r>
        <w:t xml:space="preserve">- Accessibility: At least one fully wheelchair-accessible unit on the ground floor and accessible common entries.</w:t>
      </w:r>
      <w:r>
        <w:t xml:space="preserve"> </w:t>
      </w:r>
      <w:r>
        <w:t xml:space="preserve">- Delivery: Design development to 60% and permitting milestones met within the projected schedule (see Milestones section).</w:t>
      </w:r>
    </w:p>
    <w:p>
      <w:r>
        <w:pict>
          <v:rect style="width:0;height:1.5pt" o:hralign="center" o:hrstd="t" o:hr="t"/>
        </w:pict>
      </w:r>
    </w:p>
    <w:bookmarkEnd w:id="22"/>
    <w:bookmarkStart w:id="23" w:name="key-assumptions-explicit-expanded"/>
    <w:p>
      <w:pPr>
        <w:pStyle w:val="Heading2"/>
      </w:pPr>
      <w:r>
        <w:t xml:space="preserve">Key assumptions (explicit, expanded)</w:t>
      </w:r>
    </w:p>
    <w:p>
      <w:pPr>
        <w:pStyle w:val="Compact"/>
        <w:numPr>
          <w:ilvl w:val="0"/>
          <w:numId w:val="1002"/>
        </w:numPr>
      </w:pPr>
      <w:r>
        <w:t xml:space="preserve">Gross floor area (GFA): 1,200 m2 (typical 3–4 storey mid-rise building). This GFA includes grossed circulation and common areas.</w:t>
      </w:r>
    </w:p>
    <w:p>
      <w:pPr>
        <w:pStyle w:val="Compact"/>
        <w:numPr>
          <w:ilvl w:val="0"/>
          <w:numId w:val="1002"/>
        </w:numPr>
      </w:pPr>
      <w:r>
        <w:t xml:space="preserve">Net lettable/sale area (NLA): typically ~72–78% of GFA depending on corridor, core and plant room area. For our representative mix NLA ~880–940 m2.</w:t>
      </w:r>
    </w:p>
    <w:p>
      <w:pPr>
        <w:pStyle w:val="Compact"/>
        <w:numPr>
          <w:ilvl w:val="0"/>
          <w:numId w:val="1002"/>
        </w:numPr>
      </w:pPr>
      <w:r>
        <w:t xml:space="preserve">Unit count: 12 units (example mix specified below). Unit mix and sizes can be adjusted by the client.</w:t>
      </w:r>
    </w:p>
    <w:p>
      <w:pPr>
        <w:pStyle w:val="Compact"/>
        <w:numPr>
          <w:ilvl w:val="0"/>
          <w:numId w:val="1002"/>
        </w:numPr>
      </w:pPr>
      <w:r>
        <w:t xml:space="preserve">Typical floor to floor height: 2.7–3.0 m depending on mechanical stacking requirements and local planning height allowances.</w:t>
      </w:r>
    </w:p>
    <w:p>
      <w:pPr>
        <w:pStyle w:val="Compact"/>
        <w:numPr>
          <w:ilvl w:val="0"/>
          <w:numId w:val="1002"/>
        </w:numPr>
      </w:pPr>
      <w:r>
        <w:t xml:space="preserve">Service cores: single central stair and lift core serving all floors; location assumes long-side access corridor to maximize cross-ventilation where possible.</w:t>
      </w:r>
    </w:p>
    <w:p>
      <w:pPr>
        <w:pStyle w:val="Compact"/>
        <w:numPr>
          <w:ilvl w:val="0"/>
          <w:numId w:val="1002"/>
        </w:numPr>
      </w:pPr>
      <w:r>
        <w:t xml:space="preserve">Target market: German mid-market buyers or long-term renters. Fit-out standards oriented to “mid-range” finishes as base-case; premium tier available.</w:t>
      </w:r>
    </w:p>
    <w:p>
      <w:pPr>
        <w:pStyle w:val="Compact"/>
        <w:numPr>
          <w:ilvl w:val="0"/>
          <w:numId w:val="1002"/>
        </w:numPr>
      </w:pPr>
      <w:r>
        <w:t xml:space="preserve">Geotechnical, utility connection and planning constraints: unknown at this stage; may materially affect foundation cost, basement vs slab-on-grade decisions and external works.</w:t>
      </w:r>
    </w:p>
    <w:p>
      <w:pPr>
        <w:pStyle w:val="Compact"/>
        <w:numPr>
          <w:ilvl w:val="0"/>
          <w:numId w:val="1002"/>
        </w:numPr>
      </w:pPr>
      <w:r>
        <w:t xml:space="preserve">Cost basis: prices in EUR and are net unless specified; VAT assumed at 19% for final totals. Excludes land acquisition, major off-site infrastructure, demolition or remediation costs unless stated.</w:t>
      </w:r>
    </w:p>
    <w:p>
      <w:pPr>
        <w:pStyle w:val="Compact"/>
        <w:numPr>
          <w:ilvl w:val="0"/>
          <w:numId w:val="1002"/>
        </w:numPr>
      </w:pPr>
      <w:r>
        <w:t xml:space="preserve">Time and market: cost estimates are early-stage and subject to commodity price volatility, labour availability and regional market differences.</w:t>
      </w:r>
    </w:p>
    <w:p>
      <w:pPr>
        <w:pStyle w:val="Compact"/>
        <w:numPr>
          <w:ilvl w:val="0"/>
          <w:numId w:val="1002"/>
        </w:numPr>
      </w:pPr>
      <w:r>
        <w:t xml:space="preserve">Energy and carbon: operational energy figures are illustrative target values; final performance will require detailed energy modelling.</w:t>
      </w:r>
    </w:p>
    <w:p>
      <w:r>
        <w:pict>
          <v:rect style="width:0;height:1.5pt" o:hralign="center" o:hrstd="t" o:hr="t"/>
        </w:pict>
      </w:r>
    </w:p>
    <w:bookmarkEnd w:id="23"/>
    <w:bookmarkStart w:id="24" w:name="design-concept-expanded"/>
    <w:p>
      <w:pPr>
        <w:pStyle w:val="Heading2"/>
      </w:pPr>
      <w:r>
        <w:t xml:space="preserve">Design concept (expanded)</w:t>
      </w:r>
    </w:p>
    <w:p>
      <w:pPr>
        <w:pStyle w:val="FirstParagraph"/>
      </w:pPr>
      <w:r>
        <w:t xml:space="preserve">Design philosophy</w:t>
      </w:r>
      <w:r>
        <w:t xml:space="preserve"> </w:t>
      </w:r>
      <w:r>
        <w:t xml:space="preserve">- A clean modernist volume with simple roof geometry (either a shallow pitched roof or a shallow flat roof with parapet and single-plane slope) to reduce construction complexity and roof detailing costs.</w:t>
      </w:r>
      <w:r>
        <w:t xml:space="preserve"> </w:t>
      </w:r>
      <w:r>
        <w:t xml:space="preserve">- Compact circulation: minimize wasted corridor area through efficient stacking and core placement. Target gross-to-net efficiency (NLA/GFA) of ~0.75–0.80.</w:t>
      </w:r>
      <w:r>
        <w:t xml:space="preserve"> </w:t>
      </w:r>
      <w:r>
        <w:t xml:space="preserve">- Cross-ventilated and well-daylit units where the site orientation allows. Primary living spaces face south or east-west wherever possible.</w:t>
      </w:r>
      <w:r>
        <w:t xml:space="preserve"> </w:t>
      </w:r>
      <w:r>
        <w:t xml:space="preserve">- Private outdoor space: balconies or loggias for primary living rooms on two-bedroom and three-bedroom units. Balcony depth typical 1.4m for usability, balustrade minimum 1.1m height.</w:t>
      </w:r>
      <w:r>
        <w:t xml:space="preserve"> </w:t>
      </w:r>
      <w:r>
        <w:t xml:space="preserve">- Durable façade: prefabricated insulated panels or ventilated rainscreen with fibre-cement or composite panels to optimize construction speed and reduce on-site labour.</w:t>
      </w:r>
      <w:r>
        <w:t xml:space="preserve"> </w:t>
      </w:r>
      <w:r>
        <w:t xml:space="preserve">- Standardized service modules (kitchens/bathrooms) for procurement and repeatability; bathroom pod option for faster fit-out and predictable MEP interfaces.</w:t>
      </w:r>
      <w:r>
        <w:t xml:space="preserve"> </w:t>
      </w:r>
      <w:r>
        <w:t xml:space="preserve">- Simple, legible structural grid (e.g., 6.0m x 4.5m or similar) that supports flexible internal partitions and maximizes repeatability of unit layouts.</w:t>
      </w:r>
    </w:p>
    <w:p>
      <w:pPr>
        <w:pStyle w:val="BodyText"/>
      </w:pPr>
      <w:r>
        <w:t xml:space="preserve">Spatial strategy (typical floor)</w:t>
      </w:r>
      <w:r>
        <w:t xml:space="preserve"> </w:t>
      </w:r>
      <w:r>
        <w:t xml:space="preserve">- Ground floor: accessible entry lobby, mail/parcel room, plant room, bike store and one accessible flat (or adaptable unit), utilities and waste collection area. Small external amenity (private or shared courtyard).</w:t>
      </w:r>
      <w:r>
        <w:t xml:space="preserve"> </w:t>
      </w:r>
      <w:r>
        <w:t xml:space="preserve">- Upper floors: mix of 1-, 2- and 3-bedroom flats arranged around a central corridor/stair core. Max unit depth targeted ~8–9m to ensure daylight to living spaces.</w:t>
      </w:r>
      <w:r>
        <w:t xml:space="preserve"> </w:t>
      </w:r>
      <w:r>
        <w:t xml:space="preserve">- Circulation: single stair + lift providing evacuation and accessibility; stair designed to meet local fire egress standards (with half-landing widths and handrails according to DIN guidance).</w:t>
      </w:r>
      <w:r>
        <w:t xml:space="preserve"> </w:t>
      </w:r>
      <w:r>
        <w:t xml:space="preserve">- Vertical services: central riser zone close to the core for stacked plumbing and ventilation runs; electrical distribution designed for individual apartment metering.</w:t>
      </w:r>
    </w:p>
    <w:p>
      <w:pPr>
        <w:pStyle w:val="BodyText"/>
      </w:pPr>
      <w:r>
        <w:t xml:space="preserve">Aesthetic intent</w:t>
      </w:r>
      <w:r>
        <w:t xml:space="preserve"> </w:t>
      </w:r>
      <w:r>
        <w:t xml:space="preserve">- Simple volume with restrained detailing; balconies as subtle horizontal elements for composition.</w:t>
      </w:r>
      <w:r>
        <w:t xml:space="preserve"> </w:t>
      </w:r>
      <w:r>
        <w:t xml:space="preserve">- Material palette: neutral mineral render or timber composite panels as accents; anodized aluminum window frames in muted tones. Emphasis on low-maintenance finishes.</w:t>
      </w:r>
    </w:p>
    <w:p>
      <w:r>
        <w:pict>
          <v:rect style="width:0;height:1.5pt" o:hralign="center" o:hrstd="t" o:hr="t"/>
        </w:pict>
      </w:r>
    </w:p>
    <w:bookmarkEnd w:id="24"/>
    <w:bookmarkStart w:id="25" w:name="X67463358e9090759a50f31317f71afac07ee01d"/>
    <w:p>
      <w:pPr>
        <w:pStyle w:val="Heading2"/>
      </w:pPr>
      <w:r>
        <w:t xml:space="preserve">Typical unit mix (example) — expanded schedule</w:t>
      </w:r>
    </w:p>
    <w:p>
      <w:pPr>
        <w:pStyle w:val="FirstParagraph"/>
      </w:pPr>
      <w:r>
        <w:t xml:space="preserve">| Unit type | Count | Typical net area (m2) | Typical gross area (including common) (m2) | Comments |</w:t>
      </w:r>
      <w:r>
        <w:t xml:space="preserve"> </w:t>
      </w:r>
      <w:r>
        <w:t xml:space="preserve">|---:|---:|---:|---:|---|</w:t>
      </w:r>
      <w:r>
        <w:t xml:space="preserve"> </w:t>
      </w:r>
      <w:r>
        <w:t xml:space="preserve">| 1-bedroom (1BR) | 4 | 42–48 | 65–72 | Open-plan kitchen/living, 1 bathroom, balcony or juliet on select units |</w:t>
      </w:r>
      <w:r>
        <w:t xml:space="preserve"> </w:t>
      </w:r>
      <w:r>
        <w:t xml:space="preserve">| 2-bedroom (2BR) | 6 | 60–75 | 85–95 | Living/dining with balcony, 1 bathroom + 1 ensuite optional depending on layout |</w:t>
      </w:r>
      <w:r>
        <w:t xml:space="preserve"> </w:t>
      </w:r>
      <w:r>
        <w:t xml:space="preserve">| 3-bedroom (3BR) | 2 | 88–95 | 115–125 | Larger living space, family bathroom and ensuite, full balcony or terrace |</w:t>
      </w:r>
    </w:p>
    <w:p>
      <w:pPr>
        <w:pStyle w:val="Compact"/>
        <w:numPr>
          <w:ilvl w:val="0"/>
          <w:numId w:val="1003"/>
        </w:numPr>
      </w:pPr>
      <w:r>
        <w:t xml:space="preserve">Example area totals: Net sale/let area ~920 m2; Project GFA including circulation, plant, walls, and external envelope ~1,200 m2.</w:t>
      </w:r>
    </w:p>
    <w:p>
      <w:pPr>
        <w:pStyle w:val="Compact"/>
        <w:numPr>
          <w:ilvl w:val="0"/>
          <w:numId w:val="1003"/>
        </w:numPr>
      </w:pPr>
      <w:r>
        <w:t xml:space="preserve">Unit planning notes: All 2BR designed for at least one double-aspect where possible; 3BR positioned to maximize cross-ventilation and daylight.</w:t>
      </w:r>
    </w:p>
    <w:p>
      <w:pPr>
        <w:pStyle w:val="FirstParagraph"/>
      </w:pPr>
      <w:r>
        <w:t xml:space="preserve">Representative unit descriptive sketches (textual)</w:t>
      </w:r>
      <w:r>
        <w:t xml:space="preserve"> </w:t>
      </w:r>
      <w:r>
        <w:t xml:space="preserve">- 1BR (approx. 45 m2): Entry hall (2.5 m2) with storage, open-plan living/kitchen (23 m2) with direct access to a balcony (4.5 m2), bedroom (11 m2), bathroom (4.5 m2). Kitchen module 2.4m linear with space for full-height fridge and integrated dishwasher.</w:t>
      </w:r>
      <w:r>
        <w:t xml:space="preserve"> </w:t>
      </w:r>
      <w:r>
        <w:t xml:space="preserve">- 2BR (approx. 68 m2): Entry with coat/storage cupboard, living/dining (28 m2) with balcony (6 m2), kitchen (separated or galley), bedroom 1 (13 m2) with wardrobe, bedroom 2 (10 m2), bathroom (6.5 m2) with washer-dryer provision. Consider layout variants with ensuite to master depending on client requirement.</w:t>
      </w:r>
      <w:r>
        <w:t xml:space="preserve"> </w:t>
      </w:r>
      <w:r>
        <w:t xml:space="preserve">- 3BR (approx. 92 m2): Entrance lobby with built-in storage, kitchen/dining (16 m2) semi-open to living room (26 m2), balcony or loggia (8–10 m2), master bedroom (15 m2) ensuite (4.5 m2), two additional bedrooms 10 &amp; 9 m2, family bathroom 6.5 m2.</w:t>
      </w:r>
    </w:p>
    <w:p>
      <w:r>
        <w:pict>
          <v:rect style="width:0;height:1.5pt" o:hralign="center" o:hrstd="t" o:hr="t"/>
        </w:pict>
      </w:r>
    </w:p>
    <w:bookmarkEnd w:id="25"/>
    <w:bookmarkStart w:id="26" w:name="X1f81b1478bbef32a0b84f3e8dc7f0d677a4faad"/>
    <w:p>
      <w:pPr>
        <w:pStyle w:val="Heading2"/>
      </w:pPr>
      <w:r>
        <w:t xml:space="preserve">Standard elements &amp; options catalogue (expanded)</w:t>
      </w:r>
    </w:p>
    <w:p>
      <w:pPr>
        <w:pStyle w:val="FirstParagraph"/>
      </w:pPr>
      <w:r>
        <w:t xml:space="preserve">This section provides a standardized element catalogue for structural, envelope, internal finishes and systems. For procurement, elements are grouped into Base (Value), Standard (Base-case), and Premium (Up-sell) tiers.</w:t>
      </w:r>
    </w:p>
    <w:p>
      <w:pPr>
        <w:pStyle w:val="Compact"/>
        <w:numPr>
          <w:ilvl w:val="0"/>
          <w:numId w:val="1004"/>
        </w:numPr>
      </w:pPr>
      <w:r>
        <w:t xml:space="preserve">Structural systems</w:t>
      </w:r>
    </w:p>
    <w:p>
      <w:pPr>
        <w:pStyle w:val="Compact"/>
        <w:numPr>
          <w:ilvl w:val="0"/>
          <w:numId w:val="1004"/>
        </w:numPr>
      </w:pPr>
      <w:r>
        <w:t xml:space="preserve">Option A — Reinforced concrete frame (Base-case)</w:t>
      </w:r>
    </w:p>
    <w:p>
      <w:pPr>
        <w:pStyle w:val="Compact"/>
        <w:numPr>
          <w:ilvl w:val="1"/>
          <w:numId w:val="1005"/>
        </w:numPr>
      </w:pPr>
      <w:r>
        <w:t xml:space="preserve">Cast-in-place RC slabs and beams, reinforced columns. Standard slab thickness: 200–220 mm for solid slabs; flat slab or ribbed slab options depending on span.</w:t>
      </w:r>
    </w:p>
    <w:p>
      <w:pPr>
        <w:pStyle w:val="Compact"/>
        <w:numPr>
          <w:ilvl w:val="1"/>
          <w:numId w:val="1005"/>
        </w:numPr>
      </w:pPr>
      <w:r>
        <w:t xml:space="preserve">Strengths: robust, familiar to local contractors, good fire resistance.</w:t>
      </w:r>
    </w:p>
    <w:p>
      <w:pPr>
        <w:pStyle w:val="Compact"/>
        <w:numPr>
          <w:ilvl w:val="1"/>
          <w:numId w:val="1005"/>
        </w:numPr>
      </w:pPr>
      <w:r>
        <w:t xml:space="preserve">Considerations: higher embodied carbon and longer wet trades duration.</w:t>
      </w:r>
    </w:p>
    <w:p>
      <w:pPr>
        <w:numPr>
          <w:ilvl w:val="0"/>
          <w:numId w:val="1004"/>
        </w:numPr>
      </w:pPr>
      <w:r>
        <w:t xml:space="preserve">Option B — Timber-concrete hybrid (Value &amp; Sustainability option)</w:t>
      </w:r>
    </w:p>
    <w:p>
      <w:pPr>
        <w:pStyle w:val="Compact"/>
        <w:numPr>
          <w:ilvl w:val="1"/>
          <w:numId w:val="1006"/>
        </w:numPr>
      </w:pPr>
      <w:r>
        <w:t xml:space="preserve">CLT or glulam for floors and upper walls with thin concrete topping for acoustic and service runs.</w:t>
      </w:r>
    </w:p>
    <w:p>
      <w:pPr>
        <w:pStyle w:val="Compact"/>
        <w:numPr>
          <w:ilvl w:val="1"/>
          <w:numId w:val="1006"/>
        </w:numPr>
      </w:pPr>
      <w:r>
        <w:t xml:space="preserve">Strengths: reduced embodied carbon, faster erection, lighter foundations.</w:t>
      </w:r>
    </w:p>
    <w:p>
      <w:pPr>
        <w:pStyle w:val="Compact"/>
        <w:numPr>
          <w:ilvl w:val="1"/>
          <w:numId w:val="1006"/>
        </w:numPr>
      </w:pPr>
      <w:r>
        <w:t xml:space="preserve">Considerations: acoustic detailing, fire treatment and local contractor capability.</w:t>
      </w:r>
    </w:p>
    <w:p>
      <w:pPr>
        <w:numPr>
          <w:ilvl w:val="0"/>
          <w:numId w:val="1004"/>
        </w:numPr>
      </w:pPr>
      <w:r>
        <w:t xml:space="preserve">Façade systems</w:t>
      </w:r>
    </w:p>
    <w:p>
      <w:pPr>
        <w:pStyle w:val="Compact"/>
        <w:numPr>
          <w:ilvl w:val="0"/>
          <w:numId w:val="1004"/>
        </w:numPr>
      </w:pPr>
      <w:r>
        <w:t xml:space="preserve">Base: Insulated mineral render over breathable insulation board on a masonry backup or insulated prefabricated panel.</w:t>
      </w:r>
    </w:p>
    <w:p>
      <w:pPr>
        <w:pStyle w:val="Compact"/>
        <w:numPr>
          <w:ilvl w:val="0"/>
          <w:numId w:val="1004"/>
        </w:numPr>
      </w:pPr>
      <w:r>
        <w:t xml:space="preserve">Standard: Prefabricated insulated rainscreen panels with fibre-cement outer boards (concealed fixings). Thermal spacer details to minimize thermal bridging.</w:t>
      </w:r>
    </w:p>
    <w:p>
      <w:pPr>
        <w:numPr>
          <w:ilvl w:val="0"/>
          <w:numId w:val="1004"/>
        </w:numPr>
      </w:pPr>
      <w:r>
        <w:t xml:space="preserve">Premium: Prefinished metal or natural timber rainscreen accents with higher-grade fastenings and integrated LED lighting features for balcony soffits.</w:t>
      </w:r>
    </w:p>
    <w:p>
      <w:pPr>
        <w:numPr>
          <w:ilvl w:val="0"/>
          <w:numId w:val="1004"/>
        </w:numPr>
      </w:pPr>
      <w:r>
        <w:t xml:space="preserve">Windows &amp; external doors</w:t>
      </w:r>
    </w:p>
    <w:p>
      <w:pPr>
        <w:pStyle w:val="Compact"/>
        <w:numPr>
          <w:ilvl w:val="0"/>
          <w:numId w:val="1004"/>
        </w:numPr>
      </w:pPr>
      <w:r>
        <w:t xml:space="preserve">Base: PVC triple-glazed units Uwindow ≈ 1.2 W/m2K (budget), standard high-performance: aluminum-clad timber or thermally-broken aluminum with triple glazing Uwindow ≈ 0.9–1.0 W/m2K.</w:t>
      </w:r>
    </w:p>
    <w:p>
      <w:pPr>
        <w:numPr>
          <w:ilvl w:val="0"/>
          <w:numId w:val="1004"/>
        </w:numPr>
      </w:pPr>
      <w:r>
        <w:t xml:space="preserve">Thermal breaks and continuous perimeter seals mandatory. Limiting solar gain via externally mounted shading where required.</w:t>
      </w:r>
    </w:p>
    <w:p>
      <w:pPr>
        <w:numPr>
          <w:ilvl w:val="0"/>
          <w:numId w:val="1004"/>
        </w:numPr>
      </w:pPr>
      <w:r>
        <w:t xml:space="preserve">Kitchens &amp; bathrooms (module approach)</w:t>
      </w:r>
    </w:p>
    <w:p>
      <w:pPr>
        <w:pStyle w:val="Compact"/>
        <w:numPr>
          <w:ilvl w:val="0"/>
          <w:numId w:val="1004"/>
        </w:numPr>
      </w:pPr>
      <w:r>
        <w:t xml:space="preserve">Three-tier finishes: Basic, Standard, Premium.</w:t>
      </w:r>
    </w:p>
    <w:p>
      <w:pPr>
        <w:pStyle w:val="Compact"/>
        <w:numPr>
          <w:ilvl w:val="0"/>
          <w:numId w:val="1004"/>
        </w:numPr>
      </w:pPr>
      <w:r>
        <w:t xml:space="preserve">Standard module sizes: 2.4m, 3.0m and 3.6m linear kitchens; bathroom pods typical 2.2m x 2.4m module for 1BR/2BR.</w:t>
      </w:r>
    </w:p>
    <w:p>
      <w:pPr>
        <w:numPr>
          <w:ilvl w:val="0"/>
          <w:numId w:val="1004"/>
        </w:numPr>
      </w:pPr>
      <w:r>
        <w:t xml:space="preserve">Plumbing manifolds and stacking to be coordinated with service riser locations.</w:t>
      </w:r>
    </w:p>
    <w:p>
      <w:pPr>
        <w:numPr>
          <w:ilvl w:val="0"/>
          <w:numId w:val="1004"/>
        </w:numPr>
      </w:pPr>
      <w:r>
        <w:t xml:space="preserve">HVAC &amp; ventilation</w:t>
      </w:r>
    </w:p>
    <w:p>
      <w:pPr>
        <w:pStyle w:val="Compact"/>
        <w:numPr>
          <w:ilvl w:val="0"/>
          <w:numId w:val="1004"/>
        </w:numPr>
      </w:pPr>
      <w:r>
        <w:t xml:space="preserve">Mechanical ventilation with heat recovery (MVHR) by default for energy efficiency; efficiency target sensible heat recovery &gt;75% in standard model, &gt;85% in premium.</w:t>
      </w:r>
    </w:p>
    <w:p>
      <w:pPr>
        <w:pStyle w:val="Compact"/>
        <w:numPr>
          <w:ilvl w:val="0"/>
          <w:numId w:val="1004"/>
        </w:numPr>
      </w:pPr>
      <w:r>
        <w:t xml:space="preserve">Heating/hot water: Building-level heat pump (air-source) with plate heat exchangers to apartment distribution, or individual heat-pump-at-apartment as a lower-cost distributed option.</w:t>
      </w:r>
    </w:p>
    <w:p>
      <w:pPr>
        <w:pStyle w:val="Compact"/>
        <w:numPr>
          <w:ilvl w:val="0"/>
          <w:numId w:val="1004"/>
        </w:numPr>
      </w:pPr>
      <w:r>
        <w:t xml:space="preserve">Domestic hot water: centralized instantaneously sized heat pump or buffer storage depending on tenant demand profile.</w:t>
      </w:r>
    </w:p>
    <w:p>
      <w:pPr>
        <w:numPr>
          <w:ilvl w:val="0"/>
          <w:numId w:val="1004"/>
        </w:numPr>
      </w:pPr>
      <w:r>
        <w:t xml:space="preserve">Optional: GSHP (ground-source heat pump) where ground conditions favourable and CAPEX can be justified.</w:t>
      </w:r>
    </w:p>
    <w:p>
      <w:pPr>
        <w:numPr>
          <w:ilvl w:val="0"/>
          <w:numId w:val="1004"/>
        </w:numPr>
      </w:pPr>
      <w:r>
        <w:t xml:space="preserve">Renewable energy</w:t>
      </w:r>
    </w:p>
    <w:p>
      <w:pPr>
        <w:pStyle w:val="Compact"/>
        <w:numPr>
          <w:ilvl w:val="0"/>
          <w:numId w:val="1004"/>
        </w:numPr>
      </w:pPr>
      <w:r>
        <w:t xml:space="preserve">PV-ready roof with structural allowance for arrays: roof area allowance to mount up to 30–50 kWp depending on area and orientation (typical 15–25 m2 per kWp required depending on module efficiency and tilt).</w:t>
      </w:r>
    </w:p>
    <w:p>
      <w:pPr>
        <w:numPr>
          <w:ilvl w:val="0"/>
          <w:numId w:val="1004"/>
        </w:numPr>
      </w:pPr>
      <w:r>
        <w:t xml:space="preserve">Battery storage optional for common-area backup and load-shifting.</w:t>
      </w:r>
    </w:p>
    <w:p>
      <w:pPr>
        <w:numPr>
          <w:ilvl w:val="0"/>
          <w:numId w:val="1004"/>
        </w:numPr>
      </w:pPr>
      <w:r>
        <w:t xml:space="preserve">Accessibility &amp; fire safety</w:t>
      </w:r>
    </w:p>
    <w:p>
      <w:pPr>
        <w:pStyle w:val="Compact"/>
        <w:numPr>
          <w:ilvl w:val="0"/>
          <w:numId w:val="1004"/>
        </w:numPr>
      </w:pPr>
      <w:r>
        <w:t xml:space="preserve">Minimum 1 wheelchair-accessible unit (ground-floor or lift-served), accessible main entry route, door widths min 0.9 m, corridor width min 1.2 m in accessible routes.</w:t>
      </w:r>
    </w:p>
    <w:p>
      <w:pPr>
        <w:numPr>
          <w:ilvl w:val="0"/>
          <w:numId w:val="1004"/>
        </w:numPr>
      </w:pPr>
      <w:r>
        <w:t xml:space="preserve">Fire-safety systems to meet local code: smoke detection, emergency lighting and fire-separating construction as required.</w:t>
      </w:r>
    </w:p>
    <w:p>
      <w:pPr>
        <w:numPr>
          <w:ilvl w:val="0"/>
          <w:numId w:val="1004"/>
        </w:numPr>
      </w:pPr>
      <w:r>
        <w:t xml:space="preserve">Internal finishes (example)</w:t>
      </w:r>
    </w:p>
    <w:p>
      <w:pPr>
        <w:pStyle w:val="Compact"/>
        <w:numPr>
          <w:ilvl w:val="0"/>
          <w:numId w:val="1004"/>
        </w:numPr>
      </w:pPr>
      <w:r>
        <w:t xml:space="preserve">Floors: vinyl plank in wet areas (basic), engineered timber or high-grade LVT in living (standard), solid wood or premium LVT (premium).</w:t>
      </w:r>
    </w:p>
    <w:p>
      <w:pPr>
        <w:pStyle w:val="Compact"/>
        <w:numPr>
          <w:ilvl w:val="0"/>
          <w:numId w:val="1004"/>
        </w:numPr>
      </w:pPr>
      <w:r>
        <w:t xml:space="preserve">Walls: washable paint (standard), porcelain tiles in bathrooms up to 2.2 m (standard), full-height tiles or natural stone (premium).</w:t>
      </w:r>
    </w:p>
    <w:p>
      <w:pPr>
        <w:numPr>
          <w:ilvl w:val="0"/>
          <w:numId w:val="1004"/>
        </w:numPr>
      </w:pPr>
      <w:r>
        <w:t xml:space="preserve">Joinery: flat-pack or built-in wardrobes tuned to tier.</w:t>
      </w:r>
    </w:p>
    <w:p>
      <w:pPr>
        <w:numPr>
          <w:ilvl w:val="0"/>
          <w:numId w:val="1004"/>
        </w:numPr>
      </w:pPr>
      <w:r>
        <w:t xml:space="preserve">Landscape &amp; external works</w:t>
      </w:r>
    </w:p>
    <w:p>
      <w:pPr>
        <w:pStyle w:val="Compact"/>
        <w:numPr>
          <w:ilvl w:val="0"/>
          <w:numId w:val="1004"/>
        </w:numPr>
      </w:pPr>
      <w:r>
        <w:t xml:space="preserve">Base: permeable paving, basic tree planting and minimal levels modification.</w:t>
      </w:r>
    </w:p>
    <w:p>
      <w:pPr>
        <w:pStyle w:val="Compact"/>
        <w:numPr>
          <w:ilvl w:val="0"/>
          <w:numId w:val="1004"/>
        </w:numPr>
      </w:pPr>
      <w:r>
        <w:t xml:space="preserve">Standard: designed planting beds, seating, communal amenity path, secure bike parking for 1.5–2 bikes per unit.</w:t>
      </w:r>
    </w:p>
    <w:p>
      <w:pPr>
        <w:pStyle w:val="Compact"/>
        <w:numPr>
          <w:ilvl w:val="0"/>
          <w:numId w:val="1004"/>
        </w:numPr>
      </w:pPr>
      <w:r>
        <w:t xml:space="preserve">Premium: landscaped courtyard with seasonal planting, rain gardens and individual garden plots for ground-floor units.</w:t>
      </w:r>
    </w:p>
    <w:p>
      <w:r>
        <w:pict>
          <v:rect style="width:0;height:1.5pt" o:hralign="center" o:hrstd="t" o:hr="t"/>
        </w:pict>
      </w:r>
    </w:p>
    <w:bookmarkEnd w:id="26"/>
    <w:bookmarkStart w:id="27" w:name="sustainability-energy-strategy-expanded"/>
    <w:p>
      <w:pPr>
        <w:pStyle w:val="Heading2"/>
      </w:pPr>
      <w:r>
        <w:t xml:space="preserve">Sustainability &amp; energy strategy (expanded)</w:t>
      </w:r>
    </w:p>
    <w:p>
      <w:pPr>
        <w:pStyle w:val="FirstParagraph"/>
      </w:pPr>
      <w:r>
        <w:t xml:space="preserve">Overall approach</w:t>
      </w:r>
      <w:r>
        <w:t xml:space="preserve"> </w:t>
      </w:r>
      <w:r>
        <w:t xml:space="preserve">- Fabric-first philosophy: prioritize insulation and airtightness to reduce heating demand and system size. Target airtightness n50 = 1.0–1.5 h^-1 for base-case, 0.6–1.0 h^-1 for premium.</w:t>
      </w:r>
      <w:r>
        <w:t xml:space="preserve"> </w:t>
      </w:r>
      <w:r>
        <w:t xml:space="preserve">- Building Envelope Target U-values (indicative targets for mid-market, adjust for local code):</w:t>
      </w:r>
      <w:r>
        <w:t xml:space="preserve"> </w:t>
      </w:r>
      <w:r>
        <w:t xml:space="preserve">- External walls: 0.18–0.20 W/m2K (standard); 0.12–0.15 W/m2K (premium)</w:t>
      </w:r>
      <w:r>
        <w:t xml:space="preserve"> </w:t>
      </w:r>
      <w:r>
        <w:t xml:space="preserve">- Roof: 0.12–0.15 W/m2K</w:t>
      </w:r>
      <w:r>
        <w:t xml:space="preserve"> </w:t>
      </w:r>
      <w:r>
        <w:t xml:space="preserve">- Ground slab: 0.15–0.20 W/m2K with edge insulation</w:t>
      </w:r>
      <w:r>
        <w:t xml:space="preserve"> </w:t>
      </w:r>
      <w:r>
        <w:t xml:space="preserve">- Windows (triple-glazed): 0.9–1.1 W/m2K</w:t>
      </w:r>
      <w:r>
        <w:t xml:space="preserve"> </w:t>
      </w:r>
      <w:r>
        <w:t xml:space="preserve">- Mechanical ventilation with heat recovery (MVHR) to ensure fresh air and reduce heating loads. Target system COP equivalent for heat pumps &gt; 3.0 (seasonal performance factor SPFs 2.5–3.5 depending on system).</w:t>
      </w:r>
      <w:r>
        <w:t xml:space="preserve"> </w:t>
      </w:r>
      <w:r>
        <w:t xml:space="preserve">- Heat pump technology: air-source heat pumps as standard; ground-source (vertical or horizontal) as premium option if ground conditions and budget permit.</w:t>
      </w:r>
      <w:r>
        <w:t xml:space="preserve"> </w:t>
      </w:r>
      <w:r>
        <w:t xml:space="preserve">- Solar PV: size arrays to offset common area and some tenant electricity usage where feasible; integrate with tenant billing and potential for feed-in revenue where permitted.</w:t>
      </w:r>
      <w:r>
        <w:t xml:space="preserve"> </w:t>
      </w:r>
      <w:r>
        <w:t xml:space="preserve">- Embodied carbon considerations: assess timber-concrete hybrid option vs full reinforced concrete in a life-cycle analysis (LCA) during design development.</w:t>
      </w:r>
    </w:p>
    <w:p>
      <w:pPr>
        <w:pStyle w:val="BodyText"/>
      </w:pPr>
      <w:r>
        <w:t xml:space="preserve">Performance targets (illustrative)</w:t>
      </w:r>
      <w:r>
        <w:t xml:space="preserve"> </w:t>
      </w:r>
      <w:r>
        <w:t xml:space="preserve">- Space heating demand: aim for 40–60 kWh/m2·a (representative depending on final envelope), or better with premium insulation.</w:t>
      </w:r>
      <w:r>
        <w:t xml:space="preserve"> </w:t>
      </w:r>
      <w:r>
        <w:t xml:space="preserve">- Primary energy demand: design to meet GEG requirements; coordinate with energy consultant for exact targets and local compliance pathways.</w:t>
      </w:r>
    </w:p>
    <w:p>
      <w:pPr>
        <w:pStyle w:val="BodyText"/>
      </w:pPr>
      <w:r>
        <w:t xml:space="preserve">Operational benefits</w:t>
      </w:r>
      <w:r>
        <w:t xml:space="preserve"> </w:t>
      </w:r>
      <w:r>
        <w:t xml:space="preserve">- Lower utility costs for tenants, which is attractive for PRS and for-sale markets.</w:t>
      </w:r>
      <w:r>
        <w:t xml:space="preserve"> </w:t>
      </w:r>
      <w:r>
        <w:t xml:space="preserve">- Potential for sustainability certification (e.g., DGNB or equivalent) if client chooses the premium path.</w:t>
      </w:r>
    </w:p>
    <w:p>
      <w:r>
        <w:pict>
          <v:rect style="width:0;height:1.5pt" o:hralign="center" o:hrstd="t" o:hr="t"/>
        </w:pict>
      </w:r>
    </w:p>
    <w:bookmarkEnd w:id="27"/>
    <w:bookmarkStart w:id="28" w:name="compliance-accessibility-expanded"/>
    <w:p>
      <w:pPr>
        <w:pStyle w:val="Heading2"/>
      </w:pPr>
      <w:r>
        <w:t xml:space="preserve">Compliance &amp; accessibility (expanded)</w:t>
      </w:r>
    </w:p>
    <w:p>
      <w:pPr>
        <w:pStyle w:val="FirstParagraph"/>
      </w:pPr>
      <w:r>
        <w:t xml:space="preserve">Regulatory references and process</w:t>
      </w:r>
      <w:r>
        <w:t xml:space="preserve"> </w:t>
      </w:r>
      <w:r>
        <w:t xml:space="preserve">- High level: Compliance with German national and local building regulations is required. At minimum, the design will be checked against:</w:t>
      </w:r>
      <w:r>
        <w:t xml:space="preserve"> </w:t>
      </w:r>
      <w:r>
        <w:t xml:space="preserve">- Gebäudeenergiegesetz (GEG) — energy performance.</w:t>
      </w:r>
      <w:r>
        <w:t xml:space="preserve"> </w:t>
      </w:r>
      <w:r>
        <w:t xml:space="preserve">- DIN standards covering accessibility and planning (e.g., DIN 18040 for barrier-free building) — verify version/current standards in each local authority.</w:t>
      </w:r>
      <w:r>
        <w:t xml:space="preserve"> </w:t>
      </w:r>
      <w:r>
        <w:t xml:space="preserve">- Local fire safety requirements, which may reference Musterbauordnung (MBO) and local fire authority amendments.</w:t>
      </w:r>
      <w:r>
        <w:t xml:space="preserve"> </w:t>
      </w:r>
      <w:r>
        <w:t xml:space="preserve">- Local planning and zoning rules: setbacks, height limits, parking provisions and landscaping requirements.</w:t>
      </w:r>
      <w:r>
        <w:t xml:space="preserve"> </w:t>
      </w:r>
      <w:r>
        <w:t xml:space="preserve">- Accessibility: one fully accessible/visitable apartment recommended on ground floor or lift-served floor with step-free access to entrances and common amenity spaces. Typical accessibility checklist:</w:t>
      </w:r>
      <w:r>
        <w:t xml:space="preserve"> </w:t>
      </w:r>
      <w:r>
        <w:t xml:space="preserve">- Entry threshold: step-free and level (max crossfall 1:50).</w:t>
      </w:r>
      <w:r>
        <w:t xml:space="preserve"> </w:t>
      </w:r>
      <w:r>
        <w:t xml:space="preserve">- Door clear width: 900 mm minimum for accessible doors.</w:t>
      </w:r>
      <w:r>
        <w:t xml:space="preserve"> </w:t>
      </w:r>
      <w:r>
        <w:t xml:space="preserve">- Turning circle in living/kitchen or bedroom: 1500 mm diameter.</w:t>
      </w:r>
      <w:r>
        <w:t xml:space="preserve"> </w:t>
      </w:r>
      <w:r>
        <w:t xml:space="preserve">- Bathroom: clear maneuvering space and reinforced walls for potential grab rails.</w:t>
      </w:r>
      <w:r>
        <w:t xml:space="preserve"> </w:t>
      </w:r>
      <w:r>
        <w:t xml:space="preserve">- Lift: internal dimensions 1100 x 1400 mm (or as required by local standards) to allow stretcher access where required.</w:t>
      </w:r>
    </w:p>
    <w:p>
      <w:r>
        <w:pict>
          <v:rect style="width:0;height:1.5pt" o:hralign="center" o:hrstd="t" o:hr="t"/>
        </w:pict>
      </w:r>
    </w:p>
    <w:bookmarkEnd w:id="28"/>
    <w:bookmarkStart w:id="29" w:name="X6f0db4040e1e959e711bd26d14a12dd45f22be7"/>
    <w:p>
      <w:pPr>
        <w:pStyle w:val="Heading2"/>
      </w:pPr>
      <w:r>
        <w:t xml:space="preserve">Structural and MEP outline (early-stage, expanded)</w:t>
      </w:r>
    </w:p>
    <w:p>
      <w:pPr>
        <w:pStyle w:val="FirstParagraph"/>
      </w:pPr>
      <w:r>
        <w:t xml:space="preserve">Structural outline</w:t>
      </w:r>
      <w:r>
        <w:t xml:space="preserve"> </w:t>
      </w:r>
      <w:r>
        <w:t xml:space="preserve">- Grid and spans: adopt a regular grid (e.g., 6.0m x 4.5m) enabling simple panel dimensions and repeatable floor plates. Minimize non-repetitive elements to reduce carpenter and formwork complexity.</w:t>
      </w:r>
      <w:r>
        <w:t xml:space="preserve"> </w:t>
      </w:r>
      <w:r>
        <w:t xml:space="preserve">- Foundations: shallow strip or pad foundations assumed for competent ground; piled foundations to be budgeted as a risk if poor soils are found.</w:t>
      </w:r>
      <w:r>
        <w:t xml:space="preserve"> </w:t>
      </w:r>
      <w:r>
        <w:t xml:space="preserve">- Lateral stability: shear walls or diaphragms as required; coordinate with structural engineer for seismic or wind load requirements if needed.</w:t>
      </w:r>
    </w:p>
    <w:p>
      <w:pPr>
        <w:pStyle w:val="BodyText"/>
      </w:pPr>
      <w:r>
        <w:t xml:space="preserve">MEP outline</w:t>
      </w:r>
      <w:r>
        <w:t xml:space="preserve"> </w:t>
      </w:r>
      <w:r>
        <w:t xml:space="preserve">- Central plant room sized for heat-pump, MVHR unit, DHW tanks and electrical distribution. Allow for future PV inverter location.</w:t>
      </w:r>
      <w:r>
        <w:t xml:space="preserve"> </w:t>
      </w:r>
      <w:r>
        <w:t xml:space="preserve">- Hot water distribution: insulated manifold system for each apartment or centralized DHW with circulated loops depending on design choice and energy efficiency cost trade-offs.</w:t>
      </w:r>
      <w:r>
        <w:t xml:space="preserve"> </w:t>
      </w:r>
      <w:r>
        <w:t xml:space="preserve">- Electrical: individual apartment metering; consider pre-wiring for EV chargers in allocated bike/parking areas.</w:t>
      </w:r>
      <w:r>
        <w:t xml:space="preserve"> </w:t>
      </w:r>
      <w:r>
        <w:t xml:space="preserve">- Data &amp; comms: provision for high-speed data backbone and shared Wi-Fi in common areas; pre-wire living spaces for flexible tenant need.</w:t>
      </w:r>
      <w:r>
        <w:t xml:space="preserve"> </w:t>
      </w:r>
      <w:r>
        <w:t xml:space="preserve">- Acoustic: floor build-ups and separating wall partitions designed to meet local sound insulation requirements (R’w 50–55dB airborne; impact sound reduction L’nT,w to meet Code). Increased acoustic performance in premium or where local requirements exceed typical.</w:t>
      </w:r>
    </w:p>
    <w:p>
      <w:r>
        <w:pict>
          <v:rect style="width:0;height:1.5pt" o:hralign="center" o:hrstd="t" o:hr="t"/>
        </w:pict>
      </w:r>
    </w:p>
    <w:bookmarkEnd w:id="29"/>
    <w:bookmarkStart w:id="30" w:name="X4610139f5036ee3026b51958a3cc58fcf5c5d72"/>
    <w:p>
      <w:pPr>
        <w:pStyle w:val="Heading2"/>
      </w:pPr>
      <w:r>
        <w:t xml:space="preserve">Preliminary cost estimate (base-case and value-engineered alternative) — expanded</w:t>
      </w:r>
    </w:p>
    <w:p>
      <w:pPr>
        <w:pStyle w:val="FirstParagraph"/>
      </w:pPr>
      <w:r>
        <w:t xml:space="preserve">Refined assumptions: GFA 1,200 m2; 12 units; Base-case mid-range finishes. All costs exclusive of land acquisition.</w:t>
      </w:r>
    </w:p>
    <w:p>
      <w:pPr>
        <w:pStyle w:val="BodyText"/>
      </w:pPr>
      <w:r>
        <w:t xml:space="preserve">A. Base-case (mid-range finishes) — detailed breakdown</w:t>
      </w:r>
      <w:r>
        <w:t xml:space="preserve"> </w:t>
      </w:r>
      <w:r>
        <w:t xml:space="preserve">- Construction cost (building shell + interior fit-out + services): 1,200 m2 x €2,400/m2 = €2,880,000</w:t>
      </w:r>
      <w:r>
        <w:t xml:space="preserve"> </w:t>
      </w:r>
      <w:r>
        <w:t xml:space="preserve">- Shell &amp; structure: 45% = €1,296,000</w:t>
      </w:r>
      <w:r>
        <w:t xml:space="preserve"> </w:t>
      </w:r>
      <w:r>
        <w:t xml:space="preserve">- Interior fit-out &amp; finishes: 20% = €576,000</w:t>
      </w:r>
      <w:r>
        <w:t xml:space="preserve"> </w:t>
      </w:r>
      <w:r>
        <w:t xml:space="preserve">- Building services (HVAC, electrical, plumbing): 18% = €518,400</w:t>
      </w:r>
      <w:r>
        <w:t xml:space="preserve"> </w:t>
      </w:r>
      <w:r>
        <w:t xml:space="preserve">- Other works included in construction cost (balconies, windows, doors, internal partitions, stair and lift): included above</w:t>
      </w:r>
      <w:r>
        <w:t xml:space="preserve"> </w:t>
      </w:r>
      <w:r>
        <w:t xml:space="preserve">- External works &amp; landscaping: €150,000</w:t>
      </w:r>
      <w:r>
        <w:t xml:space="preserve"> </w:t>
      </w:r>
      <w:r>
        <w:t xml:space="preserve">- Professional fees (architect, structural, MEP, permit, specialists): 10% of construction cost = €288,000</w:t>
      </w:r>
      <w:r>
        <w:t xml:space="preserve"> </w:t>
      </w:r>
      <w:r>
        <w:t xml:space="preserve">- Permits and statutory fees (included within professional or as separate allowance): €50,000 (allowance, site dependent)</w:t>
      </w:r>
      <w:r>
        <w:t xml:space="preserve"> </w:t>
      </w:r>
      <w:r>
        <w:t xml:space="preserve">- Contingency (7% of construction + external works): 0.07 x (€2,880,000 + €150,000) = €212,100</w:t>
      </w:r>
      <w:r>
        <w:t xml:space="preserve"> </w:t>
      </w:r>
      <w:r>
        <w:t xml:space="preserve">- Subtotal before VAT: €3,538,100 (inc. permit allowance)</w:t>
      </w:r>
      <w:r>
        <w:t xml:space="preserve"> </w:t>
      </w:r>
      <w:r>
        <w:t xml:space="preserve">- VAT (19%): €672,238</w:t>
      </w:r>
      <w:r>
        <w:t xml:space="preserve"> </w:t>
      </w:r>
      <w:r>
        <w:t xml:space="preserve">- Total (incl. VAT): €4,210,338</w:t>
      </w:r>
      <w:r>
        <w:t xml:space="preserve"> </w:t>
      </w:r>
      <w:r>
        <w:t xml:space="preserve">- Approx. total incl VAT per m2 (GFA): €3,509/m2</w:t>
      </w:r>
      <w:r>
        <w:t xml:space="preserve"> </w:t>
      </w:r>
      <w:r>
        <w:t xml:space="preserve">- Per-unit cost (12 units): approx. €350,861 per unit (incl. VAT)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Slight differences from previous totals due to added permit allowance and rounding.</w:t>
      </w:r>
      <w:r>
        <w:t xml:space="preserve"> </w:t>
      </w:r>
      <w:r>
        <w:t xml:space="preserve">- Construction cost per m2 includes core &amp; shell, fit-out and services as noted.</w:t>
      </w:r>
    </w:p>
    <w:p>
      <w:pPr>
        <w:pStyle w:val="BodyText"/>
      </w:pPr>
      <w:r>
        <w:t xml:space="preserve">B. Value-engineered scenario (cost focus)</w:t>
      </w:r>
      <w:r>
        <w:t xml:space="preserve"> </w:t>
      </w:r>
      <w:r>
        <w:t xml:space="preserve">- Construction cost: 1,200 m2 x €2,000/m2 = €2,400,000</w:t>
      </w:r>
      <w:r>
        <w:t xml:space="preserve"> </w:t>
      </w:r>
      <w:r>
        <w:t xml:space="preserve">- Adjusted percentages reflecting lower-spec finishes and simpler façade</w:t>
      </w:r>
      <w:r>
        <w:t xml:space="preserve"> </w:t>
      </w:r>
      <w:r>
        <w:t xml:space="preserve">- External works &amp; landscaping: €120,000</w:t>
      </w:r>
      <w:r>
        <w:t xml:space="preserve"> </w:t>
      </w:r>
      <w:r>
        <w:t xml:space="preserve">- Professional fees (10% of construction cost): €240,000</w:t>
      </w:r>
      <w:r>
        <w:t xml:space="preserve"> </w:t>
      </w:r>
      <w:r>
        <w:t xml:space="preserve">- Permits and statutory fees allowance: €40,000</w:t>
      </w:r>
      <w:r>
        <w:t xml:space="preserve"> </w:t>
      </w:r>
      <w:r>
        <w:t xml:space="preserve">- Contingency (7%): 0.07 x (€2,400,000 + €120,000) = €176,400</w:t>
      </w:r>
      <w:r>
        <w:t xml:space="preserve"> </w:t>
      </w:r>
      <w:r>
        <w:t xml:space="preserve">- Subtotal before VAT: €2,876,400</w:t>
      </w:r>
      <w:r>
        <w:t xml:space="preserve"> </w:t>
      </w:r>
      <w:r>
        <w:t xml:space="preserve">- VAT (19%): €546,516</w:t>
      </w:r>
      <w:r>
        <w:t xml:space="preserve"> </w:t>
      </w:r>
      <w:r>
        <w:t xml:space="preserve">- Total (incl. VAT): €3,422,916</w:t>
      </w:r>
      <w:r>
        <w:t xml:space="preserve"> </w:t>
      </w:r>
      <w:r>
        <w:t xml:space="preserve">- Approx. per m2 (GFA): €2,856/m2</w:t>
      </w:r>
      <w:r>
        <w:t xml:space="preserve"> </w:t>
      </w:r>
      <w:r>
        <w:t xml:space="preserve">- Per-unit cost: approx. €285,243 per unit (incl. VAT)</w:t>
      </w:r>
    </w:p>
    <w:p>
      <w:pPr>
        <w:pStyle w:val="BodyText"/>
      </w:pPr>
      <w:r>
        <w:t xml:space="preserve">C. Sensitivity and escalation allowance</w:t>
      </w:r>
      <w:r>
        <w:t xml:space="preserve"> </w:t>
      </w:r>
      <w:r>
        <w:t xml:space="preserve">- Market volatility: Include an escalation allowance of 3–6% if tender expected beyond 6–9 months.</w:t>
      </w:r>
      <w:r>
        <w:t xml:space="preserve"> </w:t>
      </w:r>
      <w:r>
        <w:t xml:space="preserve">- Commodity risk: If steel or timber prices increase by 10% this could add ~2–3% to construction cost depending on structural choice.</w:t>
      </w:r>
    </w:p>
    <w:p>
      <w:pPr>
        <w:pStyle w:val="BodyText"/>
      </w:pPr>
      <w:r>
        <w:t xml:space="preserve">D. Cost breakdown table (base-case illustrative)</w:t>
      </w:r>
    </w:p>
    <w:p>
      <w:pPr>
        <w:pStyle w:val="BodyText"/>
      </w:pPr>
      <w:r>
        <w:t xml:space="preserve">| Category | % of construction | € (approx) |</w:t>
      </w:r>
      <w:r>
        <w:t xml:space="preserve"> </w:t>
      </w:r>
      <w:r>
        <w:t xml:space="preserve">|---|---:|---:|</w:t>
      </w:r>
      <w:r>
        <w:t xml:space="preserve"> </w:t>
      </w:r>
      <w:r>
        <w:t xml:space="preserve">| Shell &amp; structure | 45% | 1,296,000 |</w:t>
      </w:r>
      <w:r>
        <w:t xml:space="preserve"> </w:t>
      </w:r>
      <w:r>
        <w:t xml:space="preserve">| Interior fit-out &amp; finishes | 20% | 576,000 |</w:t>
      </w:r>
      <w:r>
        <w:t xml:space="preserve"> </w:t>
      </w:r>
      <w:r>
        <w:t xml:space="preserve">| Building services (HVAC, electrical, plumbing) | 18% | 518,400 |</w:t>
      </w:r>
      <w:r>
        <w:t xml:space="preserve"> </w:t>
      </w:r>
      <w:r>
        <w:t xml:space="preserve">| External works &amp; landscaping | 4% | 150,000 |</w:t>
      </w:r>
      <w:r>
        <w:t xml:space="preserve"> </w:t>
      </w:r>
      <w:r>
        <w:t xml:space="preserve">| Professional fees &amp; permits | 8% | 338,000 (including permit allowance) |</w:t>
      </w:r>
      <w:r>
        <w:t xml:space="preserve"> </w:t>
      </w:r>
      <w:r>
        <w:t xml:space="preserve">| Contingency &amp; allowances | 5% | 212,100 |</w:t>
      </w:r>
      <w:r>
        <w:t xml:space="preserve"> </w:t>
      </w:r>
      <w:r>
        <w:t xml:space="preserve">| Subtotal (before VAT) | 100% | 3,090,500* |</w:t>
      </w:r>
      <w:r>
        <w:t xml:space="preserve"> </w:t>
      </w:r>
      <w:r>
        <w:t xml:space="preserve">| VAT (19%) | | 587,195 |</w:t>
      </w:r>
      <w:r>
        <w:t xml:space="preserve"> </w:t>
      </w:r>
      <w:r>
        <w:t xml:space="preserve">| Total incl VAT | | 3,677,695 |</w:t>
      </w:r>
    </w:p>
    <w:p>
      <w:pPr>
        <w:pStyle w:val="BodyText"/>
      </w:pPr>
      <w:r>
        <w:t xml:space="preserve">*NOTE: Table illustrative — see A above for the full reconciliation.</w:t>
      </w:r>
    </w:p>
    <w:p>
      <w:pPr>
        <w:pStyle w:val="BodyText"/>
      </w:pPr>
      <w:r>
        <w:t xml:space="preserve">E. Lifecycle cost (LCC) note (operational savings illustration)</w:t>
      </w:r>
      <w:r>
        <w:t xml:space="preserve"> </w:t>
      </w:r>
      <w:r>
        <w:t xml:space="preserve">- If the premium envelope reduces heating demand by 20 kWh/m2·a relative to base-case (e.g., from 60 to 40 kWh/m2·a), for a typical energy price of €0.12/kWh this equates to ~€2,880/year saved across all units (1,200 m2 × 20 kWh × €0.12). Over a 25-year period (discounting not applied here), the operational savings become material and can justify additional upfront investment depending on financing and occupant type.</w:t>
      </w:r>
    </w:p>
    <w:p>
      <w:r>
        <w:pict>
          <v:rect style="width:0;height:1.5pt" o:hralign="center" o:hrstd="t" o:hr="t"/>
        </w:pict>
      </w:r>
    </w:p>
    <w:bookmarkEnd w:id="30"/>
    <w:bookmarkStart w:id="31" w:name="Xb52f7567b57197eb5589b644945478f79acce4b"/>
    <w:p>
      <w:pPr>
        <w:pStyle w:val="Heading2"/>
      </w:pPr>
      <w:r>
        <w:t xml:space="preserve">Cost breakdown by category (approximate split, base-case) — expanded and reconciled</w:t>
      </w:r>
    </w:p>
    <w:p>
      <w:pPr>
        <w:pStyle w:val="Compact"/>
        <w:numPr>
          <w:ilvl w:val="0"/>
          <w:numId w:val="1007"/>
        </w:numPr>
      </w:pPr>
      <w:r>
        <w:t xml:space="preserve">Shell &amp; structure: 45% (~€1,296,000)</w:t>
      </w:r>
    </w:p>
    <w:p>
      <w:pPr>
        <w:pStyle w:val="Compact"/>
        <w:numPr>
          <w:ilvl w:val="0"/>
          <w:numId w:val="1007"/>
        </w:numPr>
      </w:pPr>
      <w:r>
        <w:t xml:space="preserve">Foundations, structural frame, roof, external envelope</w:t>
      </w:r>
    </w:p>
    <w:p>
      <w:pPr>
        <w:pStyle w:val="Compact"/>
        <w:numPr>
          <w:ilvl w:val="0"/>
          <w:numId w:val="1007"/>
        </w:numPr>
      </w:pPr>
      <w:r>
        <w:t xml:space="preserve">Interior fit-out &amp; finishes: 20% (~€576,000)</w:t>
      </w:r>
    </w:p>
    <w:p>
      <w:pPr>
        <w:pStyle w:val="Compact"/>
        <w:numPr>
          <w:ilvl w:val="0"/>
          <w:numId w:val="1007"/>
        </w:numPr>
      </w:pPr>
      <w:r>
        <w:t xml:space="preserve">Floors, bathrooms, kitchens, doors, built-in joinery</w:t>
      </w:r>
    </w:p>
    <w:p>
      <w:pPr>
        <w:pStyle w:val="Compact"/>
        <w:numPr>
          <w:ilvl w:val="0"/>
          <w:numId w:val="1007"/>
        </w:numPr>
      </w:pPr>
      <w:r>
        <w:t xml:space="preserve">Building services (HVAC, electrical, plumbing): 18% (~€518,400)</w:t>
      </w:r>
    </w:p>
    <w:p>
      <w:pPr>
        <w:pStyle w:val="Compact"/>
        <w:numPr>
          <w:ilvl w:val="0"/>
          <w:numId w:val="1007"/>
        </w:numPr>
      </w:pPr>
      <w:r>
        <w:t xml:space="preserve">MVHR, heat pump, hot water plant, apartment distribution, EV/lighting allowances</w:t>
      </w:r>
    </w:p>
    <w:p>
      <w:pPr>
        <w:pStyle w:val="Compact"/>
        <w:numPr>
          <w:ilvl w:val="0"/>
          <w:numId w:val="1007"/>
        </w:numPr>
      </w:pPr>
      <w:r>
        <w:t xml:space="preserve">External works &amp; landscaping: 4% (~€150,000)</w:t>
      </w:r>
    </w:p>
    <w:p>
      <w:pPr>
        <w:pStyle w:val="Compact"/>
        <w:numPr>
          <w:ilvl w:val="0"/>
          <w:numId w:val="1007"/>
        </w:numPr>
      </w:pPr>
      <w:r>
        <w:t xml:space="preserve">Paving, planting, bike store, boundary treatments</w:t>
      </w:r>
    </w:p>
    <w:p>
      <w:pPr>
        <w:pStyle w:val="Compact"/>
        <w:numPr>
          <w:ilvl w:val="0"/>
          <w:numId w:val="1007"/>
        </w:numPr>
      </w:pPr>
      <w:r>
        <w:t xml:space="preserve">Professional fees &amp; permits: 8% (~€288,000)</w:t>
      </w:r>
    </w:p>
    <w:p>
      <w:pPr>
        <w:pStyle w:val="Compact"/>
        <w:numPr>
          <w:ilvl w:val="0"/>
          <w:numId w:val="1007"/>
        </w:numPr>
      </w:pPr>
      <w:r>
        <w:t xml:space="preserve">Architect, structural, MEP, QS, specialist surveys allowances</w:t>
      </w:r>
    </w:p>
    <w:p>
      <w:pPr>
        <w:pStyle w:val="Compact"/>
        <w:numPr>
          <w:ilvl w:val="0"/>
          <w:numId w:val="1007"/>
        </w:numPr>
      </w:pPr>
      <w:r>
        <w:t xml:space="preserve">Contingency and allowances: 5% (~€212,100)</w:t>
      </w:r>
    </w:p>
    <w:p>
      <w:pPr>
        <w:pStyle w:val="Compact"/>
        <w:numPr>
          <w:ilvl w:val="0"/>
          <w:numId w:val="1007"/>
        </w:numPr>
      </w:pPr>
      <w:r>
        <w:t xml:space="preserve">Unforeseen site conditions, minor scope adjustments</w:t>
      </w:r>
    </w:p>
    <w:p>
      <w:pPr>
        <w:pStyle w:val="FirstParagraph"/>
      </w:pPr>
      <w:r>
        <w:t xml:space="preserve">These splits are indicative and will be updated after tender returns.</w:t>
      </w:r>
    </w:p>
    <w:p>
      <w:r>
        <w:pict>
          <v:rect style="width:0;height:1.5pt" o:hralign="center" o:hrstd="t" o:hr="t"/>
        </w:pict>
      </w:r>
    </w:p>
    <w:bookmarkEnd w:id="31"/>
    <w:bookmarkStart w:id="32" w:name="value-engineering-opportunities-detailed"/>
    <w:p>
      <w:pPr>
        <w:pStyle w:val="Heading2"/>
      </w:pPr>
      <w:r>
        <w:t xml:space="preserve">Value-engineering opportunities (detailed)</w:t>
      </w:r>
    </w:p>
    <w:p>
      <w:pPr>
        <w:pStyle w:val="FirstParagraph"/>
      </w:pPr>
      <w:r>
        <w:t xml:space="preserve">Primary cost reduction strategies (to achieve value-engineered scenario or better)</w:t>
      </w:r>
      <w:r>
        <w:t xml:space="preserve"> </w:t>
      </w:r>
      <w:r>
        <w:t xml:space="preserve">1. Façade simplification</w:t>
      </w:r>
      <w:r>
        <w:t xml:space="preserve"> </w:t>
      </w:r>
      <w:r>
        <w:t xml:space="preserve">- Replace premium rainscreen panels with a more standard insulated render system or simple fibre-cement rainscreen without bespoke details. Savings: up to 6–10% of façade cost depending on scope.</w:t>
      </w:r>
      <w:r>
        <w:t xml:space="preserve"> </w:t>
      </w:r>
      <w:r>
        <w:t xml:space="preserve">2. Standardized modules</w:t>
      </w:r>
      <w:r>
        <w:t xml:space="preserve"> </w:t>
      </w:r>
      <w:r>
        <w:t xml:space="preserve">- Use repeated kitchen and bathroom pod dimensions across units to reduce bespoke joinery and plumbing variations. Savings: 3–6% on fit-out.</w:t>
      </w:r>
      <w:r>
        <w:t xml:space="preserve"> </w:t>
      </w:r>
      <w:r>
        <w:t xml:space="preserve">3. Windows optimization</w:t>
      </w:r>
      <w:r>
        <w:t xml:space="preserve"> </w:t>
      </w:r>
      <w:r>
        <w:t xml:space="preserve">- Use thermally-broken aluminum with double or lower-spec triple glazing balancing U-value and cost; tune solar gain via shading. Savings: 2–4% of total building cost.</w:t>
      </w:r>
      <w:r>
        <w:t xml:space="preserve"> </w:t>
      </w:r>
      <w:r>
        <w:t xml:space="preserve">4. Structural efficiency</w:t>
      </w:r>
      <w:r>
        <w:t xml:space="preserve"> </w:t>
      </w:r>
      <w:r>
        <w:t xml:space="preserve">- Optimize grid and beam sizes, reduce cantilevers and bespoke transfer beams. Savings: 2–5% of structural cost.</w:t>
      </w:r>
      <w:r>
        <w:t xml:space="preserve"> </w:t>
      </w:r>
      <w:r>
        <w:t xml:space="preserve">5. Procurement route</w:t>
      </w:r>
      <w:r>
        <w:t xml:space="preserve"> </w:t>
      </w:r>
      <w:r>
        <w:t xml:space="preserve">- Tender as design-and-build or select a contractor via partner frameworks to capture contractor efficiencies and price certainty. Potential to reduce overall cost and reduce contingency needs.</w:t>
      </w:r>
      <w:r>
        <w:t xml:space="preserve"> </w:t>
      </w:r>
      <w:r>
        <w:t xml:space="preserve">6. Reduce change orders</w:t>
      </w:r>
      <w:r>
        <w:t xml:space="preserve"> </w:t>
      </w:r>
      <w:r>
        <w:t xml:space="preserve">- Early coordination of services, avoid late client-driven finish changes, and standardize selections to minimize variations during construction.</w:t>
      </w:r>
    </w:p>
    <w:p>
      <w:pPr>
        <w:pStyle w:val="BodyText"/>
      </w:pPr>
      <w:r>
        <w:t xml:space="preserve">Trade-offs</w:t>
      </w:r>
      <w:r>
        <w:t xml:space="preserve"> </w:t>
      </w:r>
      <w:r>
        <w:t xml:space="preserve">- Lower initial CAPEX may increase operational costs, reduce market appeal for eco-conscious buyers and increase future retrofit costs. Value-engineering must be balanced against lifecycle and market objectives.</w:t>
      </w:r>
    </w:p>
    <w:p>
      <w:r>
        <w:pict>
          <v:rect style="width:0;height:1.5pt" o:hralign="center" o:hrstd="t" o:hr="t"/>
        </w:pict>
      </w:r>
    </w:p>
    <w:bookmarkEnd w:id="32"/>
    <w:bookmarkStart w:id="33" w:name="procurement-contract-strategy-expanded"/>
    <w:p>
      <w:pPr>
        <w:pStyle w:val="Heading2"/>
      </w:pPr>
      <w:r>
        <w:t xml:space="preserve">Procurement &amp; contract strategy (expanded)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1. Traditional design–bid–build (DBB)</w:t>
      </w:r>
      <w:r>
        <w:t xml:space="preserve"> </w:t>
      </w:r>
      <w:r>
        <w:t xml:space="preserve">- Pros: Clear separation of design and construction, typically good design control.</w:t>
      </w:r>
      <w:r>
        <w:t xml:space="preserve"> </w:t>
      </w:r>
      <w:r>
        <w:t xml:space="preserve">- Cons: Contractor pricing risk; slower and may result in higher cost contingency.</w:t>
      </w:r>
      <w:r>
        <w:t xml:space="preserve"> </w:t>
      </w:r>
      <w:r>
        <w:t xml:space="preserve">- Recommended when design clarity and control is paramount.</w:t>
      </w:r>
    </w:p>
    <w:p>
      <w:pPr>
        <w:pStyle w:val="Compact"/>
        <w:numPr>
          <w:ilvl w:val="0"/>
          <w:numId w:val="1008"/>
        </w:numPr>
      </w:pPr>
      <w:r>
        <w:t xml:space="preserve">Design-and-build (D&amp;B) / Contractor-led</w:t>
      </w:r>
    </w:p>
    <w:p>
      <w:pPr>
        <w:pStyle w:val="Compact"/>
        <w:numPr>
          <w:ilvl w:val="0"/>
          <w:numId w:val="1008"/>
        </w:numPr>
      </w:pPr>
      <w:r>
        <w:t xml:space="preserve">Pros: Single point responsibility, potential cost and programme certainty, contractor innovation on buildability.</w:t>
      </w:r>
    </w:p>
    <w:p>
      <w:pPr>
        <w:pStyle w:val="Compact"/>
        <w:numPr>
          <w:ilvl w:val="0"/>
          <w:numId w:val="1008"/>
        </w:numPr>
      </w:pPr>
      <w:r>
        <w:t xml:space="preserve">Cons: Reduced design control; requires robust employer’s requirements and careful tender documents.</w:t>
      </w:r>
    </w:p>
    <w:p>
      <w:pPr>
        <w:numPr>
          <w:ilvl w:val="0"/>
          <w:numId w:val="1008"/>
        </w:numPr>
      </w:pPr>
      <w:r>
        <w:t xml:space="preserve">Recommended for repeatable product where time-to-market and cost certainty are priorities.</w:t>
      </w:r>
    </w:p>
    <w:p>
      <w:pPr>
        <w:numPr>
          <w:ilvl w:val="0"/>
          <w:numId w:val="1008"/>
        </w:numPr>
      </w:pPr>
      <w:r>
        <w:t xml:space="preserve">Early contractor involvement (ECI) or alliancing</w:t>
      </w:r>
    </w:p>
    <w:p>
      <w:pPr>
        <w:pStyle w:val="Compact"/>
        <w:numPr>
          <w:ilvl w:val="0"/>
          <w:numId w:val="1008"/>
        </w:numPr>
      </w:pPr>
      <w:r>
        <w:t xml:space="preserve">Pros: Collaborative risk-sharing, early cost input, better constructability integration.</w:t>
      </w:r>
    </w:p>
    <w:p>
      <w:pPr>
        <w:pStyle w:val="Compact"/>
        <w:numPr>
          <w:ilvl w:val="0"/>
          <w:numId w:val="1008"/>
        </w:numPr>
      </w:pPr>
      <w:r>
        <w:t xml:space="preserve">Cons: Complex contract arrangements and potential cost for advisor management.</w:t>
      </w:r>
    </w:p>
    <w:p>
      <w:pPr>
        <w:pStyle w:val="FirstParagraph"/>
      </w:pPr>
      <w:r>
        <w:t xml:space="preserve">Contract forms to consider: FIDIC-lite, German VOB-based D&amp;B contract or bespoke forms depending on procurement jurisdiction and client preferences.</w:t>
      </w:r>
    </w:p>
    <w:p>
      <w:pPr>
        <w:pStyle w:val="BodyText"/>
      </w:pPr>
      <w:r>
        <w:t xml:space="preserve">Payment milestones (typical)</w:t>
      </w:r>
      <w:r>
        <w:t xml:space="preserve"> </w:t>
      </w:r>
      <w:r>
        <w:t xml:space="preserve">- Mobilization: 5% on contract signing</w:t>
      </w:r>
      <w:r>
        <w:t xml:space="preserve"> </w:t>
      </w:r>
      <w:r>
        <w:t xml:space="preserve">- Foundations completed: 15%</w:t>
      </w:r>
      <w:r>
        <w:t xml:space="preserve"> </w:t>
      </w:r>
      <w:r>
        <w:t xml:space="preserve">- Superstructure topped out: 30%</w:t>
      </w:r>
      <w:r>
        <w:t xml:space="preserve"> </w:t>
      </w:r>
      <w:r>
        <w:t xml:space="preserve">- External envelope watertight: 20%</w:t>
      </w:r>
      <w:r>
        <w:t xml:space="preserve"> </w:t>
      </w:r>
      <w:r>
        <w:t xml:space="preserve">- Practical completion: 25% (less retention)</w:t>
      </w:r>
      <w:r>
        <w:t xml:space="preserve"> </w:t>
      </w:r>
      <w:r>
        <w:t xml:space="preserve">- Retention: 3–5% released following defects period</w:t>
      </w:r>
    </w:p>
    <w:p>
      <w:pPr>
        <w:pStyle w:val="BodyText"/>
      </w:pPr>
      <w:r>
        <w:t xml:space="preserve">Tendering duration: Allow 4–6 weeks for tender issue + 4–6 weeks for evaluation and appointment.</w:t>
      </w:r>
    </w:p>
    <w:p>
      <w:r>
        <w:pict>
          <v:rect style="width:0;height:1.5pt" o:hralign="center" o:hrstd="t" o:hr="t"/>
        </w:pict>
      </w:r>
    </w:p>
    <w:bookmarkEnd w:id="33"/>
    <w:bookmarkStart w:id="34" w:name="risks-contingencies-expanded-with-matrix"/>
    <w:p>
      <w:pPr>
        <w:pStyle w:val="Heading2"/>
      </w:pPr>
      <w:r>
        <w:t xml:space="preserve">Risks &amp; contingencies (expanded with matrix)</w:t>
      </w:r>
    </w:p>
    <w:p>
      <w:pPr>
        <w:pStyle w:val="FirstParagraph"/>
      </w:pPr>
      <w:r>
        <w:t xml:space="preserve">Top project risks (high-level risk matrix with mitigation strategies):</w:t>
      </w:r>
    </w:p>
    <w:p>
      <w:pPr>
        <w:pStyle w:val="Compact"/>
        <w:numPr>
          <w:ilvl w:val="0"/>
          <w:numId w:val="1009"/>
        </w:numPr>
      </w:pPr>
      <w:r>
        <w:t xml:space="preserve">Site unknowns (geotechnical) — High</w:t>
      </w:r>
    </w:p>
    <w:p>
      <w:pPr>
        <w:pStyle w:val="Compact"/>
        <w:numPr>
          <w:ilvl w:val="0"/>
          <w:numId w:val="1009"/>
        </w:numPr>
      </w:pPr>
      <w:r>
        <w:t xml:space="preserve">Impact: Foundation redesign, increased cost and programme delays.</w:t>
      </w:r>
    </w:p>
    <w:p>
      <w:pPr>
        <w:numPr>
          <w:ilvl w:val="0"/>
          <w:numId w:val="1009"/>
        </w:numPr>
      </w:pPr>
      <w:r>
        <w:t xml:space="preserve">Mitigation: Commission early geotechnical survey; include scope for piled foundations in initial budget as allowance.</w:t>
      </w:r>
    </w:p>
    <w:p>
      <w:pPr>
        <w:numPr>
          <w:ilvl w:val="0"/>
          <w:numId w:val="1009"/>
        </w:numPr>
      </w:pPr>
      <w:r>
        <w:t xml:space="preserve">Market price volatility — Medium–High</w:t>
      </w:r>
    </w:p>
    <w:p>
      <w:pPr>
        <w:pStyle w:val="Compact"/>
        <w:numPr>
          <w:ilvl w:val="0"/>
          <w:numId w:val="1009"/>
        </w:numPr>
      </w:pPr>
      <w:r>
        <w:t xml:space="preserve">Impact: Increases to material and labour costs.</w:t>
      </w:r>
    </w:p>
    <w:p>
      <w:pPr>
        <w:numPr>
          <w:ilvl w:val="0"/>
          <w:numId w:val="1009"/>
        </w:numPr>
      </w:pPr>
      <w:r>
        <w:t xml:space="preserve">Mitigation: Consider early procurement packages, fixed-price subcontractor bundles, and contract escalation clauses.</w:t>
      </w:r>
    </w:p>
    <w:p>
      <w:pPr>
        <w:numPr>
          <w:ilvl w:val="0"/>
          <w:numId w:val="1009"/>
        </w:numPr>
      </w:pPr>
      <w:r>
        <w:t xml:space="preserve">Permit &amp; planning delays — Medium</w:t>
      </w:r>
    </w:p>
    <w:p>
      <w:pPr>
        <w:pStyle w:val="Compact"/>
        <w:numPr>
          <w:ilvl w:val="0"/>
          <w:numId w:val="1009"/>
        </w:numPr>
      </w:pPr>
      <w:r>
        <w:t xml:space="preserve">Impact: Programme delay and cost escalation.</w:t>
      </w:r>
    </w:p>
    <w:p>
      <w:pPr>
        <w:numPr>
          <w:ilvl w:val="0"/>
          <w:numId w:val="1009"/>
        </w:numPr>
      </w:pPr>
      <w:r>
        <w:t xml:space="preserve">Mitigation: Early pre-application engagement with planning authority, use of model images and massing studies for quick feedback.</w:t>
      </w:r>
    </w:p>
    <w:p>
      <w:pPr>
        <w:numPr>
          <w:ilvl w:val="0"/>
          <w:numId w:val="1009"/>
        </w:numPr>
      </w:pPr>
      <w:r>
        <w:t xml:space="preserve">MEP complexity &amp; stacking issues — Medium</w:t>
      </w:r>
    </w:p>
    <w:p>
      <w:pPr>
        <w:pStyle w:val="Compact"/>
        <w:numPr>
          <w:ilvl w:val="0"/>
          <w:numId w:val="1009"/>
        </w:numPr>
      </w:pPr>
      <w:r>
        <w:t xml:space="preserve">Impact: Rework to ceiling/floor distribution and increased costs.</w:t>
      </w:r>
    </w:p>
    <w:p>
      <w:pPr>
        <w:numPr>
          <w:ilvl w:val="0"/>
          <w:numId w:val="1009"/>
        </w:numPr>
      </w:pPr>
      <w:r>
        <w:t xml:space="preserve">Mitigation: Early MEP coordination, standardized riser locations and compact plant room design.</w:t>
      </w:r>
    </w:p>
    <w:p>
      <w:pPr>
        <w:numPr>
          <w:ilvl w:val="0"/>
          <w:numId w:val="1009"/>
        </w:numPr>
      </w:pPr>
      <w:r>
        <w:t xml:space="preserve">Contractor capacity / labour shortages — Medium</w:t>
      </w:r>
    </w:p>
    <w:p>
      <w:pPr>
        <w:pStyle w:val="Compact"/>
        <w:numPr>
          <w:ilvl w:val="0"/>
          <w:numId w:val="1009"/>
        </w:numPr>
      </w:pPr>
      <w:r>
        <w:t xml:space="preserve">Impact: Extended programme, higher cost.</w:t>
      </w:r>
    </w:p>
    <w:p>
      <w:pPr>
        <w:numPr>
          <w:ilvl w:val="0"/>
          <w:numId w:val="1009"/>
        </w:numPr>
      </w:pPr>
      <w:r>
        <w:t xml:space="preserve">Mitigation: Tender to multiple contractors, include local/regional contractors in tender list, consider phased delivery.</w:t>
      </w:r>
    </w:p>
    <w:p>
      <w:pPr>
        <w:numPr>
          <w:ilvl w:val="0"/>
          <w:numId w:val="1009"/>
        </w:numPr>
      </w:pPr>
      <w:r>
        <w:t xml:space="preserve">Acoustic/fire requirements beyond standard — Low–Medium</w:t>
      </w:r>
    </w:p>
    <w:p>
      <w:pPr>
        <w:pStyle w:val="Compact"/>
        <w:numPr>
          <w:ilvl w:val="0"/>
          <w:numId w:val="1009"/>
        </w:numPr>
      </w:pPr>
      <w:r>
        <w:t xml:space="preserve">Impact: Increased wall/floor build-up cost and potential redesign.</w:t>
      </w:r>
    </w:p>
    <w:p>
      <w:pPr>
        <w:pStyle w:val="Compact"/>
        <w:numPr>
          <w:ilvl w:val="0"/>
          <w:numId w:val="1009"/>
        </w:numPr>
      </w:pPr>
      <w:r>
        <w:t xml:space="preserve">Mitigation: Confirm statutory requirements early and design to exceed minimum where possible to avoid later retrofit.</w:t>
      </w:r>
    </w:p>
    <w:p>
      <w:pPr>
        <w:pStyle w:val="FirstParagraph"/>
      </w:pPr>
      <w:r>
        <w:t xml:space="preserve">Contingency recommendation</w:t>
      </w:r>
      <w:r>
        <w:t xml:space="preserve"> </w:t>
      </w:r>
      <w:r>
        <w:t xml:space="preserve">- Base-case: 7–10% contingency recommended at early stage; reduce after 60% design and fixed-price tender.</w:t>
      </w:r>
      <w:r>
        <w:t xml:space="preserve"> </w:t>
      </w:r>
      <w:r>
        <w:t xml:space="preserve">- Value-engineered scenario: still carry 5–7% contingency to provide buffer against world commodity movement and site surprises.</w:t>
      </w:r>
    </w:p>
    <w:p>
      <w:r>
        <w:pict>
          <v:rect style="width:0;height:1.5pt" o:hralign="center" o:hrstd="t" o:hr="t"/>
        </w:pict>
      </w:r>
    </w:p>
    <w:bookmarkEnd w:id="34"/>
    <w:bookmarkStart w:id="35" w:name="X9a14cf72d3a875b9495236baa27f6a50259d224"/>
    <w:p>
      <w:pPr>
        <w:pStyle w:val="Heading2"/>
      </w:pPr>
      <w:r>
        <w:t xml:space="preserve">Project milestones &amp; indicative durations (expanded with schedule and decision points)</w:t>
      </w:r>
    </w:p>
    <w:p>
      <w:pPr>
        <w:pStyle w:val="FirstParagraph"/>
      </w:pPr>
      <w:r>
        <w:t xml:space="preserve">| Phase | Key activities | Indicative duration | Decision points / deliverables |</w:t>
      </w:r>
      <w:r>
        <w:t xml:space="preserve"> </w:t>
      </w:r>
      <w:r>
        <w:t xml:space="preserve">|---|---|---:|---|</w:t>
      </w:r>
      <w:r>
        <w:t xml:space="preserve"> </w:t>
      </w:r>
      <w:r>
        <w:t xml:space="preserve">| Brief &amp; feasibility | Confirm brief, site appraisal, geotech, utility checks | 2–4 weeks | Confirm GFA, unit mix, target cost |</w:t>
      </w:r>
      <w:r>
        <w:t xml:space="preserve"> </w:t>
      </w:r>
      <w:r>
        <w:t xml:space="preserve">| Concept design | Massing, unit layouts, initial technical strategy | 6–8 weeks | Sign-off concept; update cost model |</w:t>
      </w:r>
      <w:r>
        <w:t xml:space="preserve"> </w:t>
      </w:r>
      <w:r>
        <w:t xml:space="preserve">| Design development (to 60%) | Coordination with structural &amp; MEP; detailed envelope strategy | 8 weeks | 60% design pack, updated QS estimate |</w:t>
      </w:r>
      <w:r>
        <w:t xml:space="preserve"> </w:t>
      </w:r>
      <w:r>
        <w:t xml:space="preserve">| Permit preparation &amp; submission | Prepare working drawings for permit; specialist reports | 8–12 weeks (authority dependent) | Permit submission |</w:t>
      </w:r>
      <w:r>
        <w:t xml:space="preserve"> </w:t>
      </w:r>
      <w:r>
        <w:t xml:space="preserve">| Procurement strategy | Tender pack development, contractor prequalification | 4–6 weeks | Issue tender or select D&amp;B partner |</w:t>
      </w:r>
      <w:r>
        <w:t xml:space="preserve"> </w:t>
      </w:r>
      <w:r>
        <w:t xml:space="preserve">| Tender period &amp; award | Tender evaluation &amp; negotiation | 6 weeks | Contractor appointment |</w:t>
      </w:r>
      <w:r>
        <w:t xml:space="preserve"> </w:t>
      </w:r>
      <w:r>
        <w:t xml:space="preserve">| Construction | Site set-up, foundations, superstructure, fit-out | Approx. 40–48 weeks | Monthly progress reporting &amp; milestone payments |</w:t>
      </w:r>
      <w:r>
        <w:t xml:space="preserve"> </w:t>
      </w:r>
      <w:r>
        <w:t xml:space="preserve">| Commissioning &amp; handover | Systems commissioning, snagging, handover documentation | 4–6 weeks | Practical completion &amp; certificate |</w:t>
      </w:r>
      <w:r>
        <w:t xml:space="preserve"> </w:t>
      </w:r>
      <w:r>
        <w:t xml:space="preserve">| Defects liability period | Post-handover rectification period (12 months) | 12 months | Final account &amp; defects closeout |</w:t>
      </w:r>
    </w:p>
    <w:p>
      <w:pPr>
        <w:pStyle w:val="BodyText"/>
      </w:pPr>
      <w:r>
        <w:t xml:space="preserve">Total indicative time from brief confirmation to practical completion: approximately 14–22 months depending on permitting and procurement route.</w:t>
      </w:r>
    </w:p>
    <w:p>
      <w:r>
        <w:pict>
          <v:rect style="width:0;height:1.5pt" o:hralign="center" o:hrstd="t" o:hr="t"/>
        </w:pict>
      </w:r>
    </w:p>
    <w:bookmarkEnd w:id="35"/>
    <w:bookmarkStart w:id="36" w:name="qaqc-testing-and-commissioning-expanded"/>
    <w:p>
      <w:pPr>
        <w:pStyle w:val="Heading2"/>
      </w:pPr>
      <w:r>
        <w:t xml:space="preserve">QA/QC, testing and commissioning (expanded)</w:t>
      </w:r>
    </w:p>
    <w:p>
      <w:pPr>
        <w:pStyle w:val="FirstParagraph"/>
      </w:pPr>
      <w:r>
        <w:t xml:space="preserve">Quality assurance measures</w:t>
      </w:r>
      <w:r>
        <w:t xml:space="preserve"> </w:t>
      </w:r>
      <w:r>
        <w:t xml:space="preserve">- Design reviews at key stages: Concept, 30%, 60%, 90% with clubbed QS reviews to manage cost.</w:t>
      </w:r>
      <w:r>
        <w:t xml:space="preserve"> </w:t>
      </w:r>
      <w:r>
        <w:t xml:space="preserve">- Peer review for structural and fire strategy.</w:t>
      </w:r>
      <w:r>
        <w:t xml:space="preserve"> </w:t>
      </w:r>
      <w:r>
        <w:t xml:space="preserve">- Factory inspection for prefabricated façade panels and bathroom pods.</w:t>
      </w:r>
      <w:r>
        <w:t xml:space="preserve"> </w:t>
      </w:r>
      <w:r>
        <w:t xml:space="preserve">- MEP pre-installation coordination meeting to check stacking, access and commissioning sequences.</w:t>
      </w:r>
    </w:p>
    <w:p>
      <w:pPr>
        <w:pStyle w:val="BodyText"/>
      </w:pPr>
      <w:r>
        <w:t xml:space="preserve">Testing and commissioning</w:t>
      </w:r>
      <w:r>
        <w:t xml:space="preserve"> </w:t>
      </w:r>
      <w:r>
        <w:t xml:space="preserve">- Envelope air-tightness testing (blower door) — target n50 per design stage.</w:t>
      </w:r>
      <w:r>
        <w:t xml:space="preserve"> </w:t>
      </w:r>
      <w:r>
        <w:t xml:space="preserve">- Thermal imaging and inspections at practical completion to check insulation continuity.</w:t>
      </w:r>
      <w:r>
        <w:t xml:space="preserve"> </w:t>
      </w:r>
      <w:r>
        <w:t xml:space="preserve">- MVHR commissioning and balancing certificates.</w:t>
      </w:r>
      <w:r>
        <w:t xml:space="preserve"> </w:t>
      </w:r>
      <w:r>
        <w:t xml:space="preserve">- Heat pump and DHW plant commissioning per manufacturer instructions with water treatment records.</w:t>
      </w:r>
      <w:r>
        <w:t xml:space="preserve"> </w:t>
      </w:r>
      <w:r>
        <w:t xml:space="preserve">- Electrical testing and PAT testing for all equipment.</w:t>
      </w:r>
      <w:r>
        <w:t xml:space="preserve"> </w:t>
      </w:r>
      <w:r>
        <w:t xml:space="preserve">- Final handover pack to include O&amp;M manuals, as-built drawings, warranties and guarantees.</w:t>
      </w:r>
    </w:p>
    <w:p>
      <w:r>
        <w:pict>
          <v:rect style="width:0;height:1.5pt" o:hralign="center" o:hrstd="t" o:hr="t"/>
        </w:pict>
      </w:r>
    </w:p>
    <w:bookmarkEnd w:id="36"/>
    <w:bookmarkStart w:id="37" w:name="deliverables-i-can-produce-next-expanded"/>
    <w:p>
      <w:pPr>
        <w:pStyle w:val="Heading2"/>
      </w:pPr>
      <w:r>
        <w:t xml:space="preserve">Deliverables I can produce next (expanded)</w:t>
      </w:r>
    </w:p>
    <w:p>
      <w:pPr>
        <w:pStyle w:val="FirstParagraph"/>
      </w:pPr>
      <w:r>
        <w:t xml:space="preserve">If commissioned, Awesome Inc. (Oscar) can provide:</w:t>
      </w:r>
      <w:r>
        <w:t xml:space="preserve"> </w:t>
      </w:r>
      <w:r>
        <w:t xml:space="preserve">- Refined cost estimate tied to an agreed unit mix and exact GFA including sensitivity analysis for different structural choices.</w:t>
      </w:r>
      <w:r>
        <w:t xml:space="preserve"> </w:t>
      </w:r>
      <w:r>
        <w:t xml:space="preserve">- A set of standard plan sketches (2D) and a simple 3D massing study in SketchUp for early marketing and planning pre-application.</w:t>
      </w:r>
      <w:r>
        <w:t xml:space="preserve"> </w:t>
      </w:r>
      <w:r>
        <w:t xml:space="preserve">- Model specifications (spec sheets) for the following building elements:</w:t>
      </w:r>
      <w:r>
        <w:t xml:space="preserve"> </w:t>
      </w:r>
      <w:r>
        <w:t xml:space="preserve">- Kitchen module (basic/standard/premium)</w:t>
      </w:r>
      <w:r>
        <w:t xml:space="preserve"> </w:t>
      </w:r>
      <w:r>
        <w:t xml:space="preserve">- Bathroom pod (typical dimensions and fittings)</w:t>
      </w:r>
      <w:r>
        <w:t xml:space="preserve"> </w:t>
      </w:r>
      <w:r>
        <w:t xml:space="preserve">- Façade panel detail (standard vs premium)</w:t>
      </w:r>
      <w:r>
        <w:t xml:space="preserve"> </w:t>
      </w:r>
      <w:r>
        <w:t xml:space="preserve">- Window schedule and thermal performance table</w:t>
      </w:r>
      <w:r>
        <w:t xml:space="preserve"> </w:t>
      </w:r>
      <w:r>
        <w:t xml:space="preserve">- A permit submission package outline and a tailored procurement strategy with recommended contract wording and tender documents.</w:t>
      </w:r>
      <w:r>
        <w:t xml:space="preserve"> </w:t>
      </w:r>
      <w:r>
        <w:t xml:space="preserve">- Lifecycle cost comparison showing payback on improved envelope and PV investment across 10–30 years (presenting basic net-present-value assumptions on request).</w:t>
      </w:r>
    </w:p>
    <w:p>
      <w:r>
        <w:pict>
          <v:rect style="width:0;height:1.5pt" o:hralign="center" o:hrstd="t" o:hr="t"/>
        </w:pict>
      </w:r>
    </w:p>
    <w:bookmarkEnd w:id="37"/>
    <w:bookmarkStart w:id="38" w:name="closing-recommendations-expanded"/>
    <w:p>
      <w:pPr>
        <w:pStyle w:val="Heading2"/>
      </w:pPr>
      <w:r>
        <w:t xml:space="preserve">Closing recommendations (expanded)</w:t>
      </w:r>
    </w:p>
    <w:p>
      <w:pPr>
        <w:pStyle w:val="FirstParagraph"/>
      </w:pPr>
      <w:r>
        <w:t xml:space="preserve">Short-term (immediate next steps)</w:t>
      </w:r>
      <w:r>
        <w:t xml:space="preserve"> </w:t>
      </w:r>
      <w:r>
        <w:t xml:space="preserve">1. Confirm the brief: finalize GFA, unit mix and target finish level. Owner: John (Project Sponsor) &amp; Oscar (Lead Architect). Deadline: 2 weeks.</w:t>
      </w:r>
      <w:r>
        <w:t xml:space="preserve"> </w:t>
      </w:r>
      <w:r>
        <w:t xml:space="preserve">2. Commission site due diligence: Geotechnical ground investigation, topographical survey and utility mapping. Owner: Awesome Inc. (Procurement). Recommend commission within 4 weeks to avoid programme delay.</w:t>
      </w:r>
      <w:r>
        <w:t xml:space="preserve"> </w:t>
      </w:r>
      <w:r>
        <w:t xml:space="preserve">3. Appoint a cost consultant / quantity surveyor to produce a pre-tender estimate and update the target cost. Owner: John / Cost Consultant. Allow 2–4 weeks.</w:t>
      </w:r>
      <w:r>
        <w:t xml:space="preserve"> </w:t>
      </w:r>
      <w:r>
        <w:t xml:space="preserve">4. Stakeholder engagement: early meeting with planning authority and local fire brigade where required to test the concept. Owner: Oscar with John. Allow 2–3 weeks.</w:t>
      </w:r>
    </w:p>
    <w:p>
      <w:pPr>
        <w:pStyle w:val="BodyText"/>
      </w:pPr>
      <w:r>
        <w:t xml:space="preserve">Medium-term</w:t>
      </w:r>
      <w:r>
        <w:t xml:space="preserve"> </w:t>
      </w:r>
      <w:r>
        <w:t xml:space="preserve">5. Design development to 60% including full coordination with structural and MEP engineers. Owner: Oscar (Lead Architect) with Richard (structural liaison) and MEP partner.</w:t>
      </w:r>
      <w:r>
        <w:t xml:space="preserve"> </w:t>
      </w:r>
      <w:r>
        <w:t xml:space="preserve">6. Prepare permit submission and run parallel procurement plan (consider ECI or D&amp;B depending on client appetite).</w:t>
      </w:r>
      <w:r>
        <w:t xml:space="preserve"> </w:t>
      </w:r>
      <w:r>
        <w:t xml:space="preserve">7. Complete energy modelling for GEG compliance and to finalise MVHR/heat pump sizing and PV sizing.</w:t>
      </w:r>
    </w:p>
    <w:p>
      <w:pPr>
        <w:pStyle w:val="BodyText"/>
      </w:pPr>
      <w:r>
        <w:t xml:space="preserve">Long-term</w:t>
      </w:r>
      <w:r>
        <w:t xml:space="preserve"> </w:t>
      </w:r>
      <w:r>
        <w:t xml:space="preserve">8. Tender and appoint contractor with clear instructions about standardization and product repeatability to maintain margins.</w:t>
      </w:r>
      <w:r>
        <w:t xml:space="preserve"> </w:t>
      </w:r>
      <w:r>
        <w:t xml:space="preserve">9. Monitor one or two first projects closely to refine the standard product, procurement lead times and installation quality.</w:t>
      </w:r>
    </w:p>
    <w:p>
      <w:pPr>
        <w:pStyle w:val="BodyText"/>
      </w:pPr>
      <w:r>
        <w:t xml:space="preserve">If you want, I can now:</w:t>
      </w:r>
      <w:r>
        <w:t xml:space="preserve"> </w:t>
      </w:r>
      <w:r>
        <w:t xml:space="preserve">1) Adjust the model to a different GFA or unit count (e.g., 16 units at 1,500 m2 or 8 units at 900 m2) and update costs and schedule immediately.</w:t>
      </w:r>
      <w:r>
        <w:t xml:space="preserve"> </w:t>
      </w:r>
      <w:r>
        <w:t xml:space="preserve">2) Produce a simple SketchUp massing file and a set of standard 2D plans (ground + typical floor + roof) for marketing and pre-application.</w:t>
      </w:r>
      <w:r>
        <w:t xml:space="preserve"> </w:t>
      </w:r>
      <w:r>
        <w:t xml:space="preserve">3) Prepare a one-page client brochure summarizing the offering with key selling points, costs and images for sales.</w:t>
      </w:r>
    </w:p>
    <w:p>
      <w:pPr>
        <w:pStyle w:val="BodyText"/>
      </w:pPr>
      <w:r>
        <w:t xml:space="preserve">Please state which option you prefer and any specific changes to assumptions (GFA, targeted finishes, sustainability target or procurement route). I will deliver the selected follow-up product and an updated detailed cost sheet or sketch package.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Appendices</w:t>
      </w:r>
    </w:p>
    <w:p>
      <w:pPr>
        <w:pStyle w:val="BodyText"/>
      </w:pPr>
      <w:r>
        <w:t xml:space="preserve">Appendix A — Example detailed unit area schedule (full)</w:t>
      </w:r>
      <w:r>
        <w:t xml:space="preserve"> </w:t>
      </w:r>
      <w:r>
        <w:t xml:space="preserve">- Ground floor</w:t>
      </w:r>
      <w:r>
        <w:t xml:space="preserve"> </w:t>
      </w:r>
      <w:r>
        <w:t xml:space="preserve">- Lobby &amp; entry: 18 m2</w:t>
      </w:r>
      <w:r>
        <w:t xml:space="preserve"> </w:t>
      </w:r>
      <w:r>
        <w:t xml:space="preserve">- Plant room: 16 m2</w:t>
      </w:r>
      <w:r>
        <w:t xml:space="preserve"> </w:t>
      </w:r>
      <w:r>
        <w:t xml:space="preserve">- Accessible unit 1BR: gross 70 m2 (net 45 m2)</w:t>
      </w:r>
      <w:r>
        <w:t xml:space="preserve"> </w:t>
      </w:r>
      <w:r>
        <w:t xml:space="preserve">- Bike &amp; bin store: 22 m2</w:t>
      </w:r>
      <w:r>
        <w:t xml:space="preserve"> </w:t>
      </w:r>
      <w:r>
        <w:t xml:space="preserve">- External terrace (shared): 30 m2</w:t>
      </w:r>
      <w:r>
        <w:t xml:space="preserve"> </w:t>
      </w:r>
      <w:r>
        <w:t xml:space="preserve">- Typical upper floor (each)</w:t>
      </w:r>
      <w:r>
        <w:t xml:space="preserve"> </w:t>
      </w:r>
      <w:r>
        <w:t xml:space="preserve">- 1BR x1: gross 68 m2</w:t>
      </w:r>
      <w:r>
        <w:t xml:space="preserve"> </w:t>
      </w:r>
      <w:r>
        <w:t xml:space="preserve">- 2BR x2: gross 92–95 m2 each</w:t>
      </w:r>
      <w:r>
        <w:t xml:space="preserve"> </w:t>
      </w:r>
      <w:r>
        <w:t xml:space="preserve">- Circulation &amp; core allowance per floor: 12–15% of floor plate</w:t>
      </w:r>
    </w:p>
    <w:p>
      <w:pPr>
        <w:pStyle w:val="BodyText"/>
      </w:pPr>
      <w:r>
        <w:t xml:space="preserve">Appendix B — Indicative specification table (summary)</w:t>
      </w:r>
    </w:p>
    <w:p>
      <w:pPr>
        <w:pStyle w:val="BodyText"/>
      </w:pPr>
      <w:r>
        <w:t xml:space="preserve">| Item | Base | Standard | Premium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 Windows | PVC triple-glazed U≈1.2 | Aluminum-clad timber triple U≈1.0 | Thermally-broken aluminum U≤0.9 |</w:t>
      </w:r>
      <w:r>
        <w:t xml:space="preserve"> </w:t>
      </w:r>
      <w:r>
        <w:t xml:space="preserve">| Roof | Insulated single-ply membrane | Cold roof with insulation &amp; parapet | Green or PV-integrated roof |</w:t>
      </w:r>
      <w:r>
        <w:t xml:space="preserve"> </w:t>
      </w:r>
      <w:r>
        <w:t xml:space="preserve">| Façade | Render over insulation | Rainscreen fiber-cement panels | Timber/metal high-end rainscreen |</w:t>
      </w:r>
      <w:r>
        <w:t xml:space="preserve"> </w:t>
      </w:r>
      <w:r>
        <w:t xml:space="preserve">| Ventilation | Extract-only with trickle vents | MVHR 75% recovery | MVHR 85% recovery with smart controls |</w:t>
      </w:r>
      <w:r>
        <w:t xml:space="preserve"> </w:t>
      </w:r>
      <w:r>
        <w:t xml:space="preserve">| Heating | Electric DHW + space heaters | Building heat pump + MVHR | GSHP + PV + battery |</w:t>
      </w:r>
    </w:p>
    <w:p>
      <w:pPr>
        <w:pStyle w:val="BodyText"/>
      </w:pPr>
      <w:r>
        <w:t xml:space="preserve">Appendix C — Contact &amp; roles (suggested)</w:t>
      </w:r>
      <w:r>
        <w:t xml:space="preserve"> </w:t>
      </w:r>
      <w:r>
        <w:t xml:space="preserve">- Project Sponsor: John (Owner)</w:t>
      </w:r>
      <w:r>
        <w:t xml:space="preserve"> </w:t>
      </w:r>
      <w:r>
        <w:t xml:space="preserve">- Lead Architect: Oscar (Awesome Inc.)</w:t>
      </w:r>
      <w:r>
        <w:t xml:space="preserve"> </w:t>
      </w:r>
      <w:r>
        <w:t xml:space="preserve">- Structural Liaison: Richard (internal/consultant)</w:t>
      </w:r>
      <w:r>
        <w:t xml:space="preserve"> </w:t>
      </w:r>
      <w:r>
        <w:t xml:space="preserve">- MEP Partner: To be appointed (recommend early ECI)</w:t>
      </w:r>
      <w:r>
        <w:t xml:space="preserve"> </w:t>
      </w:r>
      <w:r>
        <w:t xml:space="preserve">- Cost Consultant: To be appointed externally for pre-tender and tender checks</w:t>
      </w:r>
      <w:r>
        <w:t xml:space="preserve"> </w:t>
      </w:r>
      <w:r>
        <w:t xml:space="preserve">- Procurement Lead: Awesome Inc. Procurement team</w:t>
      </w:r>
    </w:p>
    <w:p>
      <w:pPr>
        <w:pStyle w:val="BodyText"/>
      </w:pPr>
      <w:r>
        <w:t xml:space="preserve">End of document.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2025-12-06T13:40:24Z</dcterms:created>
  <dcterms:modified xsi:type="dcterms:W3CDTF">2025-12-06T13:40:24Z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