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feea70bd90c9bd53d7ddf70a7d9cae518b9a88"/>
    <w:p>
      <w:pPr>
        <w:pStyle w:val="Heading1"/>
      </w:pPr>
      <w:r>
        <w:t xml:space="preserve">Architectural Proposal for Standard Apartment Configurations</w:t>
      </w:r>
    </w:p>
    <w:bookmarkStart w:id="20" w:name="introduction"/>
    <w:p>
      <w:pPr>
        <w:pStyle w:val="Heading2"/>
      </w:pPr>
      <w:r>
        <w:t xml:space="preserve">Introduction</w:t>
      </w:r>
    </w:p>
    <w:p>
      <w:pPr>
        <w:pStyle w:val="FirstParagraph"/>
      </w:pPr>
      <w:r>
        <w:t xml:space="preserve">This comprehensive document outlines a detailed architectural proposal for a suite of standardized apartment configurations tailored for Awesome Inc.'s upcoming residential developments. In response to increasing market demand for efficient and sustainable urban living spaces, this proposal aims to balance elegance, functionality, and ecological responsibility. The goal is to streamline design and construction processes by establishing a catalog of modular, yet adaptable apartment layouts that reduce the complexity and duration of custom architectural plans. By doing so, Awesome Inc. can reliably deliver high-quality, cost-effective homes that appeal to a wide demographic, from young professionals and small families to retirees seeking contemporary lifestyles.</w:t>
      </w:r>
    </w:p>
    <w:p>
      <w:pPr>
        <w:pStyle w:val="BodyText"/>
      </w:pPr>
      <w:r>
        <w:t xml:space="preserve">Standardization will not compromise uniqueness or comfort; rather, it will enhance quality control, reduce waste, and expedite project timetables. This document serves as a foundational guide encompassing design philosophies, material selection, cost structures, regulatory compliance, project timelines, and responsibilities, providing a holistic view for all stakeholders involved.</w:t>
      </w:r>
    </w:p>
    <w:bookmarkEnd w:id="20"/>
    <w:bookmarkStart w:id="25" w:name="design-philosophy"/>
    <w:p>
      <w:pPr>
        <w:pStyle w:val="Heading2"/>
      </w:pPr>
      <w:r>
        <w:t xml:space="preserve">Design Philosophy</w:t>
      </w:r>
    </w:p>
    <w:p>
      <w:pPr>
        <w:pStyle w:val="FirstParagraph"/>
      </w:pPr>
      <w:r>
        <w:t xml:space="preserve">The design philosophy behind these standardized configurations is founded on three core pillars: modernist aesthetics, sustainability, and modularity.</w:t>
      </w:r>
    </w:p>
    <w:bookmarkStart w:id="21" w:name="modernist-aesthetics"/>
    <w:p>
      <w:pPr>
        <w:pStyle w:val="Heading3"/>
      </w:pPr>
      <w:r>
        <w:t xml:space="preserve">1. Modernist Aesthetics</w:t>
      </w:r>
    </w:p>
    <w:p>
      <w:pPr>
        <w:pStyle w:val="FirstParagraph"/>
      </w:pPr>
      <w:r>
        <w:t xml:space="preserve">The apartments embrace a clean, minimalist style that emphasizes open spaces, simplicity, and functionality. Focus is placed on geometric forms, neutral color palettes, and understated elegance without excessive ornamentation. Large, floor-to-ceiling windows maximize natural lighting, fostering a bright and airy environment. Interior finishes incorporate natural textures such as light wood veneers and matte surfaces to create a warm, inviting atmosphere that complements the modern architectural language.</w:t>
      </w:r>
    </w:p>
    <w:bookmarkEnd w:id="21"/>
    <w:bookmarkStart w:id="22" w:name="sustainability"/>
    <w:p>
      <w:pPr>
        <w:pStyle w:val="Heading3"/>
      </w:pPr>
      <w:r>
        <w:t xml:space="preserve">2. Sustainability</w:t>
      </w:r>
    </w:p>
    <w:p>
      <w:pPr>
        <w:pStyle w:val="FirstParagraph"/>
      </w:pPr>
      <w:r>
        <w:t xml:space="preserve">Sustainability permeates every aspect of design. By leveraging energy-efficient systems, environmentally friendly materials, and passive design strategies, these apartments aim to significantly reduce their carbon footprint. Features include high-performance thermal insulation, triple-glazed windows, water-saving fixtures, and renewable energy integration capabilities such as pre-wiring for solar panels. Moreover, the choice of materials and construction techniques maximizes durability and recyclability, extending buildings' life cycles and minimizing environmental impact.</w:t>
      </w:r>
    </w:p>
    <w:bookmarkEnd w:id="22"/>
    <w:bookmarkStart w:id="23" w:name="modularity-and-flexibility"/>
    <w:p>
      <w:pPr>
        <w:pStyle w:val="Heading3"/>
      </w:pPr>
      <w:r>
        <w:t xml:space="preserve">3. Modularity and Flexibility</w:t>
      </w:r>
    </w:p>
    <w:p>
      <w:pPr>
        <w:pStyle w:val="FirstParagraph"/>
      </w:pPr>
      <w:r>
        <w:t xml:space="preserve">Recognizing the diverse needs of residents, the layouts utilize modular room designs allowing flexibility and future adaptability. Units are developed around core modules – living, sleeping, kitchen, bath, and circulation – that can be combined or separated as needed. This approach supports scalable unit sizes ranging from compact studios (~35 m²) to spacious three-bedroom apartments (~95 m²). Additionally, movable partitions, multifunctional furniture provisions, and adaptable service lines facilitate easy reconfiguration to accommodate changing family dynamics or lifestyle preferences.</w:t>
      </w:r>
    </w:p>
    <w:bookmarkEnd w:id="23"/>
    <w:bookmarkStart w:id="24" w:name="spatial-efficiency-and-comfort"/>
    <w:p>
      <w:pPr>
        <w:pStyle w:val="Heading3"/>
      </w:pPr>
      <w:r>
        <w:t xml:space="preserve">Spatial Efficiency and Comfort</w:t>
      </w:r>
    </w:p>
    <w:p>
      <w:pPr>
        <w:pStyle w:val="FirstParagraph"/>
      </w:pPr>
      <w:r>
        <w:t xml:space="preserve">Optimized spatial planning ensures that every square meter is purposefully allocated. Storage solutions are integrated seamlessly into walls and under-utilized spaces. Acoustic insulation between units enhances privacy while maintaining openness within the apartments. Careful attention is paid to circulation routes to minimize wasted space yet maintain accessibility, including compliance with universal design principles facilitating barrier-free access for residents with disabilities.</w:t>
      </w:r>
    </w:p>
    <w:bookmarkEnd w:id="24"/>
    <w:bookmarkEnd w:id="25"/>
    <w:bookmarkStart w:id="30" w:name="standard-elements-overview"/>
    <w:p>
      <w:pPr>
        <w:pStyle w:val="Heading2"/>
      </w:pPr>
      <w:r>
        <w:t xml:space="preserve">Standard Elements Overview</w:t>
      </w:r>
    </w:p>
    <w:p>
      <w:pPr>
        <w:pStyle w:val="FirstParagraph"/>
      </w:pPr>
      <w:r>
        <w:t xml:space="preserve">To achieve consistency and quality throughout all apartment configurations, the following standard elements and specifications are incorporated:</w:t>
      </w:r>
    </w:p>
    <w:bookmarkStart w:id="26" w:name="modular-room-layouts"/>
    <w:p>
      <w:pPr>
        <w:pStyle w:val="Heading3"/>
      </w:pPr>
      <w:r>
        <w:t xml:space="preserve">Modular Room Layouts</w:t>
      </w:r>
    </w:p>
    <w:p>
      <w:pPr>
        <w:pStyle w:val="Compact"/>
        <w:numPr>
          <w:ilvl w:val="0"/>
          <w:numId w:val="1001"/>
        </w:numPr>
      </w:pPr>
      <w:r>
        <w:rPr>
          <w:b/>
          <w:bCs/>
        </w:rPr>
        <w:t xml:space="preserve">Living Areas:</w:t>
      </w:r>
      <w:r>
        <w:t xml:space="preserve"> </w:t>
      </w:r>
      <w:r>
        <w:t xml:space="preserve">Open-plan living rooms connected with dining zones and kitchens, featuring large glazed façades oriented towards optimal sun exposure.</w:t>
      </w:r>
    </w:p>
    <w:p>
      <w:pPr>
        <w:pStyle w:val="Compact"/>
        <w:numPr>
          <w:ilvl w:val="0"/>
          <w:numId w:val="1001"/>
        </w:numPr>
      </w:pPr>
      <w:r>
        <w:rPr>
          <w:b/>
          <w:bCs/>
        </w:rPr>
        <w:t xml:space="preserve">Bedrooms:</w:t>
      </w:r>
      <w:r>
        <w:t xml:space="preserve"> </w:t>
      </w:r>
      <w:r>
        <w:t xml:space="preserve">Designed with adequate space for double beds, wardrobes, and work/study corners. Master bedrooms incorporate built-in closets.</w:t>
      </w:r>
    </w:p>
    <w:p>
      <w:pPr>
        <w:pStyle w:val="Compact"/>
        <w:numPr>
          <w:ilvl w:val="0"/>
          <w:numId w:val="1001"/>
        </w:numPr>
      </w:pPr>
      <w:r>
        <w:rPr>
          <w:b/>
          <w:bCs/>
        </w:rPr>
        <w:t xml:space="preserve">Bathrooms:</w:t>
      </w:r>
      <w:r>
        <w:t xml:space="preserve"> </w:t>
      </w:r>
      <w:r>
        <w:t xml:space="preserve">Configured with modern sanitary fittings, accessible design standards, and efficient plumbing layouts.</w:t>
      </w:r>
    </w:p>
    <w:p>
      <w:pPr>
        <w:pStyle w:val="Compact"/>
        <w:numPr>
          <w:ilvl w:val="0"/>
          <w:numId w:val="1001"/>
        </w:numPr>
      </w:pPr>
      <w:r>
        <w:rPr>
          <w:b/>
          <w:bCs/>
        </w:rPr>
        <w:t xml:space="preserve">Kitchens:</w:t>
      </w:r>
      <w:r>
        <w:t xml:space="preserve"> </w:t>
      </w:r>
      <w:r>
        <w:t xml:space="preserve">Ergonomic L-shaped or linear kitchens with integrated appliances, calibrated for ease of use and maintenance.</w:t>
      </w:r>
    </w:p>
    <w:p>
      <w:pPr>
        <w:pStyle w:val="Compact"/>
        <w:numPr>
          <w:ilvl w:val="0"/>
          <w:numId w:val="1001"/>
        </w:numPr>
      </w:pPr>
      <w:r>
        <w:rPr>
          <w:b/>
          <w:bCs/>
        </w:rPr>
        <w:t xml:space="preserve">Balconies/Terraces:</w:t>
      </w:r>
      <w:r>
        <w:t xml:space="preserve"> </w:t>
      </w:r>
      <w:r>
        <w:t xml:space="preserve">Outdoor spaces sized based on apartment size, fitted with privacy screens and durable decking materials.</w:t>
      </w:r>
    </w:p>
    <w:bookmarkEnd w:id="26"/>
    <w:bookmarkStart w:id="27" w:name="sustainable-material-usage"/>
    <w:p>
      <w:pPr>
        <w:pStyle w:val="Heading3"/>
      </w:pPr>
      <w:r>
        <w:t xml:space="preserve">Sustainable Material Usage</w:t>
      </w:r>
    </w:p>
    <w:p>
      <w:pPr>
        <w:pStyle w:val="Compact"/>
        <w:numPr>
          <w:ilvl w:val="0"/>
          <w:numId w:val="1002"/>
        </w:numPr>
      </w:pPr>
      <w:r>
        <w:rPr>
          <w:b/>
          <w:bCs/>
        </w:rPr>
        <w:t xml:space="preserve">Reclaimed Wood:</w:t>
      </w:r>
      <w:r>
        <w:t xml:space="preserve"> </w:t>
      </w:r>
      <w:r>
        <w:t xml:space="preserve">Utilized for flooring and cabinetry to reduce virgin timber consumption and add natural character.</w:t>
      </w:r>
    </w:p>
    <w:p>
      <w:pPr>
        <w:pStyle w:val="Compact"/>
        <w:numPr>
          <w:ilvl w:val="0"/>
          <w:numId w:val="1002"/>
        </w:numPr>
      </w:pPr>
      <w:r>
        <w:rPr>
          <w:b/>
          <w:bCs/>
        </w:rPr>
        <w:t xml:space="preserve">Low-VOC Paints:</w:t>
      </w:r>
      <w:r>
        <w:t xml:space="preserve"> </w:t>
      </w:r>
      <w:r>
        <w:t xml:space="preserve">To ensure excellent indoor air quality by limiting volatile organic compounds emissions.</w:t>
      </w:r>
    </w:p>
    <w:p>
      <w:pPr>
        <w:pStyle w:val="Compact"/>
        <w:numPr>
          <w:ilvl w:val="0"/>
          <w:numId w:val="1002"/>
        </w:numPr>
      </w:pPr>
      <w:r>
        <w:rPr>
          <w:b/>
          <w:bCs/>
        </w:rPr>
        <w:t xml:space="preserve">Recycled Steel:</w:t>
      </w:r>
      <w:r>
        <w:t xml:space="preserve"> </w:t>
      </w:r>
      <w:r>
        <w:t xml:space="preserve">Employed in structural and finishing components to lower embodied energy and increase strength.</w:t>
      </w:r>
    </w:p>
    <w:p>
      <w:pPr>
        <w:pStyle w:val="Compact"/>
        <w:numPr>
          <w:ilvl w:val="0"/>
          <w:numId w:val="1002"/>
        </w:numPr>
      </w:pPr>
      <w:r>
        <w:rPr>
          <w:b/>
          <w:bCs/>
        </w:rPr>
        <w:t xml:space="preserve">Energy-Efficient Windows:</w:t>
      </w:r>
      <w:r>
        <w:t xml:space="preserve"> </w:t>
      </w:r>
      <w:r>
        <w:t xml:space="preserve">Triple-glazed with thermally broken aluminum or fiberglass frames meeting German EnEV standards.</w:t>
      </w:r>
    </w:p>
    <w:p>
      <w:pPr>
        <w:pStyle w:val="Compact"/>
        <w:numPr>
          <w:ilvl w:val="0"/>
          <w:numId w:val="1002"/>
        </w:numPr>
      </w:pPr>
      <w:r>
        <w:rPr>
          <w:b/>
          <w:bCs/>
        </w:rPr>
        <w:t xml:space="preserve">Eco-Friendly Insulation:</w:t>
      </w:r>
      <w:r>
        <w:t xml:space="preserve"> </w:t>
      </w:r>
      <w:r>
        <w:t xml:space="preserve">Materials such as cellulose, mineral wool, or hemp-based panels that provide excellent thermal performance and fire resistance.</w:t>
      </w:r>
    </w:p>
    <w:bookmarkEnd w:id="27"/>
    <w:bookmarkStart w:id="28" w:name="functional-fixtures-and-fittings"/>
    <w:p>
      <w:pPr>
        <w:pStyle w:val="Heading3"/>
      </w:pPr>
      <w:r>
        <w:t xml:space="preserve">Functional Fixtures and Fittings</w:t>
      </w:r>
    </w:p>
    <w:p>
      <w:pPr>
        <w:pStyle w:val="Compact"/>
        <w:numPr>
          <w:ilvl w:val="0"/>
          <w:numId w:val="1003"/>
        </w:numPr>
      </w:pPr>
      <w:r>
        <w:rPr>
          <w:b/>
          <w:bCs/>
        </w:rPr>
        <w:t xml:space="preserve">Kitchen Equipment:</w:t>
      </w:r>
      <w:r>
        <w:t xml:space="preserve"> </w:t>
      </w:r>
      <w:r>
        <w:t xml:space="preserve">Integrated induction cooktops, energy-efficient refrigerators, and dishwasher units rated A+ or better.</w:t>
      </w:r>
    </w:p>
    <w:p>
      <w:pPr>
        <w:pStyle w:val="Compact"/>
        <w:numPr>
          <w:ilvl w:val="0"/>
          <w:numId w:val="1003"/>
        </w:numPr>
      </w:pPr>
      <w:r>
        <w:rPr>
          <w:b/>
          <w:bCs/>
        </w:rPr>
        <w:t xml:space="preserve">Bathroom Fixtures:</w:t>
      </w:r>
      <w:r>
        <w:t xml:space="preserve"> </w:t>
      </w:r>
      <w:r>
        <w:t xml:space="preserve">Dual-flush toilets, sensor-activated faucets, and low-flow shower heads focused on water conservation.</w:t>
      </w:r>
    </w:p>
    <w:p>
      <w:pPr>
        <w:pStyle w:val="Compact"/>
        <w:numPr>
          <w:ilvl w:val="0"/>
          <w:numId w:val="1003"/>
        </w:numPr>
      </w:pPr>
      <w:r>
        <w:rPr>
          <w:b/>
          <w:bCs/>
        </w:rPr>
        <w:t xml:space="preserve">Lighting:</w:t>
      </w:r>
      <w:r>
        <w:t xml:space="preserve"> </w:t>
      </w:r>
      <w:r>
        <w:t xml:space="preserve">LED fixtures with dimming capacity, daylight sensors, and task lighting strategically placed for optimal illumination.</w:t>
      </w:r>
    </w:p>
    <w:p>
      <w:pPr>
        <w:pStyle w:val="Compact"/>
        <w:numPr>
          <w:ilvl w:val="0"/>
          <w:numId w:val="1003"/>
        </w:numPr>
      </w:pPr>
      <w:r>
        <w:rPr>
          <w:b/>
          <w:bCs/>
        </w:rPr>
        <w:t xml:space="preserve">Heating and Cooling:</w:t>
      </w:r>
      <w:r>
        <w:t xml:space="preserve"> </w:t>
      </w:r>
      <w:r>
        <w:t xml:space="preserve">Radiant floor heating paired with energy recovery ventilation systems to maintain indoor climate comfort year-round.</w:t>
      </w:r>
    </w:p>
    <w:bookmarkEnd w:id="28"/>
    <w:bookmarkStart w:id="29" w:name="greenery-biophilic-design-features"/>
    <w:p>
      <w:pPr>
        <w:pStyle w:val="Heading3"/>
      </w:pPr>
      <w:r>
        <w:t xml:space="preserve">Greenery &amp; Biophilic Design Features</w:t>
      </w:r>
    </w:p>
    <w:p>
      <w:pPr>
        <w:pStyle w:val="Compact"/>
        <w:numPr>
          <w:ilvl w:val="0"/>
          <w:numId w:val="1004"/>
        </w:numPr>
      </w:pPr>
      <w:r>
        <w:rPr>
          <w:b/>
          <w:bCs/>
        </w:rPr>
        <w:t xml:space="preserve">Indoor Planters:</w:t>
      </w:r>
      <w:r>
        <w:t xml:space="preserve"> </w:t>
      </w:r>
      <w:r>
        <w:t xml:space="preserve">Designated spaces for indoor plants to improve air quality and ambiance.</w:t>
      </w:r>
    </w:p>
    <w:p>
      <w:pPr>
        <w:pStyle w:val="Compact"/>
        <w:numPr>
          <w:ilvl w:val="0"/>
          <w:numId w:val="1004"/>
        </w:numPr>
      </w:pPr>
      <w:r>
        <w:rPr>
          <w:b/>
          <w:bCs/>
        </w:rPr>
        <w:t xml:space="preserve">Green Walls:</w:t>
      </w:r>
      <w:r>
        <w:t xml:space="preserve"> </w:t>
      </w:r>
      <w:r>
        <w:t xml:space="preserve">Select common areas include vertical gardens serving both aesthetic and thermal regulation purposes.</w:t>
      </w:r>
    </w:p>
    <w:p>
      <w:pPr>
        <w:pStyle w:val="Compact"/>
        <w:numPr>
          <w:ilvl w:val="0"/>
          <w:numId w:val="1004"/>
        </w:numPr>
      </w:pPr>
      <w:r>
        <w:rPr>
          <w:b/>
          <w:bCs/>
        </w:rPr>
        <w:t xml:space="preserve">Natural Materials:</w:t>
      </w:r>
      <w:r>
        <w:t xml:space="preserve"> </w:t>
      </w:r>
      <w:r>
        <w:t xml:space="preserve">Stone cladding, timber accents, and earthy colors foster a connection to nature.</w:t>
      </w:r>
    </w:p>
    <w:p>
      <w:pPr>
        <w:pStyle w:val="Compact"/>
        <w:numPr>
          <w:ilvl w:val="0"/>
          <w:numId w:val="1004"/>
        </w:numPr>
      </w:pPr>
      <w:r>
        <w:rPr>
          <w:b/>
          <w:bCs/>
        </w:rPr>
        <w:t xml:space="preserve">Courtyards and Shared Gardens:</w:t>
      </w:r>
      <w:r>
        <w:t xml:space="preserve"> </w:t>
      </w:r>
      <w:r>
        <w:t xml:space="preserve">Planning encourages communal green spaces enhancing social interaction and mental well-being.</w:t>
      </w:r>
    </w:p>
    <w:bookmarkEnd w:id="29"/>
    <w:bookmarkEnd w:id="30"/>
    <w:bookmarkStart w:id="31" w:name="material-selection-and-sustainability"/>
    <w:p>
      <w:pPr>
        <w:pStyle w:val="Heading2"/>
      </w:pPr>
      <w:r>
        <w:t xml:space="preserve">Material Selection and Sustainability</w:t>
      </w:r>
    </w:p>
    <w:p>
      <w:pPr>
        <w:pStyle w:val="FirstParagraph"/>
      </w:pPr>
      <w:r>
        <w:t xml:space="preserve">This section details the extensive criteria applied in selecting construction materials and finishes, highlighting durability, environmental impact, and design coherence.</w:t>
      </w:r>
    </w:p>
    <w:p>
      <w:pPr>
        <w:pStyle w:val="BodyText"/>
      </w:pPr>
      <w:r>
        <w:t xml:space="preserve">| Material Category | Selected Material | Environmental Benefits | Functional Attributes | Estimated Cost Impact (€/m²) |</w:t>
      </w:r>
      <w:r>
        <w:t xml:space="preserve"> </w:t>
      </w:r>
      <w:r>
        <w:t xml:space="preserve">|--------------------|-----------------------------------|------------------------------------------------|-------------------------------------------------|------------------------------|</w:t>
      </w:r>
      <w:r>
        <w:t xml:space="preserve"> </w:t>
      </w:r>
      <w:r>
        <w:t xml:space="preserve">| Structural Elements | Recycled Steel &amp; Engineered Timber | Reduces embodied carbon and landfill waste | High strength-to-weight ratio, stability | 45 – 60 |</w:t>
      </w:r>
      <w:r>
        <w:t xml:space="preserve"> </w:t>
      </w:r>
      <w:r>
        <w:t xml:space="preserve">| Flooring | Reclaimed Oak Hardwood | Promotes wood reuse, reduces deforestation | Hardwearing, adds warm aesthetics | 25 – 35 |</w:t>
      </w:r>
      <w:r>
        <w:t xml:space="preserve"> </w:t>
      </w:r>
      <w:r>
        <w:t xml:space="preserve">| Wall Finishes | Low-VOC Mineral Paints | Improves indoor air quality | Durable, easy maintenance | 5 – 10 |</w:t>
      </w:r>
      <w:r>
        <w:t xml:space="preserve"> </w:t>
      </w:r>
      <w:r>
        <w:t xml:space="preserve">| Insulation | Cellulose Fiber | Made from recycled paper, biodegradable | High thermal and acoustic performance | 10 – 15 |</w:t>
      </w:r>
      <w:r>
        <w:t xml:space="preserve"> </w:t>
      </w:r>
      <w:r>
        <w:t xml:space="preserve">| Kitchen Surfaces | Recycled Composite Countertops | Diverts waste from landfill | Scratch and heat resistant | 20 – 30 |</w:t>
      </w:r>
    </w:p>
    <w:p>
      <w:pPr>
        <w:pStyle w:val="BodyText"/>
      </w:pPr>
      <w:r>
        <w:t xml:space="preserve">Every material supplier has undergone rigorous assessment for certifications such as FSC or PEFC for wood, Cradle to Cradle for composite products, and compliance with the EU Environmental Product Declarations (EPD) standards.</w:t>
      </w:r>
    </w:p>
    <w:bookmarkEnd w:id="31"/>
    <w:bookmarkStart w:id="33" w:name="cost-analysis"/>
    <w:p>
      <w:pPr>
        <w:pStyle w:val="Heading2"/>
      </w:pPr>
      <w:r>
        <w:t xml:space="preserve">Cost Analysis</w:t>
      </w:r>
    </w:p>
    <w:p>
      <w:pPr>
        <w:pStyle w:val="FirstParagraph"/>
      </w:pPr>
      <w:r>
        <w:t xml:space="preserve">An in-depth breakdown of the preliminary construction cost estimate per standardized apartment unit is presented below. These values are based on current market data as of Q1 2024 and include projected expenses for quality materials, labor, and contingency allocations.</w:t>
      </w:r>
    </w:p>
    <w:p>
      <w:pPr>
        <w:pStyle w:val="BodyText"/>
      </w:pPr>
      <w:r>
        <w:t xml:space="preserve">| Cost Category | Description | Estimated Cost (€) |</w:t>
      </w:r>
      <w:r>
        <w:t xml:space="preserve"> </w:t>
      </w:r>
      <w:r>
        <w:t xml:space="preserve">|-------------------------|------------------------------------------------|-------------------|</w:t>
      </w:r>
      <w:r>
        <w:t xml:space="preserve"> </w:t>
      </w:r>
      <w:r>
        <w:t xml:space="preserve">| Structural Elements | Recycled steel frames, timber structures, foundations | 90,000 |</w:t>
      </w:r>
      <w:r>
        <w:t xml:space="preserve"> </w:t>
      </w:r>
      <w:r>
        <w:t xml:space="preserve">| Finishes and Fixtures | Flooring, paint, cabinetry, kitchen and bathroom furnishings | 25,000 |</w:t>
      </w:r>
      <w:r>
        <w:t xml:space="preserve"> </w:t>
      </w:r>
      <w:r>
        <w:t xml:space="preserve">| Energy-Efficient Systems| Triple-glaze windows, insulation, HVAC systems | 15,000 |</w:t>
      </w:r>
      <w:r>
        <w:t xml:space="preserve"> </w:t>
      </w:r>
      <w:r>
        <w:t xml:space="preserve">| Labor and Contingency | Skilled trades labor, site supervision, unforeseen expenses | 20,000 |</w:t>
      </w:r>
      <w:r>
        <w:t xml:space="preserve"> </w:t>
      </w:r>
      <w:r>
        <w:t xml:space="preserve">|</w:t>
      </w:r>
      <w:r>
        <w:t xml:space="preserve"> </w:t>
      </w:r>
      <w:r>
        <w:rPr>
          <w:b/>
          <w:bCs/>
        </w:rPr>
        <w:t xml:space="preserve">Total Estimated Cost</w:t>
      </w:r>
      <w:r>
        <w:t xml:space="preserve"> </w:t>
      </w:r>
      <w:r>
        <w:t xml:space="preserve">| |</w:t>
      </w:r>
      <w:r>
        <w:t xml:space="preserve"> </w:t>
      </w:r>
      <w:r>
        <w:rPr>
          <w:b/>
          <w:bCs/>
        </w:rPr>
        <w:t xml:space="preserve">150,000</w:t>
      </w:r>
      <w:r>
        <w:t xml:space="preserve"> </w:t>
      </w:r>
      <w:r>
        <w:t xml:space="preserve">|</w:t>
      </w:r>
    </w:p>
    <w:bookmarkStart w:id="32" w:name="cost-optimization-opportunities"/>
    <w:p>
      <w:pPr>
        <w:pStyle w:val="Heading3"/>
      </w:pPr>
      <w:r>
        <w:t xml:space="preserve">Cost Optimization Opportunities</w:t>
      </w:r>
    </w:p>
    <w:p>
      <w:pPr>
        <w:pStyle w:val="Compact"/>
        <w:numPr>
          <w:ilvl w:val="0"/>
          <w:numId w:val="1005"/>
        </w:numPr>
      </w:pPr>
      <w:r>
        <w:rPr>
          <w:b/>
          <w:bCs/>
        </w:rPr>
        <w:t xml:space="preserve">Bulk Material Procurement:</w:t>
      </w:r>
      <w:r>
        <w:t xml:space="preserve"> </w:t>
      </w:r>
      <w:r>
        <w:t xml:space="preserve">Leveraging long-term supplier agreements to gain volume discounts on sustainable materials.</w:t>
      </w:r>
    </w:p>
    <w:p>
      <w:pPr>
        <w:pStyle w:val="Compact"/>
        <w:numPr>
          <w:ilvl w:val="0"/>
          <w:numId w:val="1005"/>
        </w:numPr>
      </w:pPr>
      <w:r>
        <w:rPr>
          <w:b/>
          <w:bCs/>
        </w:rPr>
        <w:t xml:space="preserve">Prefabrication Techniques:</w:t>
      </w:r>
      <w:r>
        <w:t xml:space="preserve"> </w:t>
      </w:r>
      <w:r>
        <w:t xml:space="preserve">Utilizing modular prefabricated components to reduce onsite labor hours.</w:t>
      </w:r>
    </w:p>
    <w:p>
      <w:pPr>
        <w:pStyle w:val="Compact"/>
        <w:numPr>
          <w:ilvl w:val="0"/>
          <w:numId w:val="1005"/>
        </w:numPr>
      </w:pPr>
      <w:r>
        <w:rPr>
          <w:b/>
          <w:bCs/>
        </w:rPr>
        <w:t xml:space="preserve">Smart Building Integration:</w:t>
      </w:r>
      <w:r>
        <w:t xml:space="preserve"> </w:t>
      </w:r>
      <w:r>
        <w:t xml:space="preserve">Employing building management systems to optimize energy consumption and reduce operational costs.</w:t>
      </w:r>
    </w:p>
    <w:p>
      <w:pPr>
        <w:pStyle w:val="Compact"/>
        <w:numPr>
          <w:ilvl w:val="0"/>
          <w:numId w:val="1005"/>
        </w:numPr>
      </w:pPr>
      <w:r>
        <w:rPr>
          <w:b/>
          <w:bCs/>
        </w:rPr>
        <w:t xml:space="preserve">Design Iterations:</w:t>
      </w:r>
      <w:r>
        <w:t xml:space="preserve"> </w:t>
      </w:r>
      <w:r>
        <w:t xml:space="preserve">Fine-tuning layouts to optimize material usage while preserving comfort and aesthetics.</w:t>
      </w:r>
    </w:p>
    <w:p>
      <w:pPr>
        <w:pStyle w:val="FirstParagraph"/>
      </w:pPr>
      <w:r>
        <w:t xml:space="preserve">These measures will be assessed continuously in coordination with procurement to ensure budget adherence without compromising standards.</w:t>
      </w:r>
    </w:p>
    <w:bookmarkEnd w:id="32"/>
    <w:bookmarkEnd w:id="33"/>
    <w:bookmarkStart w:id="34" w:name="compliance-with-regulations"/>
    <w:p>
      <w:pPr>
        <w:pStyle w:val="Heading2"/>
      </w:pPr>
      <w:r>
        <w:t xml:space="preserve">Compliance with Regulations</w:t>
      </w:r>
    </w:p>
    <w:p>
      <w:pPr>
        <w:pStyle w:val="FirstParagraph"/>
      </w:pPr>
      <w:r>
        <w:t xml:space="preserve">All apartment configurations strictly comply with the current German regulatory framework, including but not limited to:</w:t>
      </w:r>
    </w:p>
    <w:p>
      <w:pPr>
        <w:pStyle w:val="Compact"/>
        <w:numPr>
          <w:ilvl w:val="0"/>
          <w:numId w:val="1006"/>
        </w:numPr>
      </w:pPr>
      <w:r>
        <w:rPr>
          <w:b/>
          <w:bCs/>
        </w:rPr>
        <w:t xml:space="preserve">Baugesetzbuch (BauGB):</w:t>
      </w:r>
      <w:r>
        <w:t xml:space="preserve"> </w:t>
      </w:r>
      <w:r>
        <w:t xml:space="preserve">Compliance with zoning regulations and land use plans.</w:t>
      </w:r>
    </w:p>
    <w:p>
      <w:pPr>
        <w:pStyle w:val="Compact"/>
        <w:numPr>
          <w:ilvl w:val="0"/>
          <w:numId w:val="1006"/>
        </w:numPr>
      </w:pPr>
      <w:r>
        <w:rPr>
          <w:b/>
          <w:bCs/>
        </w:rPr>
        <w:t xml:space="preserve">Landesbauordnung (LBO):</w:t>
      </w:r>
      <w:r>
        <w:t xml:space="preserve"> </w:t>
      </w:r>
      <w:r>
        <w:t xml:space="preserve">Adherence to state building codes covering structural safety, fire protection, and accessibility.</w:t>
      </w:r>
    </w:p>
    <w:p>
      <w:pPr>
        <w:pStyle w:val="Compact"/>
        <w:numPr>
          <w:ilvl w:val="0"/>
          <w:numId w:val="1006"/>
        </w:numPr>
      </w:pPr>
      <w:r>
        <w:rPr>
          <w:b/>
          <w:bCs/>
        </w:rPr>
        <w:t xml:space="preserve">Energieeinsparverordnung (EnEV):</w:t>
      </w:r>
      <w:r>
        <w:t xml:space="preserve"> </w:t>
      </w:r>
      <w:r>
        <w:t xml:space="preserve">Energy efficiency standards ensuring maximal thermal performance.</w:t>
      </w:r>
    </w:p>
    <w:p>
      <w:pPr>
        <w:pStyle w:val="Compact"/>
        <w:numPr>
          <w:ilvl w:val="0"/>
          <w:numId w:val="1006"/>
        </w:numPr>
      </w:pPr>
      <w:r>
        <w:rPr>
          <w:b/>
          <w:bCs/>
        </w:rPr>
        <w:t xml:space="preserve">DIN Standards:</w:t>
      </w:r>
      <w:r>
        <w:t xml:space="preserve"> </w:t>
      </w:r>
      <w:r>
        <w:t xml:space="preserve">Implementation of relevant German Institute for Standardization codes for construction materials, fire safety (DIN 4102), and structural requirements (DIN EN 1990 series).</w:t>
      </w:r>
    </w:p>
    <w:p>
      <w:pPr>
        <w:pStyle w:val="Compact"/>
        <w:numPr>
          <w:ilvl w:val="0"/>
          <w:numId w:val="1006"/>
        </w:numPr>
      </w:pPr>
      <w:r>
        <w:rPr>
          <w:b/>
          <w:bCs/>
        </w:rPr>
        <w:t xml:space="preserve">Barrierefreie Gestaltung:</w:t>
      </w:r>
      <w:r>
        <w:t xml:space="preserve"> </w:t>
      </w:r>
      <w:r>
        <w:t xml:space="preserve">Accessibility guidelines for public and private housing ensuring barrier-free access for persons with disabilities.</w:t>
      </w:r>
    </w:p>
    <w:p>
      <w:pPr>
        <w:pStyle w:val="FirstParagraph"/>
      </w:pPr>
      <w:r>
        <w:t xml:space="preserve">To ensure timely permits and approvals, early engagement with local building authorities and planning offices is integrated into the project management workflow.</w:t>
      </w:r>
    </w:p>
    <w:bookmarkEnd w:id="34"/>
    <w:bookmarkStart w:id="36" w:name="project-timeline-and-responsibilities"/>
    <w:p>
      <w:pPr>
        <w:pStyle w:val="Heading2"/>
      </w:pPr>
      <w:r>
        <w:t xml:space="preserve">Project Timeline and Responsibilities</w:t>
      </w:r>
    </w:p>
    <w:p>
      <w:pPr>
        <w:pStyle w:val="FirstParagraph"/>
      </w:pPr>
      <w:r>
        <w:t xml:space="preserve">The following detailed timeline and allocation of responsibilities guide the progression from design conception to project delivery:</w:t>
      </w:r>
    </w:p>
    <w:p>
      <w:pPr>
        <w:pStyle w:val="BodyText"/>
      </w:pPr>
      <w:r>
        <w:t xml:space="preserve">| Milestone | Target Date | Responsible Party | Description |</w:t>
      </w:r>
      <w:r>
        <w:t xml:space="preserve"> </w:t>
      </w:r>
      <w:r>
        <w:t xml:space="preserve">|--------------------------------|-------------------|---------------------------|--------------------------------------------------------------|</w:t>
      </w:r>
      <w:r>
        <w:t xml:space="preserve"> </w:t>
      </w:r>
      <w:r>
        <w:t xml:space="preserve">| Final Design Approval | May 15, 2024 | Oscar, Design Team | Completion of design refinements and formal client approval |</w:t>
      </w:r>
      <w:r>
        <w:t xml:space="preserve"> </w:t>
      </w:r>
      <w:r>
        <w:t xml:space="preserve">| Material Sourcing &amp; Procurement | June 30, 2024 | Procurement Team | Negotiation with suppliers and securing material contracts |</w:t>
      </w:r>
      <w:r>
        <w:t xml:space="preserve"> </w:t>
      </w:r>
      <w:r>
        <w:t xml:space="preserve">| Prefabrication &amp; Subassembly | July 1 – July 25, 2024 | Prefabrication Partners | Production of modular units and building components |</w:t>
      </w:r>
      <w:r>
        <w:t xml:space="preserve"> </w:t>
      </w:r>
      <w:r>
        <w:t xml:space="preserve">| Site Preparation &amp; Foundation | July 26 – July 31, 2024 | Construction Partners | Ground clearance, excavation, and foundation casting |</w:t>
      </w:r>
      <w:r>
        <w:t xml:space="preserve"> </w:t>
      </w:r>
      <w:r>
        <w:t xml:space="preserve">| Construction Commencement | August 1, 2024 | Construction Partners | Start of primary construction activities |</w:t>
      </w:r>
      <w:r>
        <w:t xml:space="preserve"> </w:t>
      </w:r>
      <w:r>
        <w:t xml:space="preserve">| Mid-Project Quality Audit | October 15, 2024 | Quality Assurance Team | Inspection of onsite and prefabricated components |</w:t>
      </w:r>
      <w:r>
        <w:t xml:space="preserve"> </w:t>
      </w:r>
      <w:r>
        <w:t xml:space="preserve">| Installation of Systems | November 1 – Nov 20, 2024 | HVAC &amp; Electrical Contractors | Placement of HVAC, electrical wiring, and plumbing systems |</w:t>
      </w:r>
      <w:r>
        <w:t xml:space="preserve"> </w:t>
      </w:r>
      <w:r>
        <w:t xml:space="preserve">| Final Inspection &amp; Approval | December 1 – 10, 2024 | Quality Assurance Team &amp; Building Inspector | Safety and building code compliance verification |</w:t>
      </w:r>
      <w:r>
        <w:t xml:space="preserve"> </w:t>
      </w:r>
      <w:r>
        <w:t xml:space="preserve">| Client Handover | December 15, 2024 | Project Management &amp; Sales Team | Delivery of apartments to clients with walkthroughs |</w:t>
      </w:r>
    </w:p>
    <w:bookmarkStart w:id="35" w:name="roles-and-responsibilities"/>
    <w:p>
      <w:pPr>
        <w:pStyle w:val="Heading3"/>
      </w:pPr>
      <w:r>
        <w:t xml:space="preserve">Roles and Responsibilities</w:t>
      </w:r>
    </w:p>
    <w:p>
      <w:pPr>
        <w:pStyle w:val="Compact"/>
        <w:numPr>
          <w:ilvl w:val="0"/>
          <w:numId w:val="1007"/>
        </w:numPr>
      </w:pPr>
      <w:r>
        <w:rPr>
          <w:b/>
          <w:bCs/>
        </w:rPr>
        <w:t xml:space="preserve">Oscar, Design Team Lead:</w:t>
      </w:r>
      <w:r>
        <w:t xml:space="preserve"> </w:t>
      </w:r>
      <w:r>
        <w:t xml:space="preserve">Responsible for the architectural design, integration of client feedback, and finalizing the standard layouts.</w:t>
      </w:r>
    </w:p>
    <w:p>
      <w:pPr>
        <w:pStyle w:val="Compact"/>
        <w:numPr>
          <w:ilvl w:val="0"/>
          <w:numId w:val="1007"/>
        </w:numPr>
      </w:pPr>
      <w:r>
        <w:rPr>
          <w:b/>
          <w:bCs/>
        </w:rPr>
        <w:t xml:space="preserve">Procurement Team:</w:t>
      </w:r>
      <w:r>
        <w:t xml:space="preserve"> </w:t>
      </w:r>
      <w:r>
        <w:t xml:space="preserve">Manages sourcing, supplier negotiations, and materials logistics to align with budget and sustainability goals.</w:t>
      </w:r>
    </w:p>
    <w:p>
      <w:pPr>
        <w:pStyle w:val="Compact"/>
        <w:numPr>
          <w:ilvl w:val="0"/>
          <w:numId w:val="1007"/>
        </w:numPr>
      </w:pPr>
      <w:r>
        <w:rPr>
          <w:b/>
          <w:bCs/>
        </w:rPr>
        <w:t xml:space="preserve">Construction Partners:</w:t>
      </w:r>
      <w:r>
        <w:t xml:space="preserve"> </w:t>
      </w:r>
      <w:r>
        <w:t xml:space="preserve">Oversee onsite building work, coordination of subcontractors, and adherence to schedules.</w:t>
      </w:r>
    </w:p>
    <w:p>
      <w:pPr>
        <w:pStyle w:val="Compact"/>
        <w:numPr>
          <w:ilvl w:val="0"/>
          <w:numId w:val="1007"/>
        </w:numPr>
      </w:pPr>
      <w:r>
        <w:rPr>
          <w:b/>
          <w:bCs/>
        </w:rPr>
        <w:t xml:space="preserve">Quality Assurance Team:</w:t>
      </w:r>
      <w:r>
        <w:t xml:space="preserve"> </w:t>
      </w:r>
      <w:r>
        <w:t xml:space="preserve">Conducts interim and final inspections, ensuring safety and adherence to design specifications.</w:t>
      </w:r>
    </w:p>
    <w:p>
      <w:pPr>
        <w:pStyle w:val="Compact"/>
        <w:numPr>
          <w:ilvl w:val="0"/>
          <w:numId w:val="1007"/>
        </w:numPr>
      </w:pPr>
      <w:r>
        <w:rPr>
          <w:b/>
          <w:bCs/>
        </w:rPr>
        <w:t xml:space="preserve">Project Management:</w:t>
      </w:r>
      <w:r>
        <w:t xml:space="preserve"> </w:t>
      </w:r>
      <w:r>
        <w:t xml:space="preserve">Coordinates all teams, manages timelines, risks, and ensures communication flow among stakeholders.</w:t>
      </w:r>
    </w:p>
    <w:bookmarkEnd w:id="35"/>
    <w:bookmarkEnd w:id="36"/>
    <w:bookmarkStart w:id="37" w:name="conclusion"/>
    <w:p>
      <w:pPr>
        <w:pStyle w:val="Heading2"/>
      </w:pPr>
      <w:r>
        <w:t xml:space="preserve">Conclusion</w:t>
      </w:r>
    </w:p>
    <w:p>
      <w:pPr>
        <w:pStyle w:val="FirstParagraph"/>
      </w:pPr>
      <w:r>
        <w:t xml:space="preserve">The implementation of standardized apartment configurations represents a strategic advancement for Awesome Inc., facilitating the delivery of practical, aesthetically pleasing, and environmentally responsible housing solutions. The design’s fusion of modernist simplicity and sustainable innovation caters to contemporary preferences while ensuring cost-efficiency and regulatory compliance.</w:t>
      </w:r>
    </w:p>
    <w:p>
      <w:pPr>
        <w:pStyle w:val="BodyText"/>
      </w:pPr>
      <w:r>
        <w:t xml:space="preserve">Through modular design and sustainable material choices, these apartment units support not only residents' comfort and health but also future adaptability and reduced environmental impact. The comprehensive cost analysis and clear project milestones prepare the company to manage resources effectively, mitigate risks, and exceed market expectations.</w:t>
      </w:r>
    </w:p>
    <w:p>
      <w:pPr>
        <w:pStyle w:val="BodyText"/>
      </w:pPr>
      <w:r>
        <w:t xml:space="preserve">Clients seeking personalized touches beyond the standardized configurations are invited to engage with Awesome Inc.’s experienced design experts, who will assist in tailoring solutions without sacrificing the efficiencies brought by the standard approach. This proposal embodies Awesome Inc.’s commitment to excellence, sustainability, and community wellbeing—a blueprint for thriving urban living in the years ahead.</w:t>
      </w:r>
    </w:p>
    <w:p>
      <w:r>
        <w:pict>
          <v:rect style="width:0;height:1.5pt" o:hralign="center" o:hrstd="t" o:hr="t"/>
        </w:pict>
      </w:r>
    </w:p>
    <w:p>
      <w:pPr>
        <w:pStyle w:val="FirstParagraph"/>
      </w:pPr>
      <w:r>
        <w:t xml:space="preserve">For further inquiries, consultations, or custom design requests, please contact:</w:t>
      </w:r>
    </w:p>
    <w:p>
      <w:pPr>
        <w:pStyle w:val="BodyText"/>
      </w:pPr>
      <w:r>
        <w:rPr>
          <w:b/>
          <w:bCs/>
        </w:rPr>
        <w:t xml:space="preserve">Oscar Müller</w:t>
      </w:r>
      <w:r>
        <w:br/>
      </w:r>
      <w:r>
        <w:t xml:space="preserve">Lead Architect, Design Team</w:t>
      </w:r>
      <w:r>
        <w:br/>
      </w:r>
      <w:r>
        <w:t xml:space="preserve">Awesome Inc.</w:t>
      </w:r>
      <w:r>
        <w:br/>
      </w:r>
      <w:r>
        <w:t xml:space="preserve">Email: oscar.mueller@awesomeinc.com</w:t>
      </w:r>
      <w:r>
        <w:br/>
      </w:r>
      <w:r>
        <w:t xml:space="preserve">Phone: +49 30 1234 5678</w:t>
      </w:r>
    </w:p>
    <w:p>
      <w:pPr>
        <w:pStyle w:val="BodyText"/>
      </w:pPr>
      <w:r>
        <w:rPr>
          <w:b/>
          <w:bCs/>
        </w:rPr>
        <w:t xml:space="preserve">Procurement Office</w:t>
      </w:r>
      <w:r>
        <w:br/>
      </w:r>
      <w:r>
        <w:t xml:space="preserve">Awesome Inc.</w:t>
      </w:r>
      <w:r>
        <w:br/>
      </w:r>
      <w:r>
        <w:t xml:space="preserve">Email: procurement@awesomeinc.com</w:t>
      </w:r>
      <w:r>
        <w:br/>
      </w:r>
      <w:r>
        <w:t xml:space="preserve">Phone: +49 30 8765 4321</w:t>
      </w:r>
    </w:p>
    <w:p>
      <w:r>
        <w:pict>
          <v:rect style="width:0;height:1.5pt" o:hralign="center" o:hrstd="t" o:hr="t"/>
        </w:pict>
      </w:r>
    </w:p>
    <w:p>
      <w:pPr>
        <w:pStyle w:val="FirstParagraph"/>
      </w:pPr>
      <w:r>
        <w:rPr>
          <w:i/>
          <w:iCs/>
        </w:rPr>
        <w:t xml:space="preserve">Appendices and detailed technical drawings are available upon request.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2025-08-09T15:59:43Z</dcterms:created>
  <dcterms:modified xsi:type="dcterms:W3CDTF">2025-08-09T15:59:43Z</dcterms:modified>
</cp:coreProperties>
</file>

<file path=docProps/custom.xml><?xml version="1.0" encoding="utf-8"?>
<Properties xmlns="http://schemas.openxmlformats.org/officeDocument/2006/custom-properties" xmlns:vt="http://schemas.openxmlformats.org/officeDocument/2006/docPropsVTypes"/>
</file>