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xecutive-summary"/>
    <w:p>
      <w:pPr>
        <w:pStyle w:val="Heading1"/>
      </w:pPr>
      <w:r>
        <w:t xml:space="preserve">Executive Summary</w:t>
      </w:r>
    </w:p>
    <w:p>
      <w:pPr>
        <w:pStyle w:val="FirstParagraph"/>
      </w:pPr>
      <w:r>
        <w:t xml:space="preserve">This document proposes a set of standard apartment configurations for a new modular apartment building and presents a detailed, indicative building cost and delivery analysis. The emphasis is on sustainable, high-quality, cost-effective solutions that are quick to deliver using prefabricated volumetric modules (cross-laminated timber — CLT modules) or timber-concrete-hybrid options where required. The analysis and numbers are prepared for a mid-sized German city market (price levels 2025–2026) and are indicative only; they must be refined and validated after a site-specific investigation, geotechnical report, and contractor / manufacturer bids.</w:t>
      </w:r>
    </w:p>
    <w:p>
      <w:pPr>
        <w:pStyle w:val="BodyText"/>
      </w:pPr>
      <w:r>
        <w:t xml:space="preserve">Key recommendations (summary)</w:t>
      </w:r>
      <w:r>
        <w:t xml:space="preserve"> </w:t>
      </w:r>
      <w:r>
        <w:t xml:space="preserve">- Adopt volumetric CLT-based modules as the primary delivery strategy for speed, improved sustainability, and factory-quality finishing.</w:t>
      </w:r>
      <w:r>
        <w:t xml:space="preserve"> </w:t>
      </w:r>
      <w:r>
        <w:t xml:space="preserve">- Offer three standardized apartment types for client selection:</w:t>
      </w:r>
      <w:r>
        <w:t xml:space="preserve"> </w:t>
      </w:r>
      <w:r>
        <w:t xml:space="preserve">- Type A — Studio (~35 m² net)</w:t>
      </w:r>
      <w:r>
        <w:t xml:space="preserve"> </w:t>
      </w:r>
      <w:r>
        <w:t xml:space="preserve">- Type B — 2-Bedroom (~65 m² net)</w:t>
      </w:r>
      <w:r>
        <w:t xml:space="preserve"> </w:t>
      </w:r>
      <w:r>
        <w:t xml:space="preserve">- Type C — 3-Bedroom (~85 m² net)</w:t>
      </w:r>
      <w:r>
        <w:t xml:space="preserve"> </w:t>
      </w:r>
      <w:r>
        <w:t xml:space="preserve">- Target mid-to-high build quality: durable finishes, an efficient building envelope exceeding GEG requirements, integrated MVHR + heat-pump system, and roof-mounted PV with battery-ready infrastructure.</w:t>
      </w:r>
      <w:r>
        <w:t xml:space="preserve"> </w:t>
      </w:r>
      <w:r>
        <w:t xml:space="preserve">- Use standardized module widths and services alignment to minimize MEP complexity and speed on-site integration.</w:t>
      </w:r>
      <w:r>
        <w:t xml:space="preserve"> </w:t>
      </w:r>
      <w:r>
        <w:t xml:space="preserve">- Follow a staged procurement strategy (early contractor engagement / two-stage tender) to manage module lead times and lock in factory slots.</w:t>
      </w:r>
    </w:p>
    <w:p>
      <w:pPr>
        <w:pStyle w:val="BodyText"/>
      </w:pPr>
      <w:r>
        <w:t xml:space="preserve">This document expands the original outline with detailed assumptions, sample unit-level cost build-ups, a full-cost breakdown, procurement and programme milestones, technical recommendations (structure, MEP, energy), sustainability and embodied carbon guidance, risk register with mitigations, and appendices listing deliverables and next actions.</w:t>
      </w:r>
    </w:p>
    <w:p>
      <w:r>
        <w:pict>
          <v:rect style="width:0;height:1.5pt" o:hralign="center" o:hrstd="t" o:hr="t"/>
        </w:pict>
      </w:r>
    </w:p>
    <w:bookmarkEnd w:id="20"/>
    <w:bookmarkStart w:id="21" w:name="project-overview-assumptions-expanded"/>
    <w:p>
      <w:pPr>
        <w:pStyle w:val="Heading1"/>
      </w:pPr>
      <w:r>
        <w:t xml:space="preserve">Project Overview &amp; Assumptions (expanded)</w:t>
      </w:r>
    </w:p>
    <w:p>
      <w:pPr>
        <w:pStyle w:val="FirstParagraph"/>
      </w:pPr>
      <w:r>
        <w:t xml:space="preserve">Primary project assumptions (confirm or update)</w:t>
      </w:r>
      <w:r>
        <w:t xml:space="preserve"> </w:t>
      </w:r>
      <w:r>
        <w:t xml:space="preserve">- Location: mid-sized German city (regional centre; not central Munich or other high-cost metro). Typical municipal developer fees and planning timelines apply.</w:t>
      </w:r>
      <w:r>
        <w:t xml:space="preserve"> </w:t>
      </w:r>
      <w:r>
        <w:t xml:space="preserve">- Site: brownfield or greenfield with normal to average soil conditions. No extraordinary foundation works (no deep piling assumed in base case).</w:t>
      </w:r>
      <w:r>
        <w:t xml:space="preserve"> </w:t>
      </w:r>
      <w:r>
        <w:t xml:space="preserve">- Building: 5–7 storeys, 30–40 residential units total.</w:t>
      </w:r>
      <w:r>
        <w:t xml:space="preserve"> </w:t>
      </w:r>
      <w:r>
        <w:t xml:space="preserve">- Construction approach: volumetric prefabricated CLT modules for typical apartment modules; a timber-concrete hybrid option (timber modules on concrete cores / podium or composite floors) is considered where fire/regulatory constraints or acoustic/structural criteria require it.</w:t>
      </w:r>
      <w:r>
        <w:t xml:space="preserve"> </w:t>
      </w:r>
      <w:r>
        <w:t xml:space="preserve">- Level of finish: mid to high. Durable surfaces, built-in kitchen allowance as part of a menu of options, good acoustic insulation to meet residential expectations.</w:t>
      </w:r>
      <w:r>
        <w:t xml:space="preserve"> </w:t>
      </w:r>
      <w:r>
        <w:t xml:space="preserve">- Date of cost reference: 2025–2026 market. Prices are indicative and given in Euros (€). VAT excluded unless specifically noted.</w:t>
      </w:r>
      <w:r>
        <w:t xml:space="preserve"> </w:t>
      </w:r>
      <w:r>
        <w:t xml:space="preserve">- Net-to-Gross conversion: base assumption for planning-level costing uses a gross floor area (GFA) multiplier of 1.33 (i.e., GFA = net area × 1.33) to account for circulation, cores, plant rooms and common areas. This is consistent with the example in the earlier summary (average net 60 m² × 35 units ≈ 2100 m² net → GFA ≈ 2,800 m²).</w:t>
      </w:r>
      <w:r>
        <w:t xml:space="preserve"> </w:t>
      </w:r>
      <w:r>
        <w:t xml:space="preserve">- Currency &amp; tax: all costs in € (excl. VAT unless noted).</w:t>
      </w:r>
      <w:r>
        <w:t xml:space="preserve"> </w:t>
      </w:r>
      <w:r>
        <w:t xml:space="preserve">- Programme assumptions: modular factory production lead times of 3–6 months; on-site assembly (crane, junctions) 4–6 months for modules, plus finishing 2–4 months (total assembly + fit-out 6–10 months). Conventional build: 12–18 months typical.</w:t>
      </w:r>
    </w:p>
    <w:p>
      <w:pPr>
        <w:pStyle w:val="BodyText"/>
      </w:pPr>
      <w:r>
        <w:t xml:space="preserve">If any of the above assumptions are incorrect or require modification (different GFA factor, different storey count, constrained planning regime, brownfield remediation), please indicate and the numbers will be revised.</w:t>
      </w:r>
    </w:p>
    <w:p>
      <w:pPr>
        <w:pStyle w:val="BodyText"/>
      </w:pPr>
      <w:r>
        <w:t xml:space="preserve">Important scope clarifications</w:t>
      </w:r>
      <w:r>
        <w:t xml:space="preserve"> </w:t>
      </w:r>
      <w:r>
        <w:t xml:space="preserve">- Land acquisition costs are excluded from the analysis.</w:t>
      </w:r>
      <w:r>
        <w:t xml:space="preserve"> </w:t>
      </w:r>
      <w:r>
        <w:t xml:space="preserve">- Archaeological, contaminated land remediation, or major services diversion costs are excluded and will be additional if present.</w:t>
      </w:r>
      <w:r>
        <w:t xml:space="preserve"> </w:t>
      </w:r>
      <w:r>
        <w:t xml:space="preserve">- Furnishings and soft-fit (tenant furniture, white goods beyond built-in allowances) are not included except where specifically noted as owner allowances.</w:t>
      </w:r>
    </w:p>
    <w:p>
      <w:r>
        <w:pict>
          <v:rect style="width:0;height:1.5pt" o:hralign="center" o:hrstd="t" o:hr="t"/>
        </w:pict>
      </w:r>
    </w:p>
    <w:bookmarkEnd w:id="21"/>
    <w:bookmarkStart w:id="22" w:name="design-objectives-detailed"/>
    <w:p>
      <w:pPr>
        <w:pStyle w:val="Heading1"/>
      </w:pPr>
      <w:r>
        <w:t xml:space="preserve">Design Objectives (detailed)</w:t>
      </w:r>
    </w:p>
    <w:p>
      <w:pPr>
        <w:pStyle w:val="FirstParagraph"/>
      </w:pPr>
      <w:r>
        <w:t xml:space="preserve">Primary objectives for architectural and technical design</w:t>
      </w:r>
      <w:r>
        <w:t xml:space="preserve"> </w:t>
      </w:r>
      <w:r>
        <w:t xml:space="preserve">1. Compact, flexible apartment types with high daylight access and efficient internal circulation.</w:t>
      </w:r>
      <w:r>
        <w:t xml:space="preserve"> </w:t>
      </w:r>
      <w:r>
        <w:t xml:space="preserve">2. Sustainability first — minimize embodied carbon, maximize operational energy efficiency, PV-ready roof and heat pump-based heating and hot water.</w:t>
      </w:r>
      <w:r>
        <w:t xml:space="preserve"> </w:t>
      </w:r>
      <w:r>
        <w:t xml:space="preserve">3. Fast on-site assembly and reduced site traffic through volumetric modular delivery; minimize noise, dust and local disruption.</w:t>
      </w:r>
      <w:r>
        <w:t xml:space="preserve"> </w:t>
      </w:r>
      <w:r>
        <w:t xml:space="preserve">4. Standardized finishes, service positions and module dimensions to reduce manufacturing complexity and speed procurement.</w:t>
      </w:r>
      <w:r>
        <w:t xml:space="preserve"> </w:t>
      </w:r>
      <w:r>
        <w:t xml:space="preserve">5. Accessibility — at least 10% of units to be adaptable/accessible (wheelchair adaptable, step-free threshold, accessible bathroom).</w:t>
      </w:r>
      <w:r>
        <w:t xml:space="preserve"> </w:t>
      </w:r>
      <w:r>
        <w:t xml:space="preserve">6. Future-proofing — provide simple upgrade paths for electrification, battery storage, and future PV expansions.</w:t>
      </w:r>
    </w:p>
    <w:p>
      <w:pPr>
        <w:pStyle w:val="BodyText"/>
      </w:pPr>
      <w:r>
        <w:t xml:space="preserve">Design performance targets (indicative)</w:t>
      </w:r>
      <w:r>
        <w:t xml:space="preserve"> </w:t>
      </w:r>
      <w:r>
        <w:t xml:space="preserve">- Thermal envelope: achieve or exceed GEG targets by a comfortable margin (U-values and heating demand target of &lt;35–45 kWh/m²a depending on local climate and accounting for PV).</w:t>
      </w:r>
      <w:r>
        <w:t xml:space="preserve"> </w:t>
      </w:r>
      <w:r>
        <w:t xml:space="preserve">- Air tightness: n50 &lt; 2.0 h⁻¹ (preferable &lt;1.5 h⁻¹ for MVHR performance).</w:t>
      </w:r>
      <w:r>
        <w:t xml:space="preserve"> </w:t>
      </w:r>
      <w:r>
        <w:t xml:space="preserve">- Acoustic: party walls/flats: airborne insulation DnT,w ≥ 50-55 dB and impact insulation Ln,w ≤ 53 dB (target better where possible). Corridor-to-flat acoustic separation: designed to achieve T30/T60 fire and acoustic performance per local regs.</w:t>
      </w:r>
      <w:r>
        <w:t xml:space="preserve"> </w:t>
      </w:r>
      <w:r>
        <w:t xml:space="preserve">- Embodied carbon: CLT modules target lower whole-life embodied CO2 than a concrete-only solution (see Sustainability section for ranges).</w:t>
      </w:r>
    </w:p>
    <w:p>
      <w:r>
        <w:pict>
          <v:rect style="width:0;height:1.5pt" o:hralign="center" o:hrstd="t" o:hr="t"/>
        </w:pict>
      </w:r>
    </w:p>
    <w:bookmarkEnd w:id="22"/>
    <w:bookmarkStart w:id="23" w:name="X6f656b44830489cdec38a33d3d7d8c89684065e"/>
    <w:p>
      <w:pPr>
        <w:pStyle w:val="Heading1"/>
      </w:pPr>
      <w:r>
        <w:t xml:space="preserve">Standard Apartment Configurations (for customer selection) — full specification</w:t>
      </w:r>
    </w:p>
    <w:p>
      <w:pPr>
        <w:pStyle w:val="FirstParagraph"/>
      </w:pPr>
      <w:r>
        <w:t xml:space="preserve">Overview: three standard unit types have been developed to streamline production, marketing and operation. Each configuration is accompanied by recommended module layouts, furniture planning guidance and typical finishes. The units are designed to be produced as whole volumetric modules (living zone and bedroom zones) with wet cores either integrated in the module or located in stacked shafts to minimize on-site MEP splices.</w:t>
      </w:r>
    </w:p>
    <w:p>
      <w:pPr>
        <w:pStyle w:val="BodyText"/>
      </w:pPr>
      <w:r>
        <w:t xml:space="preserve">Net-to-gross planning assumption: gross area = net area × 1.33. Individual unit-level GFA values used in cost calculations in Section: Cost Analysis.</w:t>
      </w:r>
    </w:p>
    <w:p>
      <w:pPr>
        <w:pStyle w:val="BodyText"/>
      </w:pPr>
      <w:r>
        <w:t xml:space="preserve">Type A — Studio (approx. 35 m² net; approx. 46.5 m² GFA)</w:t>
      </w:r>
      <w:r>
        <w:t xml:space="preserve"> </w:t>
      </w:r>
      <w:r>
        <w:t xml:space="preserve">- Layout:</w:t>
      </w:r>
      <w:r>
        <w:t xml:space="preserve"> </w:t>
      </w:r>
      <w:r>
        <w:t xml:space="preserve">- Open-plan living + sleeping area with compact kitchen (full-depth single-wall or L-shape).</w:t>
      </w:r>
      <w:r>
        <w:t xml:space="preserve"> </w:t>
      </w:r>
      <w:r>
        <w:t xml:space="preserve">- Full bathroom with washer/dryer provision (stacked combi or 600 mm washer).</w:t>
      </w:r>
      <w:r>
        <w:t xml:space="preserve"> </w:t>
      </w:r>
      <w:r>
        <w:t xml:space="preserve">- Optional small entrance lobby / storage closet (0.5–1.0 m²).</w:t>
      </w:r>
      <w:r>
        <w:t xml:space="preserve"> </w:t>
      </w:r>
      <w:r>
        <w:t xml:space="preserve">- Optional balcony 3–4 m² where façade orientation allows.</w:t>
      </w:r>
      <w:r>
        <w:t xml:space="preserve"> </w:t>
      </w:r>
      <w:r>
        <w:t xml:space="preserve">- Fixtures/Finishes (baseline):</w:t>
      </w:r>
      <w:r>
        <w:t xml:space="preserve"> </w:t>
      </w:r>
      <w:r>
        <w:t xml:space="preserve">- Kitchen: laminate worktop, integrated 4-ring induction hob, under-counter fridge-freezer, 45 cm oven, integrated extractor, one bowl sink.</w:t>
      </w:r>
      <w:r>
        <w:t xml:space="preserve"> </w:t>
      </w:r>
      <w:r>
        <w:t xml:space="preserve">- Bathroom: white sanitaryware, shower or shower-over-bath depending on plan; 600 mm vanity unit.</w:t>
      </w:r>
      <w:r>
        <w:t xml:space="preserve"> </w:t>
      </w:r>
      <w:r>
        <w:t xml:space="preserve">- Flooring: durable vinyl plank (4 mm heterogenous) or oak-laminate (mid-range).</w:t>
      </w:r>
      <w:r>
        <w:t xml:space="preserve"> </w:t>
      </w:r>
      <w:r>
        <w:t xml:space="preserve">- Heating: compact fan-coil / heated towel rail integrated to heat-pump circuit.</w:t>
      </w:r>
      <w:r>
        <w:t xml:space="preserve"> </w:t>
      </w:r>
      <w:r>
        <w:t xml:space="preserve">- Target market: singles, students, short-term rental.</w:t>
      </w:r>
    </w:p>
    <w:p>
      <w:pPr>
        <w:pStyle w:val="BodyText"/>
      </w:pPr>
      <w:r>
        <w:t xml:space="preserve">Type B — 2-Bedroom (approx. 65 m² net; approx. 86.5 m² GFA)</w:t>
      </w:r>
      <w:r>
        <w:t xml:space="preserve"> </w:t>
      </w:r>
      <w:r>
        <w:t xml:space="preserve">- Layout:</w:t>
      </w:r>
      <w:r>
        <w:t xml:space="preserve"> </w:t>
      </w:r>
      <w:r>
        <w:t xml:space="preserve">- Living/dining with open kitchen; master bedroom + second bedroom / study.</w:t>
      </w:r>
      <w:r>
        <w:t xml:space="preserve"> </w:t>
      </w:r>
      <w:r>
        <w:t xml:space="preserve">- Main bathroom + optional separate WC (where plan allows).</w:t>
      </w:r>
      <w:r>
        <w:t xml:space="preserve"> </w:t>
      </w:r>
      <w:r>
        <w:t xml:space="preserve">- Internal utility/storage cupboard for cleaning equipment/washer-dryer service (vented).</w:t>
      </w:r>
      <w:r>
        <w:t xml:space="preserve"> </w:t>
      </w:r>
      <w:r>
        <w:t xml:space="preserve">- Balcony 4–6 m² facing main façade.</w:t>
      </w:r>
      <w:r>
        <w:t xml:space="preserve"> </w:t>
      </w:r>
      <w:r>
        <w:t xml:space="preserve">- Fixtures/Finishes (baseline):</w:t>
      </w:r>
      <w:r>
        <w:t xml:space="preserve"> </w:t>
      </w:r>
      <w:r>
        <w:t xml:space="preserve">- Kitchen: 2.4–3.0 m run, integrated appliances as standard package (induction hob, oven, extractor, dishwasher), laminate or stone-look worktop for mid option.</w:t>
      </w:r>
      <w:r>
        <w:t xml:space="preserve"> </w:t>
      </w:r>
      <w:r>
        <w:t xml:space="preserve">- Bathrooms: main bathroom with bath and shower screen or full shower depending on client choice.</w:t>
      </w:r>
      <w:r>
        <w:t xml:space="preserve"> </w:t>
      </w:r>
      <w:r>
        <w:t xml:space="preserve">- Flooring: oak-laminate living and bedrooms; ceramic tile in wet areas.</w:t>
      </w:r>
      <w:r>
        <w:t xml:space="preserve"> </w:t>
      </w:r>
      <w:r>
        <w:t xml:space="preserve">- Heating &amp; ventilation: MVHR with supply to living/kitchen, extract to bathroom and kitchen; heat pump (air-source) provides low-temperature hot water and space heating.</w:t>
      </w:r>
      <w:r>
        <w:t xml:space="preserve"> </w:t>
      </w:r>
      <w:r>
        <w:t xml:space="preserve">- Target market: couples, small families.</w:t>
      </w:r>
    </w:p>
    <w:p>
      <w:pPr>
        <w:pStyle w:val="BodyText"/>
      </w:pPr>
      <w:r>
        <w:t xml:space="preserve">Type C — 3-Bedroom (approx. 85 m² net; approx. 113 m² GFA)</w:t>
      </w:r>
      <w:r>
        <w:t xml:space="preserve"> </w:t>
      </w:r>
      <w:r>
        <w:t xml:space="preserve">- Layout:</w:t>
      </w:r>
      <w:r>
        <w:t xml:space="preserve"> </w:t>
      </w:r>
      <w:r>
        <w:t xml:space="preserve">- Larger living area, 2–3 bedrooms (one double master), 1–2 bathrooms (one ensuite where feasible).</w:t>
      </w:r>
      <w:r>
        <w:t xml:space="preserve"> </w:t>
      </w:r>
      <w:r>
        <w:t xml:space="preserve">- Separate utility / storage room within unit if feasible.</w:t>
      </w:r>
      <w:r>
        <w:t xml:space="preserve"> </w:t>
      </w:r>
      <w:r>
        <w:t xml:space="preserve">- Balcony / terrace 6–10 m² on favourable façades; top-floor terraces where applicable.</w:t>
      </w:r>
      <w:r>
        <w:t xml:space="preserve"> </w:t>
      </w:r>
      <w:r>
        <w:t xml:space="preserve">- Fixtures/Finishes (baseline):</w:t>
      </w:r>
      <w:r>
        <w:t xml:space="preserve"> </w:t>
      </w:r>
      <w:r>
        <w:t xml:space="preserve">- Kitchens: 3.0–3.6 m run, mid-range built-in appliances; option for premium upgrade.</w:t>
      </w:r>
      <w:r>
        <w:t xml:space="preserve"> </w:t>
      </w:r>
      <w:r>
        <w:t xml:space="preserve">- Bathrooms: main bathroom + ensuite; thermostatic mixers and energy-efficient fittings.</w:t>
      </w:r>
      <w:r>
        <w:t xml:space="preserve"> </w:t>
      </w:r>
      <w:r>
        <w:t xml:space="preserve">- Acoustic separation and additional insulation between bedrooms to meet family expectations.</w:t>
      </w:r>
      <w:r>
        <w:t xml:space="preserve"> </w:t>
      </w:r>
      <w:r>
        <w:t xml:space="preserve">- Target market: families seeking longer-term rental or owner-occupiers.</w:t>
      </w:r>
    </w:p>
    <w:p>
      <w:pPr>
        <w:pStyle w:val="BodyText"/>
      </w:pPr>
      <w:r>
        <w:t xml:space="preserve">Unit planning principles (detailed)</w:t>
      </w:r>
      <w:r>
        <w:t xml:space="preserve"> </w:t>
      </w:r>
      <w:r>
        <w:t xml:space="preserve">- Day spaces placed to best-performing façades to maximize daylight and passive solar gains; bedrooms oriented to quieter side where possible.</w:t>
      </w:r>
      <w:r>
        <w:t xml:space="preserve"> </w:t>
      </w:r>
      <w:r>
        <w:t xml:space="preserve">- Wet cores aligned vertically through the building to rationalize riser stacks and minimize on-site penetrations.</w:t>
      </w:r>
      <w:r>
        <w:t xml:space="preserve"> </w:t>
      </w:r>
      <w:r>
        <w:t xml:space="preserve">- Standardised module widths (recommended range 3.6 m — 4.2 m) to fit efficient industrial panelization, minimize offcuts and simplify repetitive factory workflows.</w:t>
      </w:r>
      <w:r>
        <w:t xml:space="preserve"> </w:t>
      </w:r>
      <w:r>
        <w:t xml:space="preserve">- Standard connection points for services (water, sanitary stacks, incoming power, ventilation ducts) standardized on module facades or ends to allow quick on-site jointing.</w:t>
      </w:r>
      <w:r>
        <w:t xml:space="preserve"> </w:t>
      </w:r>
      <w:r>
        <w:t xml:space="preserve">- Acoustic and fire separation detailed to comply with local regulations — typical party wall assemblies for modular timber designed for T30/T60 where required with gypsum-lined CLT and mineral wool layering, or concrete cores where higher fire rating required.</w:t>
      </w:r>
    </w:p>
    <w:p>
      <w:pPr>
        <w:pStyle w:val="BodyText"/>
      </w:pPr>
      <w:r>
        <w:t xml:space="preserve">Furniture/space planning guidance (example)</w:t>
      </w:r>
      <w:r>
        <w:t xml:space="preserve"> </w:t>
      </w:r>
      <w:r>
        <w:t xml:space="preserve">- Studio: 1.2 m deep sofa or sofa-bed, compact dining table for two, pull-down bed or a 140–160 cm bed depending on layout; 600–700 mm entry closet recommended.</w:t>
      </w:r>
      <w:r>
        <w:t xml:space="preserve"> </w:t>
      </w:r>
      <w:r>
        <w:t xml:space="preserve">- 2BR: master bedroom: 1.6 m bed + 600 mm wardrobe space; second bedroom: workspace for WFH, 1.2 m bed or sofa-bed.</w:t>
      </w:r>
      <w:r>
        <w:t xml:space="preserve"> </w:t>
      </w:r>
      <w:r>
        <w:t xml:space="preserve">- 3BR: master with 1.8 m bed and wardrobe; family bathroom sized to accept combination of bath and shower where possible; built-in storage at corridor landings.</w:t>
      </w:r>
    </w:p>
    <w:p>
      <w:pPr>
        <w:pStyle w:val="BodyText"/>
      </w:pPr>
      <w:r>
        <w:t xml:space="preserve">Accessibility &amp; adaptable units</w:t>
      </w:r>
      <w:r>
        <w:t xml:space="preserve"> </w:t>
      </w:r>
      <w:r>
        <w:t xml:space="preserve">- At least 10% of units designed as accessible/adaptable: wider entrance doors (≥ 90 cm), step-free thresholds, reinforced bathroom walls for later grab rail installation, 1.5 m turning area in WC/bathroom, kitchen layouts that allow under-counter appliances at variable heights.</w:t>
      </w:r>
      <w:r>
        <w:t xml:space="preserve"> </w:t>
      </w:r>
      <w:r>
        <w:t xml:space="preserve">- Door clearances, lever handles and low thresholds will be standard on all ground floor or allocated accessible units.</w:t>
      </w:r>
      <w:r>
        <w:t xml:space="preserve"> </w:t>
      </w:r>
      <w:r>
        <w:t xml:space="preserve">- Future-proofing includes pre-installed space for potential through-floor lifts where communal needs change (if local planning permits).</w:t>
      </w:r>
    </w:p>
    <w:p>
      <w:pPr>
        <w:pStyle w:val="BodyText"/>
      </w:pPr>
      <w:r>
        <w:t xml:space="preserve">Evidence of modular producibility</w:t>
      </w:r>
      <w:r>
        <w:t xml:space="preserve"> </w:t>
      </w:r>
      <w:r>
        <w:t xml:space="preserve">- Each unit type has been modeled using repeatable bay widths and standardized CLT wall and floor panel details to fit a factory production run.</w:t>
      </w:r>
      <w:r>
        <w:t xml:space="preserve"> </w:t>
      </w:r>
      <w:r>
        <w:t xml:space="preserve">- Typical module exterior face dimensions kept to &lt;12 m length × &lt;4.2 m width to remain within road transport restrictions in Germany (special permits for wider loads raise costs and complexity).</w:t>
      </w:r>
      <w:r>
        <w:t xml:space="preserve"> </w:t>
      </w:r>
      <w:r>
        <w:t xml:space="preserve">- Modules designed with factory-installed finishes internally (paint, kitchen, bathrooms) to reduce on-site finishing scope and QC variability.</w:t>
      </w:r>
    </w:p>
    <w:p>
      <w:r>
        <w:pict>
          <v:rect style="width:0;height:1.5pt" o:hralign="center" o:hrstd="t" o:hr="t"/>
        </w:pict>
      </w:r>
    </w:p>
    <w:bookmarkEnd w:id="23"/>
    <w:bookmarkStart w:id="24" w:name="X375a7a4f6a45e1db89e633c19ef6c512e8da3fe"/>
    <w:p>
      <w:pPr>
        <w:pStyle w:val="Heading1"/>
      </w:pPr>
      <w:r>
        <w:t xml:space="preserve">Architectural &amp; Technical Strategy (expanded)</w:t>
      </w:r>
    </w:p>
    <w:p>
      <w:pPr>
        <w:pStyle w:val="FirstParagraph"/>
      </w:pPr>
      <w:r>
        <w:t xml:space="preserve">Structural approach</w:t>
      </w:r>
      <w:r>
        <w:t xml:space="preserve"> </w:t>
      </w:r>
      <w:r>
        <w:t xml:space="preserve">- Preferred: Volumetric CLT modules:</w:t>
      </w:r>
      <w:r>
        <w:t xml:space="preserve"> </w:t>
      </w:r>
      <w:r>
        <w:t xml:space="preserve">- CLT panels and floor cassettes prefabricated in factory; modules craned into place and connected via engineered steel connections at module ends and junctions.</w:t>
      </w:r>
      <w:r>
        <w:t xml:space="preserve"> </w:t>
      </w:r>
      <w:r>
        <w:t xml:space="preserve">- Load path: modules act compositely with in-situ concrete or timber-concrete hybrid podium where required for lateral stability and to anchor elevator cores.</w:t>
      </w:r>
      <w:r>
        <w:t xml:space="preserve"> </w:t>
      </w:r>
      <w:r>
        <w:t xml:space="preserve">- Podium + cores (vertical circulation and firefighting stair) typically cast in situ reinforced concrete for durability, fire-resistance and stiffness.</w:t>
      </w:r>
      <w:r>
        <w:t xml:space="preserve"> </w:t>
      </w:r>
      <w:r>
        <w:t xml:space="preserve">- Alternate: Hybrid solution:</w:t>
      </w:r>
      <w:r>
        <w:t xml:space="preserve"> </w:t>
      </w:r>
      <w:r>
        <w:t xml:space="preserve">- Timber modules for apartments but composite or concrete floors/cores where fire or acoustic constraints exist; this gives improved separation for robustness at the cost of slightly longer on-site programme.</w:t>
      </w:r>
    </w:p>
    <w:p>
      <w:pPr>
        <w:pStyle w:val="BodyText"/>
      </w:pPr>
      <w:r>
        <w:t xml:space="preserve">Connection &amp; fire engineering</w:t>
      </w:r>
      <w:r>
        <w:t xml:space="preserve"> </w:t>
      </w:r>
      <w:r>
        <w:t xml:space="preserve">- Module-to-module connections designed to transfer shear, gravity and lateral loads with engineered steel plates and threaded rods; connections designed for re-tightening during fit-out.</w:t>
      </w:r>
      <w:r>
        <w:t xml:space="preserve"> </w:t>
      </w:r>
      <w:r>
        <w:t xml:space="preserve">- Fire strategy: CLT modules typically require protective linings (plasterboard) and considered charring rates to maintain structural performance in required fire rating periods. Fire engineering must be coordinated with local authority to confirm acceptable approach (T30/T60 as required). Provide prescriptive and performance-based options in planning submission.</w:t>
      </w:r>
      <w:r>
        <w:t xml:space="preserve"> </w:t>
      </w:r>
      <w:r>
        <w:t xml:space="preserve">- Compartmentalisation: module interfaces between stair cores and apartments to be protected with continuous fire-stopping to maintain escape routes and meet smoke control requirements.</w:t>
      </w:r>
    </w:p>
    <w:p>
      <w:pPr>
        <w:pStyle w:val="BodyText"/>
      </w:pPr>
      <w:r>
        <w:t xml:space="preserve">Envelope &amp; thermal performance</w:t>
      </w:r>
      <w:r>
        <w:t xml:space="preserve"> </w:t>
      </w:r>
      <w:r>
        <w:t xml:space="preserve">- High-performance external wall build-up (example typical section):</w:t>
      </w:r>
      <w:r>
        <w:t xml:space="preserve"> </w:t>
      </w:r>
      <w:r>
        <w:t xml:space="preserve">- Internal finish: 15 mm gypsum board + vapour control where required</w:t>
      </w:r>
      <w:r>
        <w:t xml:space="preserve"> </w:t>
      </w:r>
      <w:r>
        <w:t xml:space="preserve">- CLT wall panel (cross-laminated timber)</w:t>
      </w:r>
      <w:r>
        <w:t xml:space="preserve"> </w:t>
      </w:r>
      <w:r>
        <w:t xml:space="preserve">- Insulation layer (wood-fibre or mineral wool) 160–240 mm depending on U-value target</w:t>
      </w:r>
      <w:r>
        <w:t xml:space="preserve"> </w:t>
      </w:r>
      <w:r>
        <w:t xml:space="preserve">- External WRB + rainscreen cladding (fibre cement or timber rainscreen) or render on insulation (ETICS) depending on aesthetic and planning constraints</w:t>
      </w:r>
      <w:r>
        <w:t xml:space="preserve"> </w:t>
      </w:r>
      <w:r>
        <w:t xml:space="preserve">- Windows: triple-glazed, low-e coated, thermally-broken frames; Uvalue target ≤ 0.9 W/m²K for window units (adjust to local climate).</w:t>
      </w:r>
      <w:r>
        <w:t xml:space="preserve"> </w:t>
      </w:r>
      <w:r>
        <w:t xml:space="preserve">- Thermal bridging: careful detailing at module interfaces, balconies and parapets. Balconies typically use thermal breaks or freestanding balcony structures to avoid thermal bridging from slab edges.</w:t>
      </w:r>
    </w:p>
    <w:p>
      <w:pPr>
        <w:pStyle w:val="BodyText"/>
      </w:pPr>
      <w:r>
        <w:t xml:space="preserve">MEP &amp; energy systems (detailed)</w:t>
      </w:r>
      <w:r>
        <w:t xml:space="preserve"> </w:t>
      </w:r>
      <w:r>
        <w:t xml:space="preserve">Heating &amp; hot water:</w:t>
      </w:r>
      <w:r>
        <w:t xml:space="preserve"> </w:t>
      </w:r>
      <w:r>
        <w:t xml:space="preserve">- Primary recommendation: centralized or semi-centralized heat-pump system (air-source or ground-source depending on site and ground availability).</w:t>
      </w:r>
      <w:r>
        <w:t xml:space="preserve"> </w:t>
      </w:r>
      <w:r>
        <w:t xml:space="preserve">- Air-source heat pumps (ASHP) are simpler to deploy and lower initial capex; ground-source affords higher seasonal efficiency but increases groundworks cost.</w:t>
      </w:r>
      <w:r>
        <w:t xml:space="preserve"> </w:t>
      </w:r>
      <w:r>
        <w:t xml:space="preserve">- System sizing: based on typical heat loads for passive-aligned envelope, estimate ~45–60 W/m² peak (approximate) — precise loads calculated in energy model.</w:t>
      </w:r>
      <w:r>
        <w:t xml:space="preserve"> </w:t>
      </w:r>
      <w:r>
        <w:t xml:space="preserve">- Hot water: either centralized DHW with heat-pump boiler and hot-water storage, or decentralized electric instantaneous/compact heat-pump water heaters in each module depending on distribution losses and maintenance strategy.</w:t>
      </w:r>
      <w:r>
        <w:t xml:space="preserve"> </w:t>
      </w:r>
      <w:r>
        <w:t xml:space="preserve">- Control: metered circuits by apartment where regulations/tenancy require; thermostatic radiator valves or motorised actuators for underfloor heating control.</w:t>
      </w:r>
    </w:p>
    <w:p>
      <w:pPr>
        <w:pStyle w:val="BodyText"/>
      </w:pPr>
      <w:r>
        <w:t xml:space="preserve">Ventilation:</w:t>
      </w:r>
      <w:r>
        <w:t xml:space="preserve"> </w:t>
      </w:r>
      <w:r>
        <w:t xml:space="preserve">- Mechanical ventilation with heat recovery (MVHR) for each apartment or centralized with apartment-level recuperators depending on plant strategy.</w:t>
      </w:r>
      <w:r>
        <w:t xml:space="preserve"> </w:t>
      </w:r>
      <w:r>
        <w:t xml:space="preserve">- MVHR reduces heating demand and provides controlled ventilation to meet indoor air quality requirements. Typical recovery efficiency target ≥ 75%.</w:t>
      </w:r>
      <w:r>
        <w:t xml:space="preserve"> </w:t>
      </w:r>
      <w:r>
        <w:t xml:space="preserve">- Ductwork: prefabricated internal MVHR trunks in module ceilings with rigid ducts to minimize site modifications.</w:t>
      </w:r>
    </w:p>
    <w:p>
      <w:pPr>
        <w:pStyle w:val="BodyText"/>
      </w:pPr>
      <w:r>
        <w:t xml:space="preserve">Electrical:</w:t>
      </w:r>
      <w:r>
        <w:t xml:space="preserve"> </w:t>
      </w:r>
      <w:r>
        <w:t xml:space="preserve">- Provision for EV charging infrastructure in the carpark / underground / podium where feasible. Flexible, charge-points or ductwork provision for later charging expansion.</w:t>
      </w:r>
      <w:r>
        <w:t xml:space="preserve"> </w:t>
      </w:r>
      <w:r>
        <w:t xml:space="preserve">- PV-friendly inverter and battery-ready electrical rooms; conduit runs sized for future battery installation; space reserved for battery in plant rooms.</w:t>
      </w:r>
      <w:r>
        <w:t xml:space="preserve"> </w:t>
      </w:r>
      <w:r>
        <w:t xml:space="preserve">- Lighting: LED lighting, occupancy sensors in corridors and communal areas, timed/photocell lighting for external areas.</w:t>
      </w:r>
    </w:p>
    <w:p>
      <w:pPr>
        <w:pStyle w:val="BodyText"/>
      </w:pPr>
      <w:r>
        <w:t xml:space="preserve">Renewables &amp; PV sizing</w:t>
      </w:r>
      <w:r>
        <w:t xml:space="preserve"> </w:t>
      </w:r>
      <w:r>
        <w:t xml:space="preserve">- Roof-mounted PV system sized to available roof area; typical yield for a 5–7 storey building with footprint 400–700 m²:</w:t>
      </w:r>
      <w:r>
        <w:t xml:space="preserve"> </w:t>
      </w:r>
      <w:r>
        <w:t xml:space="preserve">- Example: rooftop PV array 40–60 kWp (depending on roof area / shading), yielding ~34–48 MWh/year depending on orientation and tilt (rough estimate).</w:t>
      </w:r>
      <w:r>
        <w:t xml:space="preserve"> </w:t>
      </w:r>
      <w:r>
        <w:t xml:space="preserve">- Battery-ready infrastructure should be provided to maximize self-consumption and export control.</w:t>
      </w:r>
      <w:r>
        <w:t xml:space="preserve"> </w:t>
      </w:r>
      <w:r>
        <w:t xml:space="preserve">- Sizing calculations depend on roof geometry and local irradiance. Provide detailed PV layout after initial roof geometry confirmed.</w:t>
      </w:r>
    </w:p>
    <w:p>
      <w:pPr>
        <w:pStyle w:val="BodyText"/>
      </w:pPr>
      <w:r>
        <w:t xml:space="preserve">Lift &amp; vertical transport</w:t>
      </w:r>
      <w:r>
        <w:t xml:space="preserve"> </w:t>
      </w:r>
      <w:r>
        <w:t xml:space="preserve">- Lift car sized for two person wheelchair + stretcher depending on accessibility requirements; provision for goods lift is recommended if modules require on-site bulky delivery.</w:t>
      </w:r>
      <w:r>
        <w:t xml:space="preserve"> </w:t>
      </w:r>
      <w:r>
        <w:t xml:space="preserve">- Emergency egress — staircases in concrete cores with protected exits. Evacuation routes designed according to local fire regulations.</w:t>
      </w:r>
    </w:p>
    <w:p>
      <w:pPr>
        <w:pStyle w:val="BodyText"/>
      </w:pPr>
      <w:r>
        <w:t xml:space="preserve">Acoustics &amp; services separation</w:t>
      </w:r>
      <w:r>
        <w:t xml:space="preserve"> </w:t>
      </w:r>
      <w:r>
        <w:t xml:space="preserve">- Party walls: high-mass linings with resilient channels and mineral wool infill; double-stud configurations internally where additional acoustic separation required.</w:t>
      </w:r>
      <w:r>
        <w:t xml:space="preserve"> </w:t>
      </w:r>
      <w:r>
        <w:t xml:space="preserve">- Floor build-ups tested for impact and airborne sound; use resilient resilient underlayment and floating floor construction where necessary.</w:t>
      </w:r>
    </w:p>
    <w:p>
      <w:pPr>
        <w:pStyle w:val="BodyText"/>
      </w:pPr>
      <w:r>
        <w:t xml:space="preserve">Interior finishes &amp; fixtures (menu approach)</w:t>
      </w:r>
      <w:r>
        <w:t xml:space="preserve"> </w:t>
      </w:r>
      <w:r>
        <w:t xml:space="preserve">- Standardized finish palette with three selectable tiers:</w:t>
      </w:r>
      <w:r>
        <w:t xml:space="preserve"> </w:t>
      </w:r>
      <w:r>
        <w:t xml:space="preserve">- Basic (cost-sensitive): laminate kitchen, economical sanitary fittings, vinyl flooring, plain white paint.</w:t>
      </w:r>
      <w:r>
        <w:t xml:space="preserve"> </w:t>
      </w:r>
      <w:r>
        <w:t xml:space="preserve">- Mid (recommended): higher-grade laminate or engineered timber flooring, mid-range kitchen with quartz-look worktops, better sanitaryware and concealed MVHR grills.</w:t>
      </w:r>
      <w:r>
        <w:t xml:space="preserve"> </w:t>
      </w:r>
      <w:r>
        <w:t xml:space="preserve">- Premium: solid-surface tops, better cabinetry, premium sanitaryware and tiles, upgraded lighting and fittings.</w:t>
      </w:r>
      <w:r>
        <w:t xml:space="preserve"> </w:t>
      </w:r>
      <w:r>
        <w:t xml:space="preserve">- Built-in kitchens offered as menu items (three preapproved designs) to reduce bespoke design time and to allow bulk purchasing agreements with manufacturer.</w:t>
      </w:r>
      <w:r>
        <w:t xml:space="preserve"> </w:t>
      </w:r>
      <w:r>
        <w:t xml:space="preserve">- All finishes chosen for durability, cleanability and low-VOC materials.</w:t>
      </w:r>
    </w:p>
    <w:p>
      <w:pPr>
        <w:pStyle w:val="BodyText"/>
      </w:pPr>
      <w:r>
        <w:t xml:space="preserve">Quality assurance &amp; defect management</w:t>
      </w:r>
      <w:r>
        <w:t xml:space="preserve"> </w:t>
      </w:r>
      <w:r>
        <w:t xml:space="preserve">- Factory QA regime: CLT manufacturer to provide shop drawings, panel sign-off, and pre-delivery inspection checklists.</w:t>
      </w:r>
      <w:r>
        <w:t xml:space="preserve"> </w:t>
      </w:r>
      <w:r>
        <w:t xml:space="preserve">- Site QA: modular installation checklist, MEP testing and commissioning certificates, airtightness testing (blower door), and commissioning for MVHR and heat pumps.</w:t>
      </w:r>
      <w:r>
        <w:t xml:space="preserve"> </w:t>
      </w:r>
      <w:r>
        <w:t xml:space="preserve">- Defects liability period: standard 12 months for general defects; structural and waterproofing warranties as per German practice (longer where negotiated).</w:t>
      </w:r>
    </w:p>
    <w:p>
      <w:r>
        <w:pict>
          <v:rect style="width:0;height:1.5pt" o:hralign="center" o:hrstd="t" o:hr="t"/>
        </w:pict>
      </w:r>
    </w:p>
    <w:bookmarkEnd w:id="24"/>
    <w:bookmarkStart w:id="25" w:name="compliance-regulatory-notes-expanded"/>
    <w:p>
      <w:pPr>
        <w:pStyle w:val="Heading1"/>
      </w:pPr>
      <w:r>
        <w:t xml:space="preserve">Compliance &amp; Regulatory Notes (expanded)</w:t>
      </w:r>
    </w:p>
    <w:p>
      <w:pPr>
        <w:pStyle w:val="FirstParagraph"/>
      </w:pPr>
      <w:r>
        <w:t xml:space="preserve">Primary statutory frameworks and standards</w:t>
      </w:r>
      <w:r>
        <w:t xml:space="preserve"> </w:t>
      </w:r>
      <w:r>
        <w:t xml:space="preserve">- Gebäudeenergiegesetz (GEG) — compliance for operational energy, heating systems, and energy performance.</w:t>
      </w:r>
      <w:r>
        <w:t xml:space="preserve"> </w:t>
      </w:r>
      <w:r>
        <w:t xml:space="preserve">- DIN 4108 — thermal protection and energy economy in building construction.</w:t>
      </w:r>
      <w:r>
        <w:t xml:space="preserve"> </w:t>
      </w:r>
      <w:r>
        <w:t xml:space="preserve">- DIN 18599 — energy calculation methodologies for building energy demands.</w:t>
      </w:r>
      <w:r>
        <w:t xml:space="preserve"> </w:t>
      </w:r>
      <w:r>
        <w:t xml:space="preserve">- DIN EN 1990–1999 (Eurocodes) for structural design actions (where timber structures apply, follow Eurocode 5 for timber design).</w:t>
      </w:r>
      <w:r>
        <w:t xml:space="preserve"> </w:t>
      </w:r>
      <w:r>
        <w:t xml:space="preserve">- Local fire codes and municipal planning regulation: determine allowable building heights and timber use rules.</w:t>
      </w:r>
    </w:p>
    <w:p>
      <w:pPr>
        <w:pStyle w:val="BodyText"/>
      </w:pPr>
      <w:r>
        <w:t xml:space="preserve">Fire safety considerations for timber modules</w:t>
      </w:r>
      <w:r>
        <w:t xml:space="preserve"> </w:t>
      </w:r>
      <w:r>
        <w:t xml:space="preserve">- Timber modules approved subject to a fire protection concept agreed with local Bauaufsichtsbehörde (building inspectorate). Options:</w:t>
      </w:r>
      <w:r>
        <w:t xml:space="preserve"> </w:t>
      </w:r>
      <w:r>
        <w:t xml:space="preserve">- Increase protective lining thickness (e.g., multiple layers of fire-rated gypsum).</w:t>
      </w:r>
      <w:r>
        <w:t xml:space="preserve"> </w:t>
      </w:r>
      <w:r>
        <w:t xml:space="preserve">- Use of intumescent coatings and compartmentation detailing.</w:t>
      </w:r>
      <w:r>
        <w:t xml:space="preserve"> </w:t>
      </w:r>
      <w:r>
        <w:t xml:space="preserve">- Concrete stair/cores to provide protected escape and act as fire separation between vertical shafts.</w:t>
      </w:r>
      <w:r>
        <w:t xml:space="preserve"> </w:t>
      </w:r>
      <w:r>
        <w:t xml:space="preserve">- Performance-based verification demonstrating time-to-failure and charring allowances.</w:t>
      </w:r>
    </w:p>
    <w:p>
      <w:pPr>
        <w:pStyle w:val="BodyText"/>
      </w:pPr>
      <w:r>
        <w:t xml:space="preserve">Planning and building permit checklist (high-level)</w:t>
      </w:r>
      <w:r>
        <w:t xml:space="preserve"> </w:t>
      </w:r>
      <w:r>
        <w:t xml:space="preserve">- Site plan and context drawings showing setbacks, site levels and drainage.</w:t>
      </w:r>
      <w:r>
        <w:t xml:space="preserve"> </w:t>
      </w:r>
      <w:r>
        <w:t xml:space="preserve">- Elevations, sections, typical module detail and façade material samples.</w:t>
      </w:r>
      <w:r>
        <w:t xml:space="preserve"> </w:t>
      </w:r>
      <w:r>
        <w:t xml:space="preserve">- Fire safety concept describing escape routes, sprinklers (if used), and fire compartments.</w:t>
      </w:r>
      <w:r>
        <w:t xml:space="preserve"> </w:t>
      </w:r>
      <w:r>
        <w:t xml:space="preserve">- Energy statement confirming GEG compliance and renewables strategy.</w:t>
      </w:r>
      <w:r>
        <w:t xml:space="preserve"> </w:t>
      </w:r>
      <w:r>
        <w:t xml:space="preserve">- Noise and environmental statements where site near transport corridors.</w:t>
      </w:r>
      <w:r>
        <w:t xml:space="preserve"> </w:t>
      </w:r>
      <w:r>
        <w:t xml:space="preserve">- Access plan demonstrating accessible unit distribution and refuse/servicing strategy.</w:t>
      </w:r>
    </w:p>
    <w:p>
      <w:pPr>
        <w:pStyle w:val="BodyText"/>
      </w:pPr>
      <w:r>
        <w:t xml:space="preserve">Local constraints to confirm early in process</w:t>
      </w:r>
      <w:r>
        <w:t xml:space="preserve"> </w:t>
      </w:r>
      <w:r>
        <w:t xml:space="preserve">- Height limits; ridge-to-eaves restrictions.</w:t>
      </w:r>
      <w:r>
        <w:t xml:space="preserve"> </w:t>
      </w:r>
      <w:r>
        <w:t xml:space="preserve">- Parking ratios and EV charging requirements.</w:t>
      </w:r>
      <w:r>
        <w:t xml:space="preserve"> </w:t>
      </w:r>
      <w:r>
        <w:t xml:space="preserve">- Tree protection orders and heritage constraints impacting facades.</w:t>
      </w:r>
      <w:r>
        <w:t xml:space="preserve"> </w:t>
      </w:r>
      <w:r>
        <w:t xml:space="preserve">- Noise and air-quality planning constraints.</w:t>
      </w:r>
    </w:p>
    <w:p>
      <w:r>
        <w:pict>
          <v:rect style="width:0;height:1.5pt" o:hralign="center" o:hrstd="t" o:hr="t"/>
        </w:pict>
      </w:r>
    </w:p>
    <w:bookmarkEnd w:id="25"/>
    <w:bookmarkStart w:id="26" w:name="X874cb5eb2397e113599dc94486d022517976f6d"/>
    <w:p>
      <w:pPr>
        <w:pStyle w:val="Heading1"/>
      </w:pPr>
      <w:r>
        <w:t xml:space="preserve">Detailed Cost Analysis — Approach, Assumptions &amp; Expanded Line Items</w:t>
      </w:r>
    </w:p>
    <w:p>
      <w:pPr>
        <w:pStyle w:val="FirstParagraph"/>
      </w:pPr>
      <w:r>
        <w:t xml:space="preserve">Approach</w:t>
      </w:r>
      <w:r>
        <w:t xml:space="preserve"> </w:t>
      </w:r>
      <w:r>
        <w:t xml:space="preserve">- Provide indicative cost ranges per m² gross floor area (GFA) and per apartment using market reference ranges for modular and conventional construction in Germany for 2025–2026.</w:t>
      </w:r>
      <w:r>
        <w:t xml:space="preserve"> </w:t>
      </w:r>
      <w:r>
        <w:t xml:space="preserve">- Give a line-item breakdown for the total construction cost and present example per-unit cost build-ups.</w:t>
      </w:r>
      <w:r>
        <w:t xml:space="preserve"> </w:t>
      </w:r>
      <w:r>
        <w:t xml:space="preserve">- Use midpoint modular scenario of €2,000 / m² GFA for worked examples and provide sensitivity ranges.</w:t>
      </w:r>
      <w:r>
        <w:t xml:space="preserve"> </w:t>
      </w:r>
      <w:r>
        <w:t xml:space="preserve">- Advice: follow up with a contractor-led cost plan or quantity surveyor (QS) estimate to firm up numbers for tendering.</w:t>
      </w:r>
    </w:p>
    <w:p>
      <w:pPr>
        <w:pStyle w:val="BodyText"/>
      </w:pPr>
      <w:r>
        <w:t xml:space="preserve">High-level indicative construction cost ranges (2025–2026)</w:t>
      </w:r>
      <w:r>
        <w:t xml:space="preserve"> </w:t>
      </w:r>
      <w:r>
        <w:t xml:space="preserve">- Modular CLT (mid–high quality, prefabricated modules): €1,700 – €2,300 / m² GFA</w:t>
      </w:r>
      <w:r>
        <w:t xml:space="preserve"> </w:t>
      </w:r>
      <w:r>
        <w:t xml:space="preserve">- Conventional reinforced concrete or timber hybrid (mid quality): €1,500 – €2,000 / m² GFA</w:t>
      </w:r>
      <w:r>
        <w:t xml:space="preserve"> </w:t>
      </w:r>
      <w:r>
        <w:t xml:space="preserve">- High-end finishes / bespoke solutions: add €200–€400 / m² on top</w:t>
      </w:r>
    </w:p>
    <w:p>
      <w:pPr>
        <w:pStyle w:val="BodyText"/>
      </w:pPr>
      <w:r>
        <w:t xml:space="preserve">Notes: Ranges cover shell, structure, envelope, internal finishes, and MEP. Site works, external landscaping, utilities diversions, and furniture are additional where noted.</w:t>
      </w:r>
    </w:p>
    <w:p>
      <w:pPr>
        <w:pStyle w:val="BodyText"/>
      </w:pPr>
      <w:r>
        <w:t xml:space="preserve">GFA and unit assumption used for worked example</w:t>
      </w:r>
      <w:r>
        <w:t xml:space="preserve"> </w:t>
      </w:r>
      <w:r>
        <w:t xml:space="preserve">- Example building: 35 units with average net area per unit 60 m²</w:t>
      </w:r>
      <w:r>
        <w:t xml:space="preserve"> </w:t>
      </w:r>
      <w:r>
        <w:t xml:space="preserve">- Net area total = 35 × 60 = 2,100 m²</w:t>
      </w:r>
      <w:r>
        <w:t xml:space="preserve"> </w:t>
      </w:r>
      <w:r>
        <w:t xml:space="preserve">- GFA factor used = 1.33 → GFA = 2,100 × 1.33 ≈ 2,793 m² (rounded to 2,800 m² in the sample)</w:t>
      </w:r>
      <w:r>
        <w:t xml:space="preserve"> </w:t>
      </w:r>
      <w:r>
        <w:t xml:space="preserve">- Modular midpoint used: €2,000 / m² GFA</w:t>
      </w:r>
    </w:p>
    <w:p>
      <w:pPr>
        <w:pStyle w:val="BodyText"/>
      </w:pPr>
      <w:r>
        <w:t xml:space="preserve">Worked numeric example — modular scenario (midpoint)</w:t>
      </w:r>
      <w:r>
        <w:t xml:space="preserve"> </w:t>
      </w:r>
      <w:r>
        <w:t xml:space="preserve">- GFA = 2,800 m² × €2,000 / m² = €5,600,000 (indicative construction cost, excl. VAT)</w:t>
      </w:r>
      <w:r>
        <w:t xml:space="preserve"> </w:t>
      </w:r>
      <w:r>
        <w:t xml:space="preserve">Detailed percent-split example (as previously stated):</w:t>
      </w:r>
      <w:r>
        <w:t xml:space="preserve"> </w:t>
      </w:r>
      <w:r>
        <w:t xml:space="preserve">- Substructure &amp; foundations (8%): €448,000</w:t>
      </w:r>
      <w:r>
        <w:t xml:space="preserve"> </w:t>
      </w:r>
      <w:r>
        <w:t xml:space="preserve">- Structure &amp; envelope (45%): €2,520,000</w:t>
      </w:r>
      <w:r>
        <w:t xml:space="preserve"> </w:t>
      </w:r>
      <w:r>
        <w:t xml:space="preserve">- Internal finishes &amp; doors/fittings (15%): €840,000</w:t>
      </w:r>
      <w:r>
        <w:t xml:space="preserve"> </w:t>
      </w:r>
      <w:r>
        <w:t xml:space="preserve">- MEP (HVAC, electrical, plumbing) (12%): €672,000</w:t>
      </w:r>
      <w:r>
        <w:t xml:space="preserve"> </w:t>
      </w:r>
      <w:r>
        <w:t xml:space="preserve">- External works &amp; landscaping (6%): €336,000</w:t>
      </w:r>
      <w:r>
        <w:t xml:space="preserve"> </w:t>
      </w:r>
      <w:r>
        <w:t xml:space="preserve">- Elevators, cores, staircases (4%): €224,000</w:t>
      </w:r>
      <w:r>
        <w:t xml:space="preserve"> </w:t>
      </w:r>
      <w:r>
        <w:t xml:space="preserve">- Temporary works &amp; site management (5%): €280,000</w:t>
      </w:r>
      <w:r>
        <w:t xml:space="preserve"> </w:t>
      </w:r>
      <w:r>
        <w:t xml:space="preserve">- Contingency (5%): €280,000</w:t>
      </w:r>
      <w:r>
        <w:t xml:space="preserve"> </w:t>
      </w:r>
      <w:r>
        <w:t xml:space="preserve">Total = €5,600,000 (rounded)</w:t>
      </w:r>
    </w:p>
    <w:p>
      <w:pPr>
        <w:pStyle w:val="BodyText"/>
      </w:pPr>
      <w:r>
        <w:t xml:space="preserve">Per-unit average (35 units): €5,600,000 / 35 ≈ €160,000 per unit (average). Unit-level variation depends on size and proportion of common areas.</w:t>
      </w:r>
    </w:p>
    <w:p>
      <w:pPr>
        <w:pStyle w:val="BodyText"/>
      </w:pPr>
      <w:r>
        <w:t xml:space="preserve">Note on net vs gross interpretation</w:t>
      </w:r>
      <w:r>
        <w:t xml:space="preserve"> </w:t>
      </w:r>
      <w:r>
        <w:t xml:space="preserve">- Above example uses GFA; some stakeholders prefer net-area-based costing (cost per net m²). For transparency, the same cost on net area basis = €5.6M / 2,100 m² ≈ €2,667/m² (net). Which metric is most appropriate depends on client reporting needs.</w:t>
      </w:r>
    </w:p>
    <w:p>
      <w:pPr>
        <w:pStyle w:val="BodyText"/>
      </w:pPr>
      <w:r>
        <w:t xml:space="preserve">Detailed per-apartment indicative cost ranges (by size)</w:t>
      </w:r>
      <w:r>
        <w:t xml:space="preserve"> </w:t>
      </w:r>
      <w:r>
        <w:t xml:space="preserve">- Studio 35 m² net (≈46.5 m² GFA): at €1,700–€2,300 / m² GFA → construction cost range ≈ €79k – €107k (GFA basis).</w:t>
      </w:r>
      <w:r>
        <w:t xml:space="preserve"> </w:t>
      </w:r>
      <w:r>
        <w:t xml:space="preserve">- If quoted earlier lower net-only numbers (≈€59k – €80k), that likely used a lower GFA add-on or used net-area × lower quoted unit-cost. Presenting both and clarifying the basis is important when communicating costs.</w:t>
      </w:r>
      <w:r>
        <w:t xml:space="preserve"> </w:t>
      </w:r>
      <w:r>
        <w:t xml:space="preserve">- 2BR 65 m² net (≈86.5 m² GFA): at €1,700–€2,300 / m² GFA → ≈ €147k – €199k.</w:t>
      </w:r>
      <w:r>
        <w:t xml:space="preserve"> </w:t>
      </w:r>
      <w:r>
        <w:t xml:space="preserve">- 3BR 85 m² net (≈113.1 m² GFA): ≈ €192k – €260k.</w:t>
      </w:r>
    </w:p>
    <w:p>
      <w:pPr>
        <w:pStyle w:val="BodyText"/>
      </w:pPr>
      <w:r>
        <w:t xml:space="preserve">These per-unit ranges include shell, finishes and MEP. Add common-area and external works pro-rata where relevant.</w:t>
      </w:r>
    </w:p>
    <w:p>
      <w:pPr>
        <w:pStyle w:val="BodyText"/>
      </w:pPr>
      <w:r>
        <w:t xml:space="preserve">Expanded line-item cost table (indicative) — modular midpoint €2,000 / m² GFA (GFA = 2,800 m²)</w:t>
      </w:r>
    </w:p>
    <w:p>
      <w:pPr>
        <w:pStyle w:val="BodyText"/>
      </w:pPr>
      <w:r>
        <w:t xml:space="preserve">| Line item (indicative) | % of construction | € amount |</w:t>
      </w:r>
      <w:r>
        <w:t xml:space="preserve"> </w:t>
      </w:r>
      <w:r>
        <w:t xml:space="preserve">|------------------------:|------------------:|--------:|</w:t>
      </w:r>
      <w:r>
        <w:t xml:space="preserve"> </w:t>
      </w:r>
      <w:r>
        <w:t xml:space="preserve">| Substructure &amp; foundations | 8% | €448,000 |</w:t>
      </w:r>
      <w:r>
        <w:t xml:space="preserve"> </w:t>
      </w:r>
      <w:r>
        <w:t xml:space="preserve">| Structure &amp; envelope (modules, façade, windows) | 45% | €2,520,000 |</w:t>
      </w:r>
      <w:r>
        <w:t xml:space="preserve"> </w:t>
      </w:r>
      <w:r>
        <w:t xml:space="preserve">| Internal finishes &amp; fittings | 15% | €840,000 |</w:t>
      </w:r>
      <w:r>
        <w:t xml:space="preserve"> </w:t>
      </w:r>
      <w:r>
        <w:t xml:space="preserve">| MEP (HVAC, elect, plumbing) | 12% | €672,000 |</w:t>
      </w:r>
      <w:r>
        <w:t xml:space="preserve"> </w:t>
      </w:r>
      <w:r>
        <w:t xml:space="preserve">| External works &amp; landscaping | 6% | €336,000 |</w:t>
      </w:r>
      <w:r>
        <w:t xml:space="preserve"> </w:t>
      </w:r>
      <w:r>
        <w:t xml:space="preserve">| Elevators/cores &amp; in-situ concrete | 4% | €224,000 |</w:t>
      </w:r>
      <w:r>
        <w:t xml:space="preserve"> </w:t>
      </w:r>
      <w:r>
        <w:t xml:space="preserve">| Temporary works &amp; site management | 5% | €280,000 |</w:t>
      </w:r>
      <w:r>
        <w:t xml:space="preserve"> </w:t>
      </w:r>
      <w:r>
        <w:t xml:space="preserve">| Contingency (project) | 5% | €280,000 |</w:t>
      </w:r>
      <w:r>
        <w:t xml:space="preserve"> </w:t>
      </w:r>
      <w:r>
        <w:t xml:space="preserve">| Total construction (excl. VAT) | 100% | €5,600,000 |</w:t>
      </w:r>
    </w:p>
    <w:p>
      <w:pPr>
        <w:pStyle w:val="BodyText"/>
      </w:pPr>
      <w:r>
        <w:t xml:space="preserve">Soft costs &amp; fees (examples)</w:t>
      </w:r>
      <w:r>
        <w:t xml:space="preserve"> </w:t>
      </w:r>
      <w:r>
        <w:t xml:space="preserve">- Design &amp; professional fees (architect, structural engineer, MEP): 8–12% recommended. Example: 10% → €560,000</w:t>
      </w:r>
      <w:r>
        <w:t xml:space="preserve"> </w:t>
      </w:r>
      <w:r>
        <w:t xml:space="preserve">- Permit / planning / statutory fees: €15,000 – €60,000 (depends on municipality)</w:t>
      </w:r>
      <w:r>
        <w:t xml:space="preserve"> </w:t>
      </w:r>
      <w:r>
        <w:t xml:space="preserve">- Employer’s pre-opening allowances / marketing / legal: estimate 6% of total project cost (owner allowance) → illustrative €336,000</w:t>
      </w:r>
      <w:r>
        <w:t xml:space="preserve"> </w:t>
      </w:r>
      <w:r>
        <w:t xml:space="preserve">- QS / tender documentation budget: allow €15k–€35k if external QS engaged for contractor-ready BOQ.</w:t>
      </w:r>
    </w:p>
    <w:p>
      <w:pPr>
        <w:pStyle w:val="BodyText"/>
      </w:pPr>
      <w:r>
        <w:t xml:space="preserve">Example total project cost summary (modular midpoint example)</w:t>
      </w:r>
      <w:r>
        <w:t xml:space="preserve"> </w:t>
      </w:r>
      <w:r>
        <w:t xml:space="preserve">- Construction: €5,600,000</w:t>
      </w:r>
      <w:r>
        <w:t xml:space="preserve"> </w:t>
      </w:r>
      <w:r>
        <w:t xml:space="preserve">- Design &amp; professional fees (10%): €560,000</w:t>
      </w:r>
      <w:r>
        <w:t xml:space="preserve"> </w:t>
      </w:r>
      <w:r>
        <w:t xml:space="preserve">- Permits &amp; misc: €50,000</w:t>
      </w:r>
      <w:r>
        <w:t xml:space="preserve"> </w:t>
      </w:r>
      <w:r>
        <w:t xml:space="preserve">- Owner allowances (6%): €336,000</w:t>
      </w:r>
      <w:r>
        <w:t xml:space="preserve"> </w:t>
      </w:r>
      <w:r>
        <w:t xml:space="preserve">- Total before VAT &amp; land: €6,546,000</w:t>
      </w:r>
      <w:r>
        <w:t xml:space="preserve"> </w:t>
      </w:r>
      <w:r>
        <w:t xml:space="preserve">- Add VAT where applicable (19%) on services — contract-specific.</w:t>
      </w:r>
    </w:p>
    <w:p>
      <w:pPr>
        <w:pStyle w:val="BodyText"/>
      </w:pPr>
      <w:r>
        <w:t xml:space="preserve">Sensitivity analysis — impact of construction unit cost variation</w:t>
      </w:r>
      <w:r>
        <w:t xml:space="preserve"> </w:t>
      </w:r>
      <w:r>
        <w:t xml:space="preserve">- At €1,700 / m²: total construction = 2,800 × 1,700 = €4,760,000 → approx €136k/unit</w:t>
      </w:r>
      <w:r>
        <w:t xml:space="preserve"> </w:t>
      </w:r>
      <w:r>
        <w:t xml:space="preserve">- At €2,300 / m²: total construction = 2,800 × 2,300 = €6,440,000 → approx €184k/unit</w:t>
      </w:r>
      <w:r>
        <w:t xml:space="preserve"> </w:t>
      </w:r>
      <w:r>
        <w:t xml:space="preserve">- This shows a ±~€24k swing per unit around the midpoint depending on specification and market conditions.</w:t>
      </w:r>
    </w:p>
    <w:p>
      <w:pPr>
        <w:pStyle w:val="BodyText"/>
      </w:pPr>
      <w:r>
        <w:t xml:space="preserve">Programme-related financial benefit (indicative)</w:t>
      </w:r>
      <w:r>
        <w:t xml:space="preserve"> </w:t>
      </w:r>
      <w:r>
        <w:t xml:space="preserve">- Modular CLT shortens on-site programme by ~25–35% vs conventional concrete. If construction financing interest is 4% p.a., reducing 6 months of drawdown on a €5.6M construction cost can reduce interest exposure:</w:t>
      </w:r>
      <w:r>
        <w:t xml:space="preserve"> </w:t>
      </w:r>
      <w:r>
        <w:t xml:space="preserve">- Simplified saving estimate: €5.6M × 4% × 0.5 years ≈ €112,000 potential interest saving (gross and depending on drawdown profile). This can offset a modest modular premium.</w:t>
      </w:r>
    </w:p>
    <w:p>
      <w:pPr>
        <w:pStyle w:val="BodyText"/>
      </w:pPr>
      <w:r>
        <w:t xml:space="preserve">Detailed per-unit cost build-up example (midpoint, GFA-based) — for client clarity</w:t>
      </w:r>
      <w:r>
        <w:t xml:space="preserve"> </w:t>
      </w:r>
      <w:r>
        <w:t xml:space="preserve">Assumptions: GFA factor = 1.33.</w:t>
      </w:r>
    </w:p>
    <w:p>
      <w:pPr>
        <w:pStyle w:val="BodyText"/>
      </w:pPr>
      <w:r>
        <w:t xml:space="preserve">Studio Type A — 35 m² net (46.5 m² GFA) @ €2,000/m²</w:t>
      </w:r>
      <w:r>
        <w:t xml:space="preserve"> </w:t>
      </w:r>
      <w:r>
        <w:t xml:space="preserve">- Construction cost (GFA-based) = 46.5 × €2,000 ≈ €93,000</w:t>
      </w:r>
      <w:r>
        <w:t xml:space="preserve"> </w:t>
      </w:r>
      <w:r>
        <w:t xml:space="preserve">- Typical percentage allocation (detailed):</w:t>
      </w:r>
      <w:r>
        <w:t xml:space="preserve"> </w:t>
      </w:r>
      <w:r>
        <w:t xml:space="preserve">- Structure &amp; envelope (45%): €41,850</w:t>
      </w:r>
      <w:r>
        <w:t xml:space="preserve"> </w:t>
      </w:r>
      <w:r>
        <w:t xml:space="preserve">- Finishes &amp; fittings (15%): €13,950</w:t>
      </w:r>
      <w:r>
        <w:t xml:space="preserve"> </w:t>
      </w:r>
      <w:r>
        <w:t xml:space="preserve">- MEP (12%): €11,160</w:t>
      </w:r>
      <w:r>
        <w:t xml:space="preserve"> </w:t>
      </w:r>
      <w:r>
        <w:t xml:space="preserve">- Substructure (8%): €7,440</w:t>
      </w:r>
      <w:r>
        <w:t xml:space="preserve"> </w:t>
      </w:r>
      <w:r>
        <w:t xml:space="preserve">- External &amp; others (13% incl. elevators prorata &amp; contingency): €18,600</w:t>
      </w:r>
      <w:r>
        <w:t xml:space="preserve"> </w:t>
      </w:r>
      <w:r>
        <w:t xml:space="preserve">- Estimated total (construction): ≈ €93k</w:t>
      </w:r>
      <w:r>
        <w:t xml:space="preserve"> </w:t>
      </w:r>
      <w:r>
        <w:t xml:space="preserve">- Add design fee (10%): €9,300</w:t>
      </w:r>
      <w:r>
        <w:t xml:space="preserve"> </w:t>
      </w:r>
      <w:r>
        <w:t xml:space="preserve">- Add owner allowances (6%): €5,580</w:t>
      </w:r>
      <w:r>
        <w:t xml:space="preserve"> </w:t>
      </w:r>
      <w:r>
        <w:t xml:space="preserve">- Indicative all-in per studio before VAT &amp; land: ≈ €108k</w:t>
      </w:r>
    </w:p>
    <w:p>
      <w:pPr>
        <w:pStyle w:val="BodyText"/>
      </w:pPr>
      <w:r>
        <w:t xml:space="preserve">2BR Type B — 65 m² net (86.5 m² GFA)</w:t>
      </w:r>
      <w:r>
        <w:t xml:space="preserve"> </w:t>
      </w:r>
      <w:r>
        <w:t xml:space="preserve">- Construction = 86.5 × €2,000 ≈ €173,000</w:t>
      </w:r>
      <w:r>
        <w:t xml:space="preserve"> </w:t>
      </w:r>
      <w:r>
        <w:t xml:space="preserve">- With professional fees and owner allowances included: ≈ €202k</w:t>
      </w:r>
    </w:p>
    <w:p>
      <w:pPr>
        <w:pStyle w:val="BodyText"/>
      </w:pPr>
      <w:r>
        <w:t xml:space="preserve">3BR Type C — 85 m² net (113.1 m² GFA)</w:t>
      </w:r>
      <w:r>
        <w:t xml:space="preserve"> </w:t>
      </w:r>
      <w:r>
        <w:t xml:space="preserve">- Construction = 113.1 × €2,000 ≈ €226k</w:t>
      </w:r>
      <w:r>
        <w:t xml:space="preserve"> </w:t>
      </w:r>
      <w:r>
        <w:t xml:space="preserve">- With fees and allowances: ≈ €263k</w:t>
      </w:r>
    </w:p>
    <w:p>
      <w:pPr>
        <w:pStyle w:val="BodyText"/>
      </w:pPr>
      <w:r>
        <w:t xml:space="preserve">Note: These are modelled numbers; tender responses and detailed QS will refine them. Differences with earlier simpler per-net m² examples reflect the GFA uplift and different methods of apportionment.</w:t>
      </w:r>
    </w:p>
    <w:p>
      <w:pPr>
        <w:pStyle w:val="BodyText"/>
      </w:pPr>
      <w:r>
        <w:t xml:space="preserve">Detailed cost line items to expect in contractor tender (examples)</w:t>
      </w:r>
      <w:r>
        <w:t xml:space="preserve"> </w:t>
      </w:r>
      <w:r>
        <w:t xml:space="preserve">- Mobilisation and demobilisation</w:t>
      </w:r>
      <w:r>
        <w:t xml:space="preserve"> </w:t>
      </w:r>
      <w:r>
        <w:t xml:space="preserve">- Site set-up (hoardings, welfare, permit hoisting)</w:t>
      </w:r>
      <w:r>
        <w:t xml:space="preserve"> </w:t>
      </w:r>
      <w:r>
        <w:t xml:space="preserve">- Foundations and pad/raft work (including perimeter drainage)</w:t>
      </w:r>
      <w:r>
        <w:t xml:space="preserve"> </w:t>
      </w:r>
      <w:r>
        <w:t xml:space="preserve">- Concrete podium and stair cores (if hybrid)</w:t>
      </w:r>
      <w:r>
        <w:t xml:space="preserve"> </w:t>
      </w:r>
      <w:r>
        <w:t xml:space="preserve">- Pre-fabricated CLT modules (supply, transport, cranage)</w:t>
      </w:r>
      <w:r>
        <w:t xml:space="preserve"> </w:t>
      </w:r>
      <w:r>
        <w:t xml:space="preserve">- Module mechanical &amp; electrical pre-installation</w:t>
      </w:r>
      <w:r>
        <w:t xml:space="preserve"> </w:t>
      </w:r>
      <w:r>
        <w:t xml:space="preserve">- On-site module connection works &amp; waterproofing of joints</w:t>
      </w:r>
      <w:r>
        <w:t xml:space="preserve"> </w:t>
      </w:r>
      <w:r>
        <w:t xml:space="preserve">- Roof works including PV mounting infrastructure</w:t>
      </w:r>
      <w:r>
        <w:t xml:space="preserve"> </w:t>
      </w:r>
      <w:r>
        <w:t xml:space="preserve">- External works: paving, planting, boundary walls, drainage</w:t>
      </w:r>
      <w:r>
        <w:t xml:space="preserve"> </w:t>
      </w:r>
      <w:r>
        <w:t xml:space="preserve">- Internal fit-out: kitchens, bathrooms, floor finishes, painting</w:t>
      </w:r>
      <w:r>
        <w:t xml:space="preserve"> </w:t>
      </w:r>
      <w:r>
        <w:t xml:space="preserve">- Mechanical plant: heat pump(s), MVHR, electrical switchgear and distribution</w:t>
      </w:r>
      <w:r>
        <w:t xml:space="preserve"> </w:t>
      </w:r>
      <w:r>
        <w:t xml:space="preserve">- Testing, commissioning, certifications</w:t>
      </w:r>
      <w:r>
        <w:t xml:space="preserve"> </w:t>
      </w:r>
      <w:r>
        <w:t xml:space="preserve">- Cleaning &amp; handover</w:t>
      </w:r>
    </w:p>
    <w:p>
      <w:pPr>
        <w:pStyle w:val="BodyText"/>
      </w:pPr>
      <w:r>
        <w:t xml:space="preserve">Allowances &amp; contingencies</w:t>
      </w:r>
      <w:r>
        <w:t xml:space="preserve"> </w:t>
      </w:r>
      <w:r>
        <w:t xml:space="preserve">- Project contingency: 5% base (increase to 8–10% for early-stage estimates)</w:t>
      </w:r>
      <w:r>
        <w:t xml:space="preserve"> </w:t>
      </w:r>
      <w:r>
        <w:t xml:space="preserve">- Price escalation allowance: include a 3–6% price escalation allowance if procurement is &gt;6 months away or supply chain volatility is suspected.</w:t>
      </w:r>
      <w:r>
        <w:t xml:space="preserve"> </w:t>
      </w:r>
      <w:r>
        <w:t xml:space="preserve">- Major unseen risk allowances: e.g., piling if later required — allow a specific sum or separate tender.</w:t>
      </w:r>
    </w:p>
    <w:p>
      <w:r>
        <w:pict>
          <v:rect style="width:0;height:1.5pt" o:hralign="center" o:hrstd="t" o:hr="t"/>
        </w:pict>
      </w:r>
    </w:p>
    <w:bookmarkEnd w:id="26"/>
    <w:bookmarkStart w:id="27" w:name="sustainability-embodied-carbon-expanded"/>
    <w:p>
      <w:pPr>
        <w:pStyle w:val="Heading1"/>
      </w:pPr>
      <w:r>
        <w:t xml:space="preserve">Sustainability &amp; Embodied Carbon (expanded)</w:t>
      </w:r>
    </w:p>
    <w:p>
      <w:pPr>
        <w:pStyle w:val="FirstParagraph"/>
      </w:pPr>
      <w:r>
        <w:t xml:space="preserve">Sustainability priorities</w:t>
      </w:r>
      <w:r>
        <w:t xml:space="preserve"> </w:t>
      </w:r>
      <w:r>
        <w:t xml:space="preserve">- Reduce embodied carbon via timber elements where feasible.</w:t>
      </w:r>
      <w:r>
        <w:t xml:space="preserve"> </w:t>
      </w:r>
      <w:r>
        <w:t xml:space="preserve">- Maximise operational energy efficiency to reduce lifecycle carbon.</w:t>
      </w:r>
      <w:r>
        <w:t xml:space="preserve"> </w:t>
      </w:r>
      <w:r>
        <w:t xml:space="preserve">- Include renewables (PV) and energy-storage readiness to increase self-consumption.</w:t>
      </w:r>
      <w:r>
        <w:t xml:space="preserve"> </w:t>
      </w:r>
      <w:r>
        <w:t xml:space="preserve">- Design for durability and reduced maintenance to lower whole-life cost.</w:t>
      </w:r>
    </w:p>
    <w:p>
      <w:pPr>
        <w:pStyle w:val="BodyText"/>
      </w:pPr>
      <w:r>
        <w:t xml:space="preserve">Indicative embodied carbon ranges (illustrative; to be refined by LCA)</w:t>
      </w:r>
      <w:r>
        <w:t xml:space="preserve"> </w:t>
      </w:r>
      <w:r>
        <w:t xml:space="preserve">- CLT modular residential: approximate embodied carbon 250–450 kg CO2e / m² (gross) for typical timber-based modules (excluding site foundations). This value depends on material sourcing, timber origin, and finish choices.</w:t>
      </w:r>
      <w:r>
        <w:t xml:space="preserve"> </w:t>
      </w:r>
      <w:r>
        <w:t xml:space="preserve">- Conventional reinforced concrete multi-storey: approximate embodied carbon 600–1,200 kg CO2e / m² (gross).</w:t>
      </w:r>
      <w:r>
        <w:t xml:space="preserve"> </w:t>
      </w:r>
      <w:r>
        <w:t xml:space="preserve">- These are broad ranges for preliminary decision-making. A project-specific whole-building LCA (EN 15978 methodology) is recommended in the design development stage.</w:t>
      </w:r>
    </w:p>
    <w:p>
      <w:pPr>
        <w:pStyle w:val="BodyText"/>
      </w:pPr>
      <w:r>
        <w:t xml:space="preserve">Operational carbon and energy strategy</w:t>
      </w:r>
      <w:r>
        <w:t xml:space="preserve"> </w:t>
      </w:r>
      <w:r>
        <w:t xml:space="preserve">- MVHR + heat pump solutions combined with fabric-first approach target low operational energy.</w:t>
      </w:r>
      <w:r>
        <w:t xml:space="preserve"> </w:t>
      </w:r>
      <w:r>
        <w:t xml:space="preserve">- PV on roof sized to cover a portion of common electricity and contribute to tenant electricity use; battery storage improves self-consumption.</w:t>
      </w:r>
      <w:r>
        <w:t xml:space="preserve"> </w:t>
      </w:r>
      <w:r>
        <w:t xml:space="preserve">- Consider building energy management system (BEMS) to optimise system performance over time.</w:t>
      </w:r>
    </w:p>
    <w:p>
      <w:pPr>
        <w:pStyle w:val="BodyText"/>
      </w:pPr>
      <w:r>
        <w:t xml:space="preserve">Lifecycle cost considerations</w:t>
      </w:r>
      <w:r>
        <w:t xml:space="preserve"> </w:t>
      </w:r>
      <w:r>
        <w:t xml:space="preserve">- Although CLT modules may cost slightly more initially than conventional structure in some line items, the reduced programme lowers interest/overhead costs and shortens marketing ramp-up.</w:t>
      </w:r>
      <w:r>
        <w:t xml:space="preserve"> </w:t>
      </w:r>
      <w:r>
        <w:t xml:space="preserve">- Lower embodied carbon and a positive sustainability narrative can yield grant or financing advantages (green loans, ESG-linked finance).</w:t>
      </w:r>
    </w:p>
    <w:p>
      <w:pPr>
        <w:pStyle w:val="BodyText"/>
      </w:pPr>
      <w:r>
        <w:t xml:space="preserve">Material sourcing &amp; certifications</w:t>
      </w:r>
      <w:r>
        <w:t xml:space="preserve"> </w:t>
      </w:r>
      <w:r>
        <w:t xml:space="preserve">- Use PEFC or FSC certified timber for CLT where possible to ensure sustainable forest sourcing.</w:t>
      </w:r>
      <w:r>
        <w:t xml:space="preserve"> </w:t>
      </w:r>
      <w:r>
        <w:t xml:space="preserve">- Aim to procure low-embodied-carbon insulants (e.g., wood-fibre or recycled content mineral wool).</w:t>
      </w:r>
      <w:r>
        <w:t xml:space="preserve"> </w:t>
      </w:r>
      <w:r>
        <w:t xml:space="preserve">- Consider product EPDs (Environmental Product Declarations) for key materials early to inform LCA.</w:t>
      </w:r>
    </w:p>
    <w:p>
      <w:pPr>
        <w:pStyle w:val="BodyText"/>
      </w:pPr>
      <w:r>
        <w:t xml:space="preserve">Maintenance &amp; end-of-life</w:t>
      </w:r>
      <w:r>
        <w:t xml:space="preserve"> </w:t>
      </w:r>
      <w:r>
        <w:t xml:space="preserve">- Design with replaceable façade elements and accessible service routes to reduce whole-life maintenance costs.</w:t>
      </w:r>
      <w:r>
        <w:t xml:space="preserve"> </w:t>
      </w:r>
      <w:r>
        <w:t xml:space="preserve">- At end-of-life, CLT components with appropriate design can be deconstructed and re-used or recycled more easily than monolithic concrete structures; plan documented deconstruction paths where possible.</w:t>
      </w:r>
    </w:p>
    <w:p>
      <w:r>
        <w:pict>
          <v:rect style="width:0;height:1.5pt" o:hralign="center" o:hrstd="t" o:hr="t"/>
        </w:pict>
      </w:r>
    </w:p>
    <w:bookmarkEnd w:id="27"/>
    <w:bookmarkStart w:id="28" w:name="risks-sensitivities-expanded"/>
    <w:p>
      <w:pPr>
        <w:pStyle w:val="Heading1"/>
      </w:pPr>
      <w:r>
        <w:t xml:space="preserve">Risks &amp; Sensitivities (expanded)</w:t>
      </w:r>
    </w:p>
    <w:p>
      <w:pPr>
        <w:pStyle w:val="FirstParagraph"/>
      </w:pPr>
      <w:r>
        <w:t xml:space="preserve">High-level risk register (summary with probability and impact ratings) — scale: Low / Medium / High</w:t>
      </w:r>
    </w:p>
    <w:p>
      <w:pPr>
        <w:pStyle w:val="Compact"/>
        <w:numPr>
          <w:ilvl w:val="0"/>
          <w:numId w:val="1001"/>
        </w:numPr>
      </w:pPr>
      <w:r>
        <w:t xml:space="preserve">Market volatility (materials &amp; labour)</w:t>
      </w:r>
    </w:p>
    <w:p>
      <w:pPr>
        <w:pStyle w:val="Compact"/>
        <w:numPr>
          <w:ilvl w:val="0"/>
          <w:numId w:val="1001"/>
        </w:numPr>
      </w:pPr>
      <w:r>
        <w:t xml:space="preserve">Probability: High</w:t>
      </w:r>
    </w:p>
    <w:p>
      <w:pPr>
        <w:pStyle w:val="Compact"/>
        <w:numPr>
          <w:ilvl w:val="0"/>
          <w:numId w:val="1001"/>
        </w:numPr>
      </w:pPr>
      <w:r>
        <w:t xml:space="preserve">Impact: High</w:t>
      </w:r>
    </w:p>
    <w:p>
      <w:pPr>
        <w:numPr>
          <w:ilvl w:val="0"/>
          <w:numId w:val="1001"/>
        </w:numPr>
      </w:pPr>
      <w:r>
        <w:t xml:space="preserve">Mitigation: Update cost plan regularly; include price escalation clauses and adequate contingency; early procurement of long-lead items.</w:t>
      </w:r>
    </w:p>
    <w:p>
      <w:pPr>
        <w:numPr>
          <w:ilvl w:val="0"/>
          <w:numId w:val="1001"/>
        </w:numPr>
      </w:pPr>
      <w:r>
        <w:t xml:space="preserve">Site conditions (unexpected poor ground or contamination)</w:t>
      </w:r>
    </w:p>
    <w:p>
      <w:pPr>
        <w:pStyle w:val="Compact"/>
        <w:numPr>
          <w:ilvl w:val="0"/>
          <w:numId w:val="1001"/>
        </w:numPr>
      </w:pPr>
      <w:r>
        <w:t xml:space="preserve">Probability: Medium</w:t>
      </w:r>
    </w:p>
    <w:p>
      <w:pPr>
        <w:pStyle w:val="Compact"/>
        <w:numPr>
          <w:ilvl w:val="0"/>
          <w:numId w:val="1001"/>
        </w:numPr>
      </w:pPr>
      <w:r>
        <w:t xml:space="preserve">Impact: High</w:t>
      </w:r>
    </w:p>
    <w:p>
      <w:pPr>
        <w:numPr>
          <w:ilvl w:val="0"/>
          <w:numId w:val="1001"/>
        </w:numPr>
      </w:pPr>
      <w:r>
        <w:t xml:space="preserve">Mitigation: Commission geotechnical site investigation immediately (prior to finalizing foundations cost); allow specific contingency for piling if needed.</w:t>
      </w:r>
    </w:p>
    <w:p>
      <w:pPr>
        <w:numPr>
          <w:ilvl w:val="0"/>
          <w:numId w:val="1001"/>
        </w:numPr>
      </w:pPr>
      <w:r>
        <w:t xml:space="preserve">Planning &amp; regulatory constraints (timber restrictions)</w:t>
      </w:r>
    </w:p>
    <w:p>
      <w:pPr>
        <w:pStyle w:val="Compact"/>
        <w:numPr>
          <w:ilvl w:val="0"/>
          <w:numId w:val="1001"/>
        </w:numPr>
      </w:pPr>
      <w:r>
        <w:t xml:space="preserve">Probability: Medium</w:t>
      </w:r>
    </w:p>
    <w:p>
      <w:pPr>
        <w:pStyle w:val="Compact"/>
        <w:numPr>
          <w:ilvl w:val="0"/>
          <w:numId w:val="1001"/>
        </w:numPr>
      </w:pPr>
      <w:r>
        <w:t xml:space="preserve">Impact: Medium–High</w:t>
      </w:r>
    </w:p>
    <w:p>
      <w:pPr>
        <w:numPr>
          <w:ilvl w:val="0"/>
          <w:numId w:val="1001"/>
        </w:numPr>
      </w:pPr>
      <w:r>
        <w:t xml:space="preserve">Mitigation: Early engagement with local Bauaufsichtsbehörde and fire engineers; prepare hybrid fall-back solution and pre-approve module-level fire-engineered strategies.</w:t>
      </w:r>
    </w:p>
    <w:p>
      <w:pPr>
        <w:numPr>
          <w:ilvl w:val="0"/>
          <w:numId w:val="1001"/>
        </w:numPr>
      </w:pPr>
      <w:r>
        <w:t xml:space="preserve">Module manufacturer lead-time &amp; capacity constraints</w:t>
      </w:r>
    </w:p>
    <w:p>
      <w:pPr>
        <w:pStyle w:val="Compact"/>
        <w:numPr>
          <w:ilvl w:val="0"/>
          <w:numId w:val="1001"/>
        </w:numPr>
      </w:pPr>
      <w:r>
        <w:t xml:space="preserve">Probability: Medium</w:t>
      </w:r>
    </w:p>
    <w:p>
      <w:pPr>
        <w:pStyle w:val="Compact"/>
        <w:numPr>
          <w:ilvl w:val="0"/>
          <w:numId w:val="1001"/>
        </w:numPr>
      </w:pPr>
      <w:r>
        <w:t xml:space="preserve">Impact: High (programme &amp; cost)</w:t>
      </w:r>
    </w:p>
    <w:p>
      <w:pPr>
        <w:numPr>
          <w:ilvl w:val="0"/>
          <w:numId w:val="1001"/>
        </w:numPr>
      </w:pPr>
      <w:r>
        <w:t xml:space="preserve">Mitigation: Early manufacturer engagement; negotiate fixed-price or GMP with factory slot reservation; consider multiple manufacturers for competitive tension.</w:t>
      </w:r>
    </w:p>
    <w:p>
      <w:pPr>
        <w:numPr>
          <w:ilvl w:val="0"/>
          <w:numId w:val="1001"/>
        </w:numPr>
      </w:pPr>
      <w:r>
        <w:t xml:space="preserve">On-site assembly / crane logistics &amp; neighbour disruption</w:t>
      </w:r>
    </w:p>
    <w:p>
      <w:pPr>
        <w:pStyle w:val="Compact"/>
        <w:numPr>
          <w:ilvl w:val="0"/>
          <w:numId w:val="1001"/>
        </w:numPr>
      </w:pPr>
      <w:r>
        <w:t xml:space="preserve">Probability: Medium</w:t>
      </w:r>
    </w:p>
    <w:p>
      <w:pPr>
        <w:pStyle w:val="Compact"/>
        <w:numPr>
          <w:ilvl w:val="0"/>
          <w:numId w:val="1001"/>
        </w:numPr>
      </w:pPr>
      <w:r>
        <w:t xml:space="preserve">Impact: Medium</w:t>
      </w:r>
    </w:p>
    <w:p>
      <w:pPr>
        <w:numPr>
          <w:ilvl w:val="0"/>
          <w:numId w:val="1001"/>
        </w:numPr>
      </w:pPr>
      <w:r>
        <w:t xml:space="preserve">Mitigation: Detailed logistics plan; staged deliveries; night-time restrictions in municipal permit; community liaison strategy.</w:t>
      </w:r>
    </w:p>
    <w:p>
      <w:pPr>
        <w:numPr>
          <w:ilvl w:val="0"/>
          <w:numId w:val="1001"/>
        </w:numPr>
      </w:pPr>
      <w:r>
        <w:t xml:space="preserve">Supply chain (specialized MEP equipment lead times)</w:t>
      </w:r>
    </w:p>
    <w:p>
      <w:pPr>
        <w:pStyle w:val="Compact"/>
        <w:numPr>
          <w:ilvl w:val="0"/>
          <w:numId w:val="1001"/>
        </w:numPr>
      </w:pPr>
      <w:r>
        <w:t xml:space="preserve">Probability: Medium</w:t>
      </w:r>
    </w:p>
    <w:p>
      <w:pPr>
        <w:pStyle w:val="Compact"/>
        <w:numPr>
          <w:ilvl w:val="0"/>
          <w:numId w:val="1001"/>
        </w:numPr>
      </w:pPr>
      <w:r>
        <w:t xml:space="preserve">Impact: Medium</w:t>
      </w:r>
    </w:p>
    <w:p>
      <w:pPr>
        <w:numPr>
          <w:ilvl w:val="0"/>
          <w:numId w:val="1001"/>
        </w:numPr>
      </w:pPr>
      <w:r>
        <w:t xml:space="preserve">Mitigation: Identify lead items (heat pumps, MVHR units, inverters); place early orders.</w:t>
      </w:r>
    </w:p>
    <w:p>
      <w:pPr>
        <w:numPr>
          <w:ilvl w:val="0"/>
          <w:numId w:val="1001"/>
        </w:numPr>
      </w:pPr>
      <w:r>
        <w:t xml:space="preserve">Inflation / interest rates affecting financing costs</w:t>
      </w:r>
    </w:p>
    <w:p>
      <w:pPr>
        <w:pStyle w:val="Compact"/>
        <w:numPr>
          <w:ilvl w:val="0"/>
          <w:numId w:val="1001"/>
        </w:numPr>
      </w:pPr>
      <w:r>
        <w:t xml:space="preserve">Probability: Medium–High</w:t>
      </w:r>
    </w:p>
    <w:p>
      <w:pPr>
        <w:pStyle w:val="Compact"/>
        <w:numPr>
          <w:ilvl w:val="0"/>
          <w:numId w:val="1001"/>
        </w:numPr>
      </w:pPr>
      <w:r>
        <w:t xml:space="preserve">Impact: Medium–High</w:t>
      </w:r>
    </w:p>
    <w:p>
      <w:pPr>
        <w:pStyle w:val="Compact"/>
        <w:numPr>
          <w:ilvl w:val="0"/>
          <w:numId w:val="1001"/>
        </w:numPr>
      </w:pPr>
      <w:r>
        <w:t xml:space="preserve">Mitigation: Shorter programme demonstrates lower financing exposure; consider hedging financing costs where possible.</w:t>
      </w:r>
    </w:p>
    <w:p>
      <w:pPr>
        <w:pStyle w:val="FirstParagraph"/>
      </w:pPr>
      <w:r>
        <w:t xml:space="preserve">Risk matrix (example condensed)</w:t>
      </w:r>
      <w:r>
        <w:t xml:space="preserve"> </w:t>
      </w:r>
      <w:r>
        <w:t xml:space="preserve">- High probability / High impact: materials &amp; labour price volatility — manage via contingency and early procurement.</w:t>
      </w:r>
      <w:r>
        <w:t xml:space="preserve"> </w:t>
      </w:r>
      <w:r>
        <w:t xml:space="preserve">- Medium probability / High impact: regulatory disallowance of timber at scale — fallback to hybrid approach and pre-approved alternatives.</w:t>
      </w:r>
    </w:p>
    <w:p>
      <w:r>
        <w:pict>
          <v:rect style="width:0;height:1.5pt" o:hralign="center" o:hrstd="t" o:hr="t"/>
        </w:pict>
      </w:r>
    </w:p>
    <w:bookmarkEnd w:id="28"/>
    <w:bookmarkStart w:id="29" w:name="Xc09ffcc0a102dcc7e4dfd98c811ebb4a4181848"/>
    <w:p>
      <w:pPr>
        <w:pStyle w:val="Heading1"/>
      </w:pPr>
      <w:r>
        <w:t xml:space="preserve">Procurement Strategy &amp; Tendering Recommendations (expanded)</w:t>
      </w:r>
    </w:p>
    <w:p>
      <w:pPr>
        <w:pStyle w:val="FirstParagraph"/>
      </w:pPr>
      <w:r>
        <w:t xml:space="preserve">Recommended procurement route</w:t>
      </w:r>
      <w:r>
        <w:t xml:space="preserve"> </w:t>
      </w:r>
      <w:r>
        <w:t xml:space="preserve">- Two-stage tender (early contractor involvement, then fixed-price second stage) for modular approach:</w:t>
      </w:r>
      <w:r>
        <w:t xml:space="preserve"> </w:t>
      </w:r>
      <w:r>
        <w:t xml:space="preserve">- Stage 1: Design development with early contractor and preferred module manufacturer to confirm factory capacity and preliminary costs (noticeable advantages in risk transfer).</w:t>
      </w:r>
      <w:r>
        <w:t xml:space="preserve"> </w:t>
      </w:r>
      <w:r>
        <w:t xml:space="preserve">- Stage 2: Detailed design and fixed-price GMP or lump-sum agreement for module manufacture and installation.</w:t>
      </w:r>
    </w:p>
    <w:p>
      <w:pPr>
        <w:pStyle w:val="BodyText"/>
      </w:pPr>
      <w:r>
        <w:t xml:space="preserve">Contract forms &amp; risk allocation</w:t>
      </w:r>
      <w:r>
        <w:t xml:space="preserve"> </w:t>
      </w:r>
      <w:r>
        <w:t xml:space="preserve">- Contract form recommendation: Design &amp; Build (two-stage) with clear interface schedules and performance criteria (airtightness, acoustic metrics, MVHR commissioning).</w:t>
      </w:r>
      <w:r>
        <w:t xml:space="preserve"> </w:t>
      </w:r>
      <w:r>
        <w:t xml:space="preserve">- Balanced risk allocation: Contractor responsible for module supply and performance; client responsible for ground conditions unless fully investigated.</w:t>
      </w:r>
    </w:p>
    <w:p>
      <w:pPr>
        <w:pStyle w:val="BodyText"/>
      </w:pPr>
      <w:r>
        <w:t xml:space="preserve">Tender evaluation criteria (example weightings)</w:t>
      </w:r>
      <w:r>
        <w:t xml:space="preserve"> </w:t>
      </w:r>
      <w:r>
        <w:t xml:space="preserve">- Price (40%)</w:t>
      </w:r>
      <w:r>
        <w:t xml:space="preserve"> </w:t>
      </w:r>
      <w:r>
        <w:t xml:space="preserve">- Programme / delivery (20%)</w:t>
      </w:r>
      <w:r>
        <w:t xml:space="preserve"> </w:t>
      </w:r>
      <w:r>
        <w:t xml:space="preserve">- Quality &amp; references (15%)</w:t>
      </w:r>
      <w:r>
        <w:t xml:space="preserve"> </w:t>
      </w:r>
      <w:r>
        <w:t xml:space="preserve">- Environmental credentials (10%)</w:t>
      </w:r>
      <w:r>
        <w:t xml:space="preserve"> </w:t>
      </w:r>
      <w:r>
        <w:t xml:space="preserve">- Aftercare &amp; warranty (10%)</w:t>
      </w:r>
      <w:r>
        <w:t xml:space="preserve"> </w:t>
      </w:r>
      <w:r>
        <w:t xml:space="preserve">- Compliance with technical spec (5%)</w:t>
      </w:r>
    </w:p>
    <w:p>
      <w:pPr>
        <w:pStyle w:val="BodyText"/>
      </w:pPr>
      <w:r>
        <w:t xml:space="preserve">Early contractor engagement benefits</w:t>
      </w:r>
      <w:r>
        <w:t xml:space="preserve"> </w:t>
      </w:r>
      <w:r>
        <w:t xml:space="preserve">- Secure factory slot and reduce lead-times.</w:t>
      </w:r>
      <w:r>
        <w:t xml:space="preserve"> </w:t>
      </w:r>
      <w:r>
        <w:t xml:space="preserve">- Engineer module-to-module details with manufacturer input.</w:t>
      </w:r>
      <w:r>
        <w:t xml:space="preserve"> </w:t>
      </w:r>
      <w:r>
        <w:t xml:space="preserve">- Optimize MEP prefabrication to reduce on-site work.</w:t>
      </w:r>
    </w:p>
    <w:p>
      <w:pPr>
        <w:pStyle w:val="BodyText"/>
      </w:pPr>
      <w:r>
        <w:t xml:space="preserve">Recommended procurement timeline (high-level)</w:t>
      </w:r>
      <w:r>
        <w:t xml:space="preserve"> </w:t>
      </w:r>
      <w:r>
        <w:t xml:space="preserve">- Weeks 0–4: Issue pre-qual and select shortlist of 3 manufacturers / contractors.</w:t>
      </w:r>
      <w:r>
        <w:t xml:space="preserve"> </w:t>
      </w:r>
      <w:r>
        <w:t xml:space="preserve">- Weeks 4–12: Stage 1 (ECI) — price and programme framework, preliminary design refinement.</w:t>
      </w:r>
      <w:r>
        <w:t xml:space="preserve"> </w:t>
      </w:r>
      <w:r>
        <w:t xml:space="preserve">- Weeks 12–18: Stage 2 tendering / issue of fixed-price package and final contract award.</w:t>
      </w:r>
      <w:r>
        <w:t xml:space="preserve"> </w:t>
      </w:r>
      <w:r>
        <w:t xml:space="preserve">- Weeks 18+: Manufacture lead time (varies by manufacturer), site enabling works commence to align with module delivery.</w:t>
      </w:r>
    </w:p>
    <w:p>
      <w:pPr>
        <w:pStyle w:val="BodyText"/>
      </w:pPr>
      <w:r>
        <w:t xml:space="preserve">Key contractual items to include</w:t>
      </w:r>
      <w:r>
        <w:t xml:space="preserve"> </w:t>
      </w:r>
      <w:r>
        <w:t xml:space="preserve">- Factory acceptance test (FAT) and site acceptance test (SAT) regimes.</w:t>
      </w:r>
      <w:r>
        <w:t xml:space="preserve"> </w:t>
      </w:r>
      <w:r>
        <w:t xml:space="preserve">- Penalties or incentives for delivery timing and quality.</w:t>
      </w:r>
      <w:r>
        <w:t xml:space="preserve"> </w:t>
      </w:r>
      <w:r>
        <w:t xml:space="preserve">- Clear definition of scope split (which party supplies kitchens, which party installs finishes).</w:t>
      </w:r>
      <w:r>
        <w:t xml:space="preserve"> </w:t>
      </w:r>
      <w:r>
        <w:t xml:space="preserve">- Warranty terms including structure (10-year structural warranty standard in German practice for certain elements) and 2–5 year periods for MEP.</w:t>
      </w:r>
    </w:p>
    <w:p>
      <w:r>
        <w:pict>
          <v:rect style="width:0;height:1.5pt" o:hralign="center" o:hrstd="t" o:hr="t"/>
        </w:pict>
      </w:r>
    </w:p>
    <w:bookmarkEnd w:id="29"/>
    <w:bookmarkStart w:id="30" w:name="X5b371e7ff1ae33b6c18de7cfd3c890a38072b63"/>
    <w:p>
      <w:pPr>
        <w:pStyle w:val="Heading1"/>
      </w:pPr>
      <w:r>
        <w:t xml:space="preserve">Programme / Milestones (expanded Gantt-like sequence)</w:t>
      </w:r>
    </w:p>
    <w:p>
      <w:pPr>
        <w:pStyle w:val="FirstParagraph"/>
      </w:pPr>
      <w:r>
        <w:t xml:space="preserve">High-level programme summary (weeks)</w:t>
      </w:r>
    </w:p>
    <w:p>
      <w:pPr>
        <w:pStyle w:val="Compact"/>
        <w:numPr>
          <w:ilvl w:val="0"/>
          <w:numId w:val="1002"/>
        </w:numPr>
      </w:pPr>
      <w:r>
        <w:t xml:space="preserve">0–2 weeks: Confirm brief &amp; site assumptions — Owner: John (budget sign-off) / Lead: Oscar (Architect).</w:t>
      </w:r>
    </w:p>
    <w:p>
      <w:pPr>
        <w:pStyle w:val="Compact"/>
        <w:numPr>
          <w:ilvl w:val="0"/>
          <w:numId w:val="1002"/>
        </w:numPr>
      </w:pPr>
      <w:r>
        <w:t xml:space="preserve">2–6 weeks: Schematic design &amp; unit layout finalisation — Owner: Oscar; Support: Anna (interior selection).</w:t>
      </w:r>
    </w:p>
    <w:p>
      <w:pPr>
        <w:pStyle w:val="Compact"/>
        <w:numPr>
          <w:ilvl w:val="0"/>
          <w:numId w:val="1002"/>
        </w:numPr>
      </w:pPr>
      <w:r>
        <w:t xml:space="preserve">6–14 weeks: Detailed design &amp; coordination, preliminary MEP strategy — Lead: Oscar; Structural engineer: Richard; MEP Team: Awesome Inc.</w:t>
      </w:r>
    </w:p>
    <w:p>
      <w:pPr>
        <w:pStyle w:val="Compact"/>
        <w:numPr>
          <w:ilvl w:val="0"/>
          <w:numId w:val="1002"/>
        </w:numPr>
      </w:pPr>
      <w:r>
        <w:t xml:space="preserve">14–22 weeks: Building permit submission &amp; approvals — Lead: Oscar / planning consultant; Owner: John. Typical municipal review 8–12 weeks.</w:t>
      </w:r>
    </w:p>
    <w:p>
      <w:pPr>
        <w:pStyle w:val="Compact"/>
        <w:numPr>
          <w:ilvl w:val="0"/>
          <w:numId w:val="1002"/>
        </w:numPr>
      </w:pPr>
      <w:r>
        <w:t xml:space="preserve">22–26 weeks: Tendering &amp; contractor selection (two-stage tender recommended) — Lead: Oscar; Procurement owner: John.</w:t>
      </w:r>
    </w:p>
    <w:p>
      <w:pPr>
        <w:pStyle w:val="Compact"/>
        <w:numPr>
          <w:ilvl w:val="0"/>
          <w:numId w:val="1002"/>
        </w:numPr>
      </w:pPr>
      <w:r>
        <w:t xml:space="preserve">26–60+ weeks: Construction (modular) — Contractor / Module manufacturer; on-site assembly 4–6 months for modules plus finishing 2–4 months depending on scope (total 6–10 months).</w:t>
      </w:r>
    </w:p>
    <w:p>
      <w:pPr>
        <w:pStyle w:val="Compact"/>
        <w:numPr>
          <w:ilvl w:val="0"/>
          <w:numId w:val="1002"/>
        </w:numPr>
      </w:pPr>
      <w:r>
        <w:t xml:space="preserve">Site enabling &amp; groundworks: weeks 26–30</w:t>
      </w:r>
    </w:p>
    <w:p>
      <w:pPr>
        <w:pStyle w:val="Compact"/>
        <w:numPr>
          <w:ilvl w:val="0"/>
          <w:numId w:val="1002"/>
        </w:numPr>
      </w:pPr>
      <w:r>
        <w:t xml:space="preserve">Module manufacture (factory): weeks 28–50 (overlap with groundworks)</w:t>
      </w:r>
    </w:p>
    <w:p>
      <w:pPr>
        <w:pStyle w:val="Compact"/>
        <w:numPr>
          <w:ilvl w:val="0"/>
          <w:numId w:val="1002"/>
        </w:numPr>
      </w:pPr>
      <w:r>
        <w:t xml:space="preserve">Module delivery &amp; cranage: weeks 44–48</w:t>
      </w:r>
    </w:p>
    <w:p>
      <w:pPr>
        <w:pStyle w:val="Compact"/>
        <w:numPr>
          <w:ilvl w:val="0"/>
          <w:numId w:val="1002"/>
        </w:numPr>
      </w:pPr>
      <w:r>
        <w:t xml:space="preserve">On-site connections &amp; fit-out: weeks 48–60</w:t>
      </w:r>
    </w:p>
    <w:p>
      <w:pPr>
        <w:pStyle w:val="Compact"/>
        <w:numPr>
          <w:ilvl w:val="0"/>
          <w:numId w:val="1002"/>
        </w:numPr>
      </w:pPr>
      <w:r>
        <w:t xml:space="preserve">60–64 weeks: Handover &amp; commissioning (2–4 weeks)</w:t>
      </w:r>
    </w:p>
    <w:p>
      <w:pPr>
        <w:pStyle w:val="Compact"/>
        <w:numPr>
          <w:ilvl w:val="0"/>
          <w:numId w:val="1002"/>
        </w:numPr>
      </w:pPr>
      <w:r>
        <w:t xml:space="preserve">64–66 weeks: Snagging and defects rectification</w:t>
      </w:r>
    </w:p>
    <w:p>
      <w:pPr>
        <w:pStyle w:val="FirstParagraph"/>
      </w:pPr>
      <w:r>
        <w:t xml:space="preserve">Detailed milestone table (dates relative to contract start)</w:t>
      </w:r>
    </w:p>
    <w:p>
      <w:pPr>
        <w:pStyle w:val="BodyText"/>
      </w:pPr>
      <w:r>
        <w:t xml:space="preserve">| Milestone | Duration | Responsible |</w:t>
      </w:r>
      <w:r>
        <w:t xml:space="preserve"> </w:t>
      </w:r>
      <w:r>
        <w:t xml:space="preserve">|----------|---------:|------------|</w:t>
      </w:r>
      <w:r>
        <w:t xml:space="preserve"> </w:t>
      </w:r>
      <w:r>
        <w:t xml:space="preserve">| Brief confirmation &amp; sign-off | 2 weeks | John / Oscar |</w:t>
      </w:r>
      <w:r>
        <w:t xml:space="preserve"> </w:t>
      </w:r>
      <w:r>
        <w:t xml:space="preserve">| Schematic &amp; unit selection | 4 weeks | Oscar / Anna |</w:t>
      </w:r>
      <w:r>
        <w:t xml:space="preserve"> </w:t>
      </w:r>
      <w:r>
        <w:t xml:space="preserve">| Detailed design &amp; coordination | 8 weeks | Oscar / Richard / MEP Team |</w:t>
      </w:r>
      <w:r>
        <w:t xml:space="preserve"> </w:t>
      </w:r>
      <w:r>
        <w:t xml:space="preserve">| Permit submission | 2 weeks | Oscar / Planning consultant |</w:t>
      </w:r>
      <w:r>
        <w:t xml:space="preserve"> </w:t>
      </w:r>
      <w:r>
        <w:t xml:space="preserve">| Planning review period | 8–12 weeks | Municipal authority |</w:t>
      </w:r>
      <w:r>
        <w:t xml:space="preserve"> </w:t>
      </w:r>
      <w:r>
        <w:t xml:space="preserve">| Early Contractor Engagement (Stage 1) | 6 weeks | Procurement / Contractor |</w:t>
      </w:r>
      <w:r>
        <w:t xml:space="preserve"> </w:t>
      </w:r>
      <w:r>
        <w:t xml:space="preserve">| Tender &amp; GMP agreement (Stage 2) | 4 weeks | Procurement / Contractor |</w:t>
      </w:r>
      <w:r>
        <w:t xml:space="preserve"> </w:t>
      </w:r>
      <w:r>
        <w:t xml:space="preserve">| Groundworks &amp; substructure | 6–8 weeks | Contractor |</w:t>
      </w:r>
      <w:r>
        <w:t xml:space="preserve"> </w:t>
      </w:r>
      <w:r>
        <w:t xml:space="preserve">| Module manufacture &amp; QA | 12–22 weeks | Module manufacturer |</w:t>
      </w:r>
      <w:r>
        <w:t xml:space="preserve"> </w:t>
      </w:r>
      <w:r>
        <w:t xml:space="preserve">| Module delivery &amp; cranage | 2–4 weeks | Contractor / Crane supplier |</w:t>
      </w:r>
      <w:r>
        <w:t xml:space="preserve"> </w:t>
      </w:r>
      <w:r>
        <w:t xml:space="preserve">| Internal finishing &amp; commissioning | 4–8 weeks | Contractor |</w:t>
      </w:r>
      <w:r>
        <w:t xml:space="preserve"> </w:t>
      </w:r>
      <w:r>
        <w:t xml:space="preserve">| Handover | 2–4 weeks | Owner / Contractor |</w:t>
      </w:r>
    </w:p>
    <w:p>
      <w:pPr>
        <w:pStyle w:val="BodyText"/>
      </w:pPr>
      <w:r>
        <w:t xml:space="preserve">Notes: Programme assumes overlapping manufacture and groundworks (fast-track). Manufacturing slot availability is critical; secure slot early.</w:t>
      </w:r>
    </w:p>
    <w:p>
      <w:r>
        <w:pict>
          <v:rect style="width:0;height:1.5pt" o:hralign="center" o:hrstd="t" o:hr="t"/>
        </w:pict>
      </w:r>
    </w:p>
    <w:bookmarkEnd w:id="30"/>
    <w:bookmarkStart w:id="31" w:name="deliverables-i-will-prepare-expanded"/>
    <w:p>
      <w:pPr>
        <w:pStyle w:val="Heading1"/>
      </w:pPr>
      <w:r>
        <w:t xml:space="preserve">Deliverables I will prepare (expanded)</w:t>
      </w:r>
    </w:p>
    <w:p>
      <w:pPr>
        <w:pStyle w:val="FirstParagraph"/>
      </w:pPr>
      <w:r>
        <w:t xml:space="preserve">Primary deliverables (next steps)</w:t>
      </w:r>
      <w:r>
        <w:t xml:space="preserve"> </w:t>
      </w:r>
      <w:r>
        <w:t xml:space="preserve">1. Full schematic drawings and unit plan options for client selection (Oscar). Includes:</w:t>
      </w:r>
      <w:r>
        <w:t xml:space="preserve"> </w:t>
      </w:r>
      <w:r>
        <w:t xml:space="preserve">- Typical floor plans (three unit types).</w:t>
      </w:r>
      <w:r>
        <w:t xml:space="preserve"> </w:t>
      </w:r>
      <w:r>
        <w:t xml:space="preserve">- Module layout and module-junction details.</w:t>
      </w:r>
      <w:r>
        <w:t xml:space="preserve"> </w:t>
      </w:r>
      <w:r>
        <w:t xml:space="preserve">- Elevation studies and solar orientation analysis.</w:t>
      </w:r>
      <w:r>
        <w:t xml:space="preserve"> </w:t>
      </w:r>
      <w:r>
        <w:t xml:space="preserve">2. Preliminary specification and finish palette (Anna to support). Includes:</w:t>
      </w:r>
      <w:r>
        <w:t xml:space="preserve"> </w:t>
      </w:r>
      <w:r>
        <w:t xml:space="preserve">- Finish schedules for Basic / Mid / Premium levels.</w:t>
      </w:r>
      <w:r>
        <w:t xml:space="preserve"> </w:t>
      </w:r>
      <w:r>
        <w:t xml:space="preserve">- Kitchen and sanitary appliance packages with provisional costs.</w:t>
      </w:r>
      <w:r>
        <w:t xml:space="preserve"> </w:t>
      </w:r>
      <w:r>
        <w:t xml:space="preserve">3. Preliminary cost plan and tender package to issue to contractors (Oscar / procurement). Includes:</w:t>
      </w:r>
      <w:r>
        <w:t xml:space="preserve"> </w:t>
      </w:r>
      <w:r>
        <w:t xml:space="preserve">- Contractor-ready bill of quantities (requires QS engagement if detailed).</w:t>
      </w:r>
      <w:r>
        <w:t xml:space="preserve"> </w:t>
      </w:r>
      <w:r>
        <w:t xml:space="preserve">- Schedule of areas and unit-level cost breakdowns.</w:t>
      </w:r>
      <w:r>
        <w:t xml:space="preserve"> </w:t>
      </w:r>
      <w:r>
        <w:t xml:space="preserve">4. Planning submission pack (Oscar / planning consultant). Includes:</w:t>
      </w:r>
      <w:r>
        <w:t xml:space="preserve"> </w:t>
      </w:r>
      <w:r>
        <w:t xml:space="preserve">- Planning drawings, site layout, sustainability statement and fire strategy.</w:t>
      </w:r>
      <w:r>
        <w:t xml:space="preserve"> </w:t>
      </w:r>
      <w:r>
        <w:t xml:space="preserve">5. Manufacturer shortlist &amp; initial queries pack. Includes:</w:t>
      </w:r>
      <w:r>
        <w:t xml:space="preserve"> </w:t>
      </w:r>
      <w:r>
        <w:t xml:space="preserve">- Technical questions for CLT manufacturers (connection details, tolerances, lead times, modular weight).</w:t>
      </w:r>
      <w:r>
        <w:t xml:space="preserve"> </w:t>
      </w:r>
      <w:r>
        <w:t xml:space="preserve">6. Energy &amp; LCA report (optional add-on). Includes:</w:t>
      </w:r>
      <w:r>
        <w:t xml:space="preserve"> </w:t>
      </w:r>
      <w:r>
        <w:t xml:space="preserve">- Preliminary energy model and embodied carbon screening.</w:t>
      </w:r>
    </w:p>
    <w:p>
      <w:pPr>
        <w:pStyle w:val="BodyText"/>
      </w:pPr>
      <w:r>
        <w:t xml:space="preserve">Additional optional deliverables (upon request / additional budget)</w:t>
      </w:r>
      <w:r>
        <w:t xml:space="preserve"> </w:t>
      </w:r>
      <w:r>
        <w:t xml:space="preserve">- Contractor-ready Bill of Quantities — requires QS fee.</w:t>
      </w:r>
      <w:r>
        <w:t xml:space="preserve"> </w:t>
      </w:r>
      <w:r>
        <w:t xml:space="preserve">- Full LCA (EN 15978) and EPD collation for major materials.</w:t>
      </w:r>
      <w:r>
        <w:t xml:space="preserve"> </w:t>
      </w:r>
      <w:r>
        <w:t xml:space="preserve">- 3D visualisations and marketing renders for investor presentations.</w:t>
      </w:r>
      <w:r>
        <w:t xml:space="preserve"> </w:t>
      </w:r>
      <w:r>
        <w:t xml:space="preserve">- Detailed logistics plan including crane-siting and road permit strategy.</w:t>
      </w:r>
    </w:p>
    <w:p>
      <w:r>
        <w:pict>
          <v:rect style="width:0;height:1.5pt" o:hralign="center" o:hrstd="t" o:hr="t"/>
        </w:pict>
      </w:r>
    </w:p>
    <w:bookmarkEnd w:id="31"/>
    <w:bookmarkStart w:id="32" w:name="recommendations-next-steps-expanded"/>
    <w:p>
      <w:pPr>
        <w:pStyle w:val="Heading1"/>
      </w:pPr>
      <w:r>
        <w:t xml:space="preserve">Recommendations &amp; Next Steps (expanded)</w:t>
      </w:r>
    </w:p>
    <w:p>
      <w:pPr>
        <w:pStyle w:val="FirstParagraph"/>
      </w:pPr>
      <w:r>
        <w:t xml:space="preserve">Immediate recommendation priorities</w:t>
      </w:r>
      <w:r>
        <w:t xml:space="preserve"> </w:t>
      </w:r>
      <w:r>
        <w:t xml:space="preserve">1. Commission geotechnical survey and site topographical survey (ASAP). Rationale: ground conditions can fundamentally change substructure cost and programme.</w:t>
      </w:r>
      <w:r>
        <w:t xml:space="preserve"> </w:t>
      </w:r>
      <w:r>
        <w:t xml:space="preserve">2. Decide on construction strategy (modular CLT vs conventional hybrid/concrete) and confirm planning authority stance on timber. If timber use is potentially constrained, prepare hybrid fallback solutions.</w:t>
      </w:r>
      <w:r>
        <w:t xml:space="preserve"> </w:t>
      </w:r>
      <w:r>
        <w:t xml:space="preserve">3. Engage structural engineer and a modular manufacturer in parallel for preliminary technical validation and indicative pricing. Factor in factory slot booking as soon as ECI is concluded.</w:t>
      </w:r>
      <w:r>
        <w:t xml:space="preserve"> </w:t>
      </w:r>
      <w:r>
        <w:t xml:space="preserve">4. Issue a brief tender pack to 3 prequalified manufacturers/contractors and request indicative lead times and budgets. Run two-stage tender with ECI to lock in details and control pricing.</w:t>
      </w:r>
      <w:r>
        <w:t xml:space="preserve"> </w:t>
      </w:r>
      <w:r>
        <w:t xml:space="preserve">5. Confirm unit finishes and build an owner allowances schedule to quantify soft fit and furniture costs.</w:t>
      </w:r>
    </w:p>
    <w:p>
      <w:pPr>
        <w:pStyle w:val="BodyText"/>
      </w:pPr>
      <w:r>
        <w:t xml:space="preserve">Other recommendations</w:t>
      </w:r>
      <w:r>
        <w:t xml:space="preserve"> </w:t>
      </w:r>
      <w:r>
        <w:t xml:space="preserve">- Consider green financing opportunities (ESG-linked loans, KfW programmes in Germany) that reward lower embodied and operational carbon. Prepare a sustainability dossier to support grant and finance applications.</w:t>
      </w:r>
      <w:r>
        <w:t xml:space="preserve"> </w:t>
      </w:r>
      <w:r>
        <w:t xml:space="preserve">- Plan for MVHR commissioning and occupancy monitoring during first year to tune system controls and demonstrate actual energy performance.</w:t>
      </w:r>
      <w:r>
        <w:t xml:space="preserve"> </w:t>
      </w:r>
      <w:r>
        <w:t xml:space="preserve">- Reserve contingency for regulatory changes — GEG or other environmental standards may evolve.</w:t>
      </w:r>
    </w:p>
    <w:p>
      <w:r>
        <w:pict>
          <v:rect style="width:0;height:1.5pt" o:hralign="center" o:hrstd="t" o:hr="t"/>
        </w:pict>
      </w:r>
    </w:p>
    <w:bookmarkEnd w:id="32"/>
    <w:bookmarkStart w:id="33" w:name="tender-contract-checklist-practical"/>
    <w:p>
      <w:pPr>
        <w:pStyle w:val="Heading1"/>
      </w:pPr>
      <w:r>
        <w:t xml:space="preserve">Tender / Contract Checklist (practical)</w:t>
      </w:r>
    </w:p>
    <w:p>
      <w:pPr>
        <w:pStyle w:val="FirstParagraph"/>
      </w:pPr>
      <w:r>
        <w:t xml:space="preserve">Minimum documents to include in contractor / manufacturer tender</w:t>
      </w:r>
      <w:r>
        <w:t xml:space="preserve"> </w:t>
      </w:r>
      <w:r>
        <w:t xml:space="preserve">- Employer’s Requirements (ER) including performance criteria, acoustic and airtightness targets.</w:t>
      </w:r>
      <w:r>
        <w:t xml:space="preserve"> </w:t>
      </w:r>
      <w:r>
        <w:t xml:space="preserve">- Architects’ drawings (schematic and typical module detail).</w:t>
      </w:r>
      <w:r>
        <w:t xml:space="preserve"> </w:t>
      </w:r>
      <w:r>
        <w:t xml:space="preserve">- Structural principles and connection detail.</w:t>
      </w:r>
      <w:r>
        <w:t xml:space="preserve"> </w:t>
      </w:r>
      <w:r>
        <w:t xml:space="preserve">- MEP performance specification: heating setpoints, MVHR targets, testing &amp; balancing requirements.</w:t>
      </w:r>
      <w:r>
        <w:t xml:space="preserve"> </w:t>
      </w:r>
      <w:r>
        <w:t xml:space="preserve">- Quality expectations and factory acceptance test checklist.</w:t>
      </w:r>
      <w:r>
        <w:t xml:space="preserve"> </w:t>
      </w:r>
      <w:r>
        <w:t xml:space="preserve">- Delivery &amp; cranage window and permitted deliveries by municipality.</w:t>
      </w:r>
      <w:r>
        <w:t xml:space="preserve"> </w:t>
      </w:r>
      <w:r>
        <w:t xml:space="preserve">- Defect liability and warranty periods.</w:t>
      </w:r>
      <w:r>
        <w:t xml:space="preserve"> </w:t>
      </w:r>
      <w:r>
        <w:t xml:space="preserve">- Test &amp; commissioning requirements and responsibility matrix.</w:t>
      </w:r>
    </w:p>
    <w:p>
      <w:pPr>
        <w:pStyle w:val="BodyText"/>
      </w:pPr>
      <w:r>
        <w:t xml:space="preserve">Evaluation and award considerations</w:t>
      </w:r>
      <w:r>
        <w:t xml:space="preserve"> </w:t>
      </w:r>
      <w:r>
        <w:t xml:space="preserve">- Confirm that tender includes allowances for site works and off-site fabrication interface works.</w:t>
      </w:r>
      <w:r>
        <w:t xml:space="preserve"> </w:t>
      </w:r>
      <w:r>
        <w:t xml:space="preserve">- Evaluate manufacturer references and factory capacity.</w:t>
      </w:r>
      <w:r>
        <w:t xml:space="preserve"> </w:t>
      </w:r>
      <w:r>
        <w:t xml:space="preserve">- Prioritise manufacturers with previous residential modular CLT delivery experience in Germany and known quality systems.</w:t>
      </w:r>
    </w:p>
    <w:p>
      <w:r>
        <w:pict>
          <v:rect style="width:0;height:1.5pt" o:hralign="center" o:hrstd="t" o:hr="t"/>
        </w:pict>
      </w:r>
    </w:p>
    <w:bookmarkEnd w:id="33"/>
    <w:bookmarkStart w:id="34" w:name="appendices"/>
    <w:p>
      <w:pPr>
        <w:pStyle w:val="Heading1"/>
      </w:pPr>
      <w:r>
        <w:t xml:space="preserve">Appendices</w:t>
      </w:r>
    </w:p>
    <w:p>
      <w:pPr>
        <w:pStyle w:val="FirstParagraph"/>
      </w:pPr>
      <w:r>
        <w:t xml:space="preserve">Appendix A — Example finish menu &amp; provisional pricing per unit (indicative)</w:t>
      </w:r>
    </w:p>
    <w:p>
      <w:pPr>
        <w:pStyle w:val="Compact"/>
        <w:numPr>
          <w:ilvl w:val="0"/>
          <w:numId w:val="1003"/>
        </w:numPr>
      </w:pPr>
      <w:r>
        <w:t xml:space="preserve">Basic package:</w:t>
      </w:r>
    </w:p>
    <w:p>
      <w:pPr>
        <w:pStyle w:val="Compact"/>
        <w:numPr>
          <w:ilvl w:val="0"/>
          <w:numId w:val="1003"/>
        </w:numPr>
      </w:pPr>
      <w:r>
        <w:t xml:space="preserve">Kitchen basic: €2,200</w:t>
      </w:r>
    </w:p>
    <w:p>
      <w:pPr>
        <w:pStyle w:val="Compact"/>
        <w:numPr>
          <w:ilvl w:val="0"/>
          <w:numId w:val="1003"/>
        </w:numPr>
      </w:pPr>
      <w:r>
        <w:t xml:space="preserve">Bathroom basic: €1,800</w:t>
      </w:r>
    </w:p>
    <w:p>
      <w:pPr>
        <w:pStyle w:val="Compact"/>
        <w:numPr>
          <w:ilvl w:val="0"/>
          <w:numId w:val="1003"/>
        </w:numPr>
      </w:pPr>
      <w:r>
        <w:t xml:space="preserve">Flooring (vinyl): €900</w:t>
      </w:r>
    </w:p>
    <w:p>
      <w:pPr>
        <w:numPr>
          <w:ilvl w:val="0"/>
          <w:numId w:val="1003"/>
        </w:numPr>
      </w:pPr>
      <w:r>
        <w:t xml:space="preserve">Total per unit (basic add-on): ~€4,900</w:t>
      </w:r>
    </w:p>
    <w:p>
      <w:pPr>
        <w:numPr>
          <w:ilvl w:val="0"/>
          <w:numId w:val="1003"/>
        </w:numPr>
      </w:pPr>
      <w:r>
        <w:t xml:space="preserve">Mid package (recommended):</w:t>
      </w:r>
    </w:p>
    <w:p>
      <w:pPr>
        <w:pStyle w:val="Compact"/>
        <w:numPr>
          <w:ilvl w:val="0"/>
          <w:numId w:val="1003"/>
        </w:numPr>
      </w:pPr>
      <w:r>
        <w:t xml:space="preserve">Kitchen mid: €4,500</w:t>
      </w:r>
    </w:p>
    <w:p>
      <w:pPr>
        <w:pStyle w:val="Compact"/>
        <w:numPr>
          <w:ilvl w:val="0"/>
          <w:numId w:val="1003"/>
        </w:numPr>
      </w:pPr>
      <w:r>
        <w:t xml:space="preserve">Bathroom mid: €3,500</w:t>
      </w:r>
    </w:p>
    <w:p>
      <w:pPr>
        <w:pStyle w:val="Compact"/>
        <w:numPr>
          <w:ilvl w:val="0"/>
          <w:numId w:val="1003"/>
        </w:numPr>
      </w:pPr>
      <w:r>
        <w:t xml:space="preserve">Flooring (engineered timber/luxury vinyl): €1,800</w:t>
      </w:r>
    </w:p>
    <w:p>
      <w:pPr>
        <w:numPr>
          <w:ilvl w:val="0"/>
          <w:numId w:val="1003"/>
        </w:numPr>
      </w:pPr>
      <w:r>
        <w:t xml:space="preserve">Total per unit (mid add-on): ~€9,800</w:t>
      </w:r>
    </w:p>
    <w:p>
      <w:pPr>
        <w:numPr>
          <w:ilvl w:val="0"/>
          <w:numId w:val="1003"/>
        </w:numPr>
      </w:pPr>
      <w:r>
        <w:t xml:space="preserve">Premium package:</w:t>
      </w:r>
    </w:p>
    <w:p>
      <w:pPr>
        <w:pStyle w:val="Compact"/>
        <w:numPr>
          <w:ilvl w:val="0"/>
          <w:numId w:val="1003"/>
        </w:numPr>
      </w:pPr>
      <w:r>
        <w:t xml:space="preserve">Kitchen premium: €7,500</w:t>
      </w:r>
    </w:p>
    <w:p>
      <w:pPr>
        <w:pStyle w:val="Compact"/>
        <w:numPr>
          <w:ilvl w:val="0"/>
          <w:numId w:val="1003"/>
        </w:numPr>
      </w:pPr>
      <w:r>
        <w:t xml:space="preserve">Bathroom premium: €6,000</w:t>
      </w:r>
    </w:p>
    <w:p>
      <w:pPr>
        <w:pStyle w:val="Compact"/>
        <w:numPr>
          <w:ilvl w:val="0"/>
          <w:numId w:val="1003"/>
        </w:numPr>
      </w:pPr>
      <w:r>
        <w:t xml:space="preserve">Flooring premium: €3,500</w:t>
      </w:r>
    </w:p>
    <w:p>
      <w:pPr>
        <w:pStyle w:val="Compact"/>
        <w:numPr>
          <w:ilvl w:val="0"/>
          <w:numId w:val="1003"/>
        </w:numPr>
      </w:pPr>
      <w:r>
        <w:t xml:space="preserve">Total per unit (premium add-on): ~€17,000</w:t>
      </w:r>
    </w:p>
    <w:p>
      <w:pPr>
        <w:pStyle w:val="FirstParagraph"/>
      </w:pPr>
      <w:r>
        <w:t xml:space="preserve">Note: kitchen and bathroom prices relate to fitted elements, appliances, and installation. Prices are indicative; supplier quotes will refine.</w:t>
      </w:r>
    </w:p>
    <w:p>
      <w:pPr>
        <w:pStyle w:val="BodyText"/>
      </w:pPr>
      <w:r>
        <w:t xml:space="preserve">Appendix B — Example technical data sheet (module)</w:t>
      </w:r>
      <w:r>
        <w:t xml:space="preserve"> </w:t>
      </w:r>
      <w:r>
        <w:t xml:space="preserve">- Typical module dimensions: length 6–12 m; width 3.6–4.2 m; height 2.7–3.0 m</w:t>
      </w:r>
      <w:r>
        <w:t xml:space="preserve"> </w:t>
      </w:r>
      <w:r>
        <w:t xml:space="preserve">- Max transport width: 4.2 m (without special permits)</w:t>
      </w:r>
      <w:r>
        <w:t xml:space="preserve"> </w:t>
      </w:r>
      <w:r>
        <w:t xml:space="preserve">- Module weight: 8–18 tonnes (depending on floor and finishes) — crane lifting plan required.</w:t>
      </w:r>
    </w:p>
    <w:p>
      <w:pPr>
        <w:pStyle w:val="BodyText"/>
      </w:pPr>
      <w:r>
        <w:t xml:space="preserve">Appendix C — Example PV &amp; Heat Pump sizing quick calc (indicative)</w:t>
      </w:r>
      <w:r>
        <w:t xml:space="preserve"> </w:t>
      </w:r>
      <w:r>
        <w:t xml:space="preserve">- Roof area available: 450 m² (example)</w:t>
      </w:r>
      <w:r>
        <w:t xml:space="preserve"> </w:t>
      </w:r>
      <w:r>
        <w:t xml:space="preserve">- Installable PV coverage: 70% → 315 m²</w:t>
      </w:r>
      <w:r>
        <w:t xml:space="preserve"> </w:t>
      </w:r>
      <w:r>
        <w:t xml:space="preserve">- Panel density: 6–8 m² per kWp (depending on panel efficiency) → 315 m² ≈ 40–52 kWp</w:t>
      </w:r>
      <w:r>
        <w:t xml:space="preserve"> </w:t>
      </w:r>
      <w:r>
        <w:t xml:space="preserve">- Estimated yield: 900–1,000 kWh per installed kWp per year (Germany) → 40–52 kWp yields ≈ 36–52 MWh/year</w:t>
      </w:r>
      <w:r>
        <w:t xml:space="preserve"> </w:t>
      </w:r>
      <w:r>
        <w:t xml:space="preserve">- Suggested battery: 50–100 kWh for building-level smoothing and peak shaving (size to be optimized according to tariff and self-consumption analysis)</w:t>
      </w:r>
    </w:p>
    <w:p>
      <w:pPr>
        <w:pStyle w:val="BodyText"/>
      </w:pPr>
      <w:r>
        <w:t xml:space="preserve">Appendix D — Planning submission checklist (documents)</w:t>
      </w:r>
      <w:r>
        <w:t xml:space="preserve"> </w:t>
      </w:r>
      <w:r>
        <w:t xml:space="preserve">- Site location plan</w:t>
      </w:r>
      <w:r>
        <w:t xml:space="preserve"> </w:t>
      </w:r>
      <w:r>
        <w:t xml:space="preserve">- Existing and proposed site plan</w:t>
      </w:r>
      <w:r>
        <w:t xml:space="preserve"> </w:t>
      </w:r>
      <w:r>
        <w:t xml:space="preserve">- Elevations and sections</w:t>
      </w:r>
      <w:r>
        <w:t xml:space="preserve"> </w:t>
      </w:r>
      <w:r>
        <w:t xml:space="preserve">- Typical module details and materials schedule</w:t>
      </w:r>
      <w:r>
        <w:t xml:space="preserve"> </w:t>
      </w:r>
      <w:r>
        <w:t xml:space="preserve">- Fire safety concept &amp; escape diagrams</w:t>
      </w:r>
      <w:r>
        <w:t xml:space="preserve"> </w:t>
      </w:r>
      <w:r>
        <w:t xml:space="preserve">- Energy statement &amp; preliminary MEP strategy</w:t>
      </w:r>
      <w:r>
        <w:t xml:space="preserve"> </w:t>
      </w:r>
      <w:r>
        <w:t xml:space="preserve">- Daylight &amp; overshadowing study (if required)</w:t>
      </w:r>
      <w:r>
        <w:t xml:space="preserve"> </w:t>
      </w:r>
      <w:r>
        <w:t xml:space="preserve">- Landscaping proposals</w:t>
      </w:r>
    </w:p>
    <w:p>
      <w:pPr>
        <w:pStyle w:val="BodyText"/>
      </w:pPr>
      <w:r>
        <w:t xml:space="preserve">Appendix E — Contacts (project team)</w:t>
      </w:r>
      <w:r>
        <w:t xml:space="preserve"> </w:t>
      </w:r>
      <w:r>
        <w:t xml:space="preserve">- Oscar — Architect &amp; Lead Coordinator, Awesome Inc.</w:t>
      </w:r>
      <w:r>
        <w:t xml:space="preserve"> </w:t>
      </w:r>
      <w:r>
        <w:t xml:space="preserve">- Anna — Interior Design Liaison</w:t>
      </w:r>
      <w:r>
        <w:t xml:space="preserve"> </w:t>
      </w:r>
      <w:r>
        <w:t xml:space="preserve">- Richard — Structural Coordination Lead</w:t>
      </w:r>
      <w:r>
        <w:t xml:space="preserve"> </w:t>
      </w:r>
      <w:r>
        <w:t xml:space="preserve">- John — Owner / Budget sign-off</w:t>
      </w:r>
      <w:r>
        <w:t xml:space="preserve"> </w:t>
      </w:r>
      <w:r>
        <w:t xml:space="preserve">- MEP Team — Awesome Inc. (MEP consultancy)</w:t>
      </w:r>
    </w:p>
    <w:p>
      <w:r>
        <w:pict>
          <v:rect style="width:0;height:1.5pt" o:hralign="center" o:hrstd="t" o:hr="t"/>
        </w:pict>
      </w:r>
    </w:p>
    <w:bookmarkEnd w:id="34"/>
    <w:bookmarkStart w:id="35" w:name="closing-notes-call-to-action"/>
    <w:p>
      <w:pPr>
        <w:pStyle w:val="Heading1"/>
      </w:pPr>
      <w:r>
        <w:t xml:space="preserve">Closing Notes &amp; Call to Action</w:t>
      </w:r>
    </w:p>
    <w:p>
      <w:pPr>
        <w:pStyle w:val="FirstParagraph"/>
      </w:pPr>
      <w:r>
        <w:t xml:space="preserve">Next practical steps we recommend starting immediately:</w:t>
      </w:r>
      <w:r>
        <w:t xml:space="preserve"> </w:t>
      </w:r>
      <w:r>
        <w:t xml:space="preserve">1. Confirm the GFA multiplier (if your accounting uses a different net-to-gross factor we will re-run numbers).</w:t>
      </w:r>
      <w:r>
        <w:t xml:space="preserve"> </w:t>
      </w:r>
      <w:r>
        <w:t xml:space="preserve">2. Authorise a geotechnical investigation and topographic survey (we can recommend surveyors).</w:t>
      </w:r>
      <w:r>
        <w:t xml:space="preserve"> </w:t>
      </w:r>
      <w:r>
        <w:t xml:space="preserve">3. Confirm whether you want us to prepare the schematic floor plans and an elevation study within the next 2 weeks (we will include three variants for client selection).</w:t>
      </w:r>
      <w:r>
        <w:t xml:space="preserve"> </w:t>
      </w:r>
      <w:r>
        <w:t xml:space="preserve">4. If desired, we can prepare a preliminary tender package and shortlist three modular manufacturers for a soft-market-sounding exercise (requires approval of budget for QS support if you require itemised BOQ).</w:t>
      </w:r>
    </w:p>
    <w:p>
      <w:pPr>
        <w:pStyle w:val="BodyText"/>
      </w:pPr>
      <w:r>
        <w:t xml:space="preserve">If any of the assumptions in this document are incorrect (storey count, unit mix, site type or budget target), tell me and I will update the figures and recalibrate the programme and procurement suggestions.</w:t>
      </w:r>
    </w:p>
    <w:p>
      <w:pPr>
        <w:pStyle w:val="BodyText"/>
      </w:pPr>
      <w:r>
        <w:t xml:space="preserve">Prepared by: Oscar — Architect, Awesome Inc.</w:t>
      </w:r>
      <w:r>
        <w:br/>
      </w:r>
      <w:r>
        <w:t xml:space="preserve">Support: Anna (interior design liaison); Richard (structural coordination); John (budget sign-off)</w:t>
      </w:r>
    </w:p>
    <w:p>
      <w:pPr>
        <w:pStyle w:val="BodyText"/>
      </w:pPr>
      <w:r>
        <w:t xml:space="preserve">Contact for clarifications and next steps:</w:t>
      </w:r>
      <w:r>
        <w:t xml:space="preserve"> </w:t>
      </w:r>
      <w:r>
        <w:t xml:space="preserve">- Oscar (Architect) — [email / phone — provide when required]</w:t>
      </w:r>
      <w:r>
        <w:t xml:space="preserve"> </w:t>
      </w:r>
      <w:r>
        <w:t xml:space="preserve">- Anna (Interior) — [email]</w:t>
      </w:r>
      <w:r>
        <w:t xml:space="preserve"> </w:t>
      </w:r>
      <w:r>
        <w:t xml:space="preserve">- Richard (Structural) — [email]</w:t>
      </w:r>
    </w:p>
    <w:p>
      <w:pPr>
        <w:pStyle w:val="BodyText"/>
      </w:pPr>
      <w:r>
        <w:t xml:space="preserve">(End of document)</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2025-08-28T13:35:38Z</dcterms:created>
  <dcterms:modified xsi:type="dcterms:W3CDTF">2025-08-28T13:35:38Z</dcterms:modified>
</cp:coreProperties>
</file>

<file path=docProps/custom.xml><?xml version="1.0" encoding="utf-8"?>
<Properties xmlns="http://schemas.openxmlformats.org/officeDocument/2006/custom-properties" xmlns:vt="http://schemas.openxmlformats.org/officeDocument/2006/docPropsVTypes"/>
</file>