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architectural-proposal-project-name"/>
    <w:p>
      <w:pPr>
        <w:pStyle w:val="Heading1"/>
      </w:pPr>
      <w:r>
        <w:t xml:space="preserve">Architectural Proposal — [Project Name]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Oscar, Architect — Awesome Inc.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[TBC]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 of contents</w:t>
      </w:r>
      <w:r>
        <w:t xml:space="preserve"> </w:t>
      </w:r>
      <w:r>
        <w:t xml:space="preserve">1. Executive summary</w:t>
      </w:r>
      <w:r>
        <w:br/>
      </w:r>
      <w:r>
        <w:t xml:space="preserve">2. Project assumptions (please confirm)</w:t>
      </w:r>
      <w:r>
        <w:br/>
      </w:r>
      <w:r>
        <w:t xml:space="preserve">3. Project objectives</w:t>
      </w:r>
      <w:r>
        <w:br/>
      </w:r>
      <w:r>
        <w:t xml:space="preserve">4. Concept design approach (massing, typologies, efficiency)</w:t>
      </w:r>
      <w:r>
        <w:br/>
      </w:r>
      <w:r>
        <w:t xml:space="preserve">5. Materials, systems &amp; sustainability (technical targets)</w:t>
      </w:r>
      <w:r>
        <w:br/>
      </w:r>
      <w:r>
        <w:t xml:space="preserve">6. Accessibility, fire &amp; statutory compliance (overview)</w:t>
      </w:r>
      <w:r>
        <w:br/>
      </w:r>
      <w:r>
        <w:t xml:space="preserve">7. Deliverables (concept stage &amp; beyond)</w:t>
      </w:r>
      <w:r>
        <w:br/>
      </w:r>
      <w:r>
        <w:t xml:space="preserve">8. Preliminary cost estimate — methodology, worked example &amp; sensitivity analysis</w:t>
      </w:r>
      <w:r>
        <w:br/>
      </w:r>
      <w:r>
        <w:t xml:space="preserve">9. Example alternative scenarios (economy / premium / basement parking)</w:t>
      </w:r>
      <w:r>
        <w:br/>
      </w:r>
      <w:r>
        <w:t xml:space="preserve">10. Preliminary schedule &amp; milestones (detailed timeline &amp; responsibilities)</w:t>
      </w:r>
      <w:r>
        <w:br/>
      </w:r>
      <w:r>
        <w:t xml:space="preserve">11. Assumptions, exclusions &amp; risks (risk register &amp; mitigation)</w:t>
      </w:r>
      <w:r>
        <w:br/>
      </w:r>
      <w:r>
        <w:t xml:space="preserve">12. Procurement &amp; contract strategy (recommendations)</w:t>
      </w:r>
      <w:r>
        <w:br/>
      </w:r>
      <w:r>
        <w:t xml:space="preserve">13. Recommendations &amp; next steps (immediate actions and meeting agenda)</w:t>
      </w:r>
      <w:r>
        <w:br/>
      </w:r>
      <w:r>
        <w:t xml:space="preserve">14. Appendices (area schedule example, sample apartment layouts, checklists)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document presents a concept-level architectural proposal and indicative budget for the design and delivery of a new apartment building on an urban infill site in Germany. It provides:</w:t>
      </w:r>
    </w:p>
    <w:p>
      <w:pPr>
        <w:pStyle w:val="Compact"/>
        <w:numPr>
          <w:ilvl w:val="0"/>
          <w:numId w:val="1001"/>
        </w:numPr>
      </w:pPr>
      <w:r>
        <w:t xml:space="preserve">A design approach that balances efficiency, daylight, privacy and buildability.</w:t>
      </w:r>
    </w:p>
    <w:p>
      <w:pPr>
        <w:pStyle w:val="Compact"/>
        <w:numPr>
          <w:ilvl w:val="0"/>
          <w:numId w:val="1001"/>
        </w:numPr>
      </w:pPr>
      <w:r>
        <w:t xml:space="preserve">A sample unit mix and typical apartment sizes to demonstrate yield and circulation efficiency.</w:t>
      </w:r>
    </w:p>
    <w:p>
      <w:pPr>
        <w:pStyle w:val="Compact"/>
        <w:numPr>
          <w:ilvl w:val="0"/>
          <w:numId w:val="1001"/>
        </w:numPr>
      </w:pPr>
      <w:r>
        <w:t xml:space="preserve">A comprehensive preliminary cost estimate (Order of Magnitude) including worked calculations based on a representative Gross Floor Area (GFA) of 2,500 m² using a mid-range unit rate of €2,200/m².</w:t>
      </w:r>
    </w:p>
    <w:p>
      <w:pPr>
        <w:pStyle w:val="Compact"/>
        <w:numPr>
          <w:ilvl w:val="0"/>
          <w:numId w:val="1001"/>
        </w:numPr>
      </w:pPr>
      <w:r>
        <w:t xml:space="preserve">A breakdown of construction cost elements, professional fees, and contingency with sensitivity analysis.</w:t>
      </w:r>
    </w:p>
    <w:p>
      <w:pPr>
        <w:pStyle w:val="Compact"/>
        <w:numPr>
          <w:ilvl w:val="0"/>
          <w:numId w:val="1001"/>
        </w:numPr>
      </w:pPr>
      <w:r>
        <w:t xml:space="preserve">Sustainability options and recommendations (energy target, MVHR, heat-pump systems and potential eligibility for KfW support).</w:t>
      </w:r>
    </w:p>
    <w:p>
      <w:pPr>
        <w:pStyle w:val="Compact"/>
        <w:numPr>
          <w:ilvl w:val="0"/>
          <w:numId w:val="1001"/>
        </w:numPr>
      </w:pPr>
      <w:r>
        <w:t xml:space="preserve">A detailed preliminary schedule with recommended milestones and responsible parties.</w:t>
      </w:r>
    </w:p>
    <w:p>
      <w:pPr>
        <w:pStyle w:val="Compact"/>
        <w:numPr>
          <w:ilvl w:val="0"/>
          <w:numId w:val="1001"/>
        </w:numPr>
      </w:pPr>
      <w:r>
        <w:t xml:space="preserve">A risk register and procurement recommendations to reduce budget and programme uncertainty.</w:t>
      </w:r>
    </w:p>
    <w:p>
      <w:pPr>
        <w:pStyle w:val="FirstParagraph"/>
      </w:pPr>
      <w:r>
        <w:t xml:space="preserve">All figures here are indicative. Final budgets and programme depend on confirmed site constraints, statutory requirements, structural and MEP design, contractor pricing, and tender results.</w:t>
      </w:r>
    </w:p>
    <w:p>
      <w:r>
        <w:pict>
          <v:rect style="width:0;height:1.5pt" o:hralign="center" o:hrstd="t" o:hr="t"/>
        </w:pict>
      </w:r>
    </w:p>
    <w:bookmarkEnd w:id="20"/>
    <w:bookmarkStart w:id="21" w:name="project-assumptions-please-confirm"/>
    <w:p>
      <w:pPr>
        <w:pStyle w:val="Heading2"/>
      </w:pPr>
      <w:r>
        <w:t xml:space="preserve">2. Project assumptions (please confirm)</w:t>
      </w:r>
    </w:p>
    <w:p>
      <w:pPr>
        <w:pStyle w:val="FirstParagraph"/>
      </w:pPr>
      <w:r>
        <w:t xml:space="preserve">The following assumptions underpin the concept design and cost estimates. Please review and confirm or amend these to refine subsequent design and cost work.</w:t>
      </w:r>
    </w:p>
    <w:p>
      <w:pPr>
        <w:pStyle w:val="BodyText"/>
      </w:pPr>
      <w:r>
        <w:t xml:space="preserve">Key assumptions</w:t>
      </w:r>
      <w:r>
        <w:t xml:space="preserve"> </w:t>
      </w:r>
      <w:r>
        <w:t xml:space="preserve">- Site: urban infill site in Germany; exact address and site constraints to be provided. Typical urban plot with 18–25 m street frontage and 30–40 m depth assumed for massing studies.</w:t>
      </w:r>
      <w:r>
        <w:t xml:space="preserve"> </w:t>
      </w:r>
      <w:r>
        <w:t xml:space="preserve">- GFA (assumed for worked example): 2,500 m². Replace with confirmed GFA as soon as available.</w:t>
      </w:r>
      <w:r>
        <w:t xml:space="preserve"> </w:t>
      </w:r>
      <w:r>
        <w:t xml:space="preserve">- Net/Gross efficiency target: 75–80% (we use 78% for worked examples where needed).</w:t>
      </w:r>
      <w:r>
        <w:t xml:space="preserve"> </w:t>
      </w:r>
      <w:r>
        <w:t xml:space="preserve">- Typical building height: 4–7 storeys (mid-rise), depending on local plan and context.</w:t>
      </w:r>
      <w:r>
        <w:t xml:space="preserve"> </w:t>
      </w:r>
      <w:r>
        <w:t xml:space="preserve">- Number of apartments: design examples use a range of 16–28 units depending on unit mix and average sizes.</w:t>
      </w:r>
      <w:r>
        <w:t xml:space="preserve"> </w:t>
      </w:r>
      <w:r>
        <w:t xml:space="preserve">- Target standard: mid-range / high-quality finishes (durable, low-maintenance, energy-efficient). Premium and economy finishes are also modelled in alternative scenarios.</w:t>
      </w:r>
      <w:r>
        <w:t xml:space="preserve"> </w:t>
      </w:r>
      <w:r>
        <w:t xml:space="preserve">- Parking: assumption is mixed, with some surface or underground parking; default scenario excludes extensive basement parking. Basement/underground parking will materially affect cost and programme.</w:t>
      </w:r>
      <w:r>
        <w:t xml:space="preserve"> </w:t>
      </w:r>
      <w:r>
        <w:t xml:space="preserve">- Authorities approvals: local building permit (Bauantrag) and national energy code compliance (GEG). Other approvals may include local planning (Bebauungsplan), heritage (if applicable), and fire authority (Feuerwehr).</w:t>
      </w:r>
      <w:r>
        <w:t xml:space="preserve"> </w:t>
      </w:r>
      <w:r>
        <w:t xml:space="preserve">- Unit services: stacked service risers and central cores to maintain efficiency and reduce MEP routing costs.</w:t>
      </w:r>
      <w:r>
        <w:t xml:space="preserve"> </w:t>
      </w:r>
      <w:r>
        <w:t xml:space="preserve">- Geotechnical conditions: assumed typical for an urban German site (no extreme contamination, groundwater or rock). Actual soil conditions to be confirmed by geotechnical survey.</w:t>
      </w:r>
    </w:p>
    <w:p>
      <w:pPr>
        <w:pStyle w:val="BodyText"/>
      </w:pPr>
      <w:r>
        <w:t xml:space="preserve">Please confirm or update these items to allow refinement of cost and design.</w:t>
      </w:r>
    </w:p>
    <w:p>
      <w:r>
        <w:pict>
          <v:rect style="width:0;height:1.5pt" o:hralign="center" o:hrstd="t" o:hr="t"/>
        </w:pict>
      </w:r>
    </w:p>
    <w:bookmarkEnd w:id="21"/>
    <w:bookmarkStart w:id="22" w:name="project-objectives"/>
    <w:p>
      <w:pPr>
        <w:pStyle w:val="Heading2"/>
      </w:pPr>
      <w:r>
        <w:t xml:space="preserve">3. Project objectives</w:t>
      </w:r>
    </w:p>
    <w:p>
      <w:pPr>
        <w:pStyle w:val="FirstParagraph"/>
      </w:pPr>
      <w:r>
        <w:t xml:space="preserve">Primary objectives</w:t>
      </w:r>
      <w:r>
        <w:t xml:space="preserve"> </w:t>
      </w:r>
      <w:r>
        <w:t xml:space="preserve">- Deliver a well-proportioned residential building providing flexible apartment types (1–3 bedroom mix) that respond to market demand and developer targets.</w:t>
      </w:r>
      <w:r>
        <w:t xml:space="preserve"> </w:t>
      </w:r>
      <w:r>
        <w:t xml:space="preserve">- Maximise net usable residential area per GFA while ensuring comfortable layouts, daylight and cross-ventilation where possible.</w:t>
      </w:r>
      <w:r>
        <w:t xml:space="preserve"> </w:t>
      </w:r>
      <w:r>
        <w:t xml:space="preserve">- Prioritise long-term value through robust detailing, durable materials, and energy-efficient building services.</w:t>
      </w:r>
      <w:r>
        <w:t xml:space="preserve"> </w:t>
      </w:r>
      <w:r>
        <w:t xml:space="preserve">- Standardise repetitive elements (kitchens, bathrooms, internal doors, window sizes) to reduce variation and construction cost, while providing a limited palette of upgrade options for buyers/tenants.</w:t>
      </w:r>
      <w:r>
        <w:t xml:space="preserve"> </w:t>
      </w:r>
      <w:r>
        <w:t xml:space="preserve">- Ensure compliance with applicable building regulations and deliver adaptable and accessible units (aspiring to at least 5% adaptable units).</w:t>
      </w:r>
      <w:r>
        <w:t xml:space="preserve"> </w:t>
      </w:r>
      <w:r>
        <w:t xml:space="preserve">- Incorporate sustainability measures that reduce operational energy and carbon; explore funding routes (KfW) that incentivise energy performance.</w:t>
      </w:r>
    </w:p>
    <w:p>
      <w:pPr>
        <w:pStyle w:val="BodyText"/>
      </w:pPr>
      <w:r>
        <w:t xml:space="preserve">Secondary objectives</w:t>
      </w:r>
      <w:r>
        <w:t xml:space="preserve"> </w:t>
      </w:r>
      <w:r>
        <w:t xml:space="preserve">- Maintain a buildable concept that minimises temporary works and complex structural solutions.</w:t>
      </w:r>
      <w:r>
        <w:t xml:space="preserve"> </w:t>
      </w:r>
      <w:r>
        <w:t xml:space="preserve">- Achieve a cost plan with transparent contingencies and professional fees to support developer decision-making.</w:t>
      </w:r>
      <w:r>
        <w:t xml:space="preserve"> </w:t>
      </w:r>
      <w:r>
        <w:t xml:space="preserve">- Provide procurement and delivery recommendations to reduce cost and programme risk.</w:t>
      </w:r>
    </w:p>
    <w:p>
      <w:pPr>
        <w:pStyle w:val="BodyText"/>
      </w:pPr>
      <w:r>
        <w:t xml:space="preserve">Key performance indicators (KPIs) proposed for project evaluation</w:t>
      </w:r>
      <w:r>
        <w:t xml:space="preserve"> </w:t>
      </w:r>
      <w:r>
        <w:t xml:space="preserve">- Net/gross efficiency target: 75–80% (goal 78%).</w:t>
      </w:r>
      <w:r>
        <w:t xml:space="preserve"> </w:t>
      </w:r>
      <w:r>
        <w:t xml:space="preserve">- Average apartment size target: 60–85 m² (dependent on market).</w:t>
      </w:r>
      <w:r>
        <w:t xml:space="preserve"> </w:t>
      </w:r>
      <w:r>
        <w:t xml:space="preserve">- Heating demand target: &lt; 40 kWh/m²a (for KfW 55 target; lower targets for higher KfW levels).</w:t>
      </w:r>
      <w:r>
        <w:t xml:space="preserve"> </w:t>
      </w:r>
      <w:r>
        <w:t xml:space="preserve">- Embodied carbon consideration: explore hybrid timber-concrete approach to reduce embodied carbon by up to ~15–25% versus full concrete for superstructure (subject to detailed assessment).</w:t>
      </w:r>
      <w:r>
        <w:t xml:space="preserve"> </w:t>
      </w:r>
      <w:r>
        <w:t xml:space="preserve">- Cost target (construction): indicative mid-range €2,200/m² (GFA). Developer to confirm budget tolerance.</w:t>
      </w:r>
    </w:p>
    <w:p>
      <w:r>
        <w:pict>
          <v:rect style="width:0;height:1.5pt" o:hralign="center" o:hrstd="t" o:hr="t"/>
        </w:pict>
      </w:r>
    </w:p>
    <w:bookmarkEnd w:id="22"/>
    <w:bookmarkStart w:id="23" w:name="concept-design-approach"/>
    <w:p>
      <w:pPr>
        <w:pStyle w:val="Heading2"/>
      </w:pPr>
      <w:r>
        <w:t xml:space="preserve">4. Concept design approach</w:t>
      </w:r>
    </w:p>
    <w:p>
      <w:pPr>
        <w:pStyle w:val="FirstParagraph"/>
      </w:pPr>
      <w:r>
        <w:t xml:space="preserve">4.1 Massing &amp; urban strategy</w:t>
      </w:r>
      <w:r>
        <w:t xml:space="preserve"> </w:t>
      </w:r>
      <w:r>
        <w:t xml:space="preserve">- Proposed approach: compact rectangular/orthogonal mass to optimise plan efficiency and structural regularity. Massing to respond to street alignment and neighbouring building heights.</w:t>
      </w:r>
      <w:r>
        <w:t xml:space="preserve"> </w:t>
      </w:r>
      <w:r>
        <w:t xml:space="preserve">- Building setbacks and transition zones: provide stepping at upper storeys where required by local plan or to reduce visual bulk. Balconies set back to create privacy buffers to adjacent properties.</w:t>
      </w:r>
      <w:r>
        <w:t xml:space="preserve"> </w:t>
      </w:r>
      <w:r>
        <w:t xml:space="preserve">- Sun/path studies: position living rooms and main glazing to the east/west/south elevations where possible; avoid deep-plan layouts that require artificial lighting during daytime.</w:t>
      </w:r>
    </w:p>
    <w:p>
      <w:pPr>
        <w:pStyle w:val="BodyText"/>
      </w:pPr>
      <w:r>
        <w:t xml:space="preserve">4.2 Typical floorplate &amp; circulation</w:t>
      </w:r>
      <w:r>
        <w:t xml:space="preserve"> </w:t>
      </w:r>
      <w:r>
        <w:t xml:space="preserve">- Central core(s) containing lift(s) and stair(s). For buildings with up to 12 units per core, one lift + one staircase is typically adequate; larger cores may require an additional escape stair depending on fire strategy.</w:t>
      </w:r>
      <w:r>
        <w:t xml:space="preserve"> </w:t>
      </w:r>
      <w:r>
        <w:t xml:space="preserve">- Core sizing: lift cabin minimum 1.1–1.4 m x 1.4–1.4 m to meet accessibility (platform lift not acceptable for multi-storey residential).</w:t>
      </w:r>
      <w:r>
        <w:t xml:space="preserve"> </w:t>
      </w:r>
      <w:r>
        <w:t xml:space="preserve">- Circulation strategy: stacked wet walls and service risers to reduce lateral MEP distribution and heat loss.</w:t>
      </w:r>
    </w:p>
    <w:p>
      <w:pPr>
        <w:pStyle w:val="BodyText"/>
      </w:pPr>
      <w:r>
        <w:t xml:space="preserve">4.3 Apartment typologies (example)</w:t>
      </w:r>
      <w:r>
        <w:t xml:space="preserve"> </w:t>
      </w:r>
      <w:r>
        <w:t xml:space="preserve">- Type A — 1BR / 1B (approx. 45–55 m²). Suitable for single professionals and couples. Open-plan living/kitchen, bedroom, bathroom, storage/wardrobe.</w:t>
      </w:r>
      <w:r>
        <w:t xml:space="preserve"> </w:t>
      </w:r>
      <w:r>
        <w:t xml:space="preserve">- Type B — 2BR / 1–2B (approx. 65–80 m²). Target family market and sharers. Separate living/dining, two bedrooms, bathroom + en-suite or second WC where possible.</w:t>
      </w:r>
      <w:r>
        <w:t xml:space="preserve"> </w:t>
      </w:r>
      <w:r>
        <w:t xml:space="preserve">- Type C — 3BR / 2B (approx. 85–100 m²). Family units with clear bedroom separation and better storage.</w:t>
      </w:r>
      <w:r>
        <w:t xml:space="preserve"> </w:t>
      </w:r>
      <w:r>
        <w:t xml:space="preserve">- Adaptable / accessible unit variant: provide threshold-free circulation, bathroom layouts allowing future adaptation (reinforced walls for grab rails).</w:t>
      </w:r>
    </w:p>
    <w:p>
      <w:pPr>
        <w:pStyle w:val="BodyText"/>
      </w:pPr>
      <w:r>
        <w:t xml:space="preserve">Example unit mix scenarios (for GFA = 2,500 m²). See Appendix A for a sample area schedule and plan sketches.</w:t>
      </w:r>
    </w:p>
    <w:p>
      <w:pPr>
        <w:pStyle w:val="BodyText"/>
      </w:pPr>
      <w:r>
        <w:t xml:space="preserve">4.4 Typical floor efficiency &amp; servicing</w:t>
      </w:r>
      <w:r>
        <w:t xml:space="preserve"> </w:t>
      </w:r>
      <w:r>
        <w:t xml:space="preserve">- Net/gross target: 75–80% (we assume 78%). This implies circulation, cores and plant represent ~22% of GFA.</w:t>
      </w:r>
      <w:r>
        <w:t xml:space="preserve"> </w:t>
      </w:r>
      <w:r>
        <w:t xml:space="preserve">- Typical stacked services: kitchens and wet rooms aligned vertically to limit horizontal MEP runs and reduce penetrations.</w:t>
      </w:r>
      <w:r>
        <w:t xml:space="preserve"> </w:t>
      </w:r>
      <w:r>
        <w:t xml:space="preserve">- Mechanical plant: plant located in basement/ground or roof plant room to minimise noise and maintain headroom.</w:t>
      </w:r>
    </w:p>
    <w:p>
      <w:pPr>
        <w:pStyle w:val="BodyText"/>
      </w:pPr>
      <w:r>
        <w:t xml:space="preserve">4.5 Balconies, terraces &amp; private outdoor space</w:t>
      </w:r>
      <w:r>
        <w:t xml:space="preserve"> </w:t>
      </w:r>
      <w:r>
        <w:t xml:space="preserve">- Balconies: approximate size 4–8 m² per apartment where possible, positioned to provide afternoon sun and privacy screens to adjacent apartments.</w:t>
      </w:r>
      <w:r>
        <w:t xml:space="preserve"> </w:t>
      </w:r>
      <w:r>
        <w:t xml:space="preserve">- Privacy and shading: use perforated screens, planting zones or brise-soleil where necessary.</w:t>
      </w:r>
    </w:p>
    <w:p>
      <w:pPr>
        <w:pStyle w:val="BodyText"/>
      </w:pPr>
      <w:r>
        <w:t xml:space="preserve">4.6 Acoustic &amp; daylighting targets</w:t>
      </w:r>
      <w:r>
        <w:t xml:space="preserve"> </w:t>
      </w:r>
      <w:r>
        <w:t xml:space="preserve">- Daylight: target average daylight factor (ADF) in living areas to meet recommended values (varies with room geometry). Use larger glazing ratios on primary façades and careful recess depth for balconies.</w:t>
      </w:r>
      <w:r>
        <w:t xml:space="preserve"> </w:t>
      </w:r>
      <w:r>
        <w:t xml:space="preserve">- Acoustic: comply with DIN 4109 for sound insulation; target higher standards (e.g., 5 dB better than statutory) where adjacent to busy roads.</w:t>
      </w:r>
    </w:p>
    <w:p>
      <w:r>
        <w:pict>
          <v:rect style="width:0;height:1.5pt" o:hralign="center" o:hrstd="t" o:hr="t"/>
        </w:pict>
      </w:r>
    </w:p>
    <w:bookmarkEnd w:id="23"/>
    <w:bookmarkStart w:id="24" w:name="materials-systems-sustainability"/>
    <w:p>
      <w:pPr>
        <w:pStyle w:val="Heading2"/>
      </w:pPr>
      <w:r>
        <w:t xml:space="preserve">5. Materials, systems &amp; sustainability</w:t>
      </w:r>
    </w:p>
    <w:p>
      <w:pPr>
        <w:pStyle w:val="FirstParagraph"/>
      </w:pPr>
      <w:r>
        <w:t xml:space="preserve">5.1 Structure options and implications</w:t>
      </w:r>
      <w:r>
        <w:t xml:space="preserve"> </w:t>
      </w:r>
      <w:r>
        <w:t xml:space="preserve">- Reinforced concrete: conventional for mid-rise urban buildings in Germany. Advantages: predictable cost, fire resistance, sound insulation, thermal mass. Typical superstructure cost share used in budget.</w:t>
      </w:r>
      <w:r>
        <w:t xml:space="preserve"> </w:t>
      </w:r>
      <w:r>
        <w:t xml:space="preserve">- Hybrid timber-concrete: cross-laminated timber (CLT) panels with concrete cores/ground floor. Advantages: reduced embodied carbon, faster erection, lighter foundations. Considerations: higher material cost (premium ~5–10%), coordination for MEP penetrations, fire detailing and acoustic joints.</w:t>
      </w:r>
      <w:r>
        <w:t xml:space="preserve"> </w:t>
      </w:r>
      <w:r>
        <w:t xml:space="preserve">- Structural cost sensitivity: hybrid timber could increase superstructure cost by ~€50–100/m², but may reduce schedule by several weeks and lower embodied carbon.</w:t>
      </w:r>
    </w:p>
    <w:p>
      <w:pPr>
        <w:pStyle w:val="BodyText"/>
      </w:pPr>
      <w:r>
        <w:t xml:space="preserve">5.2 Façade &amp; thermal performance</w:t>
      </w:r>
      <w:r>
        <w:t xml:space="preserve"> </w:t>
      </w:r>
      <w:r>
        <w:t xml:space="preserve">- Preferred façade strategies:</w:t>
      </w:r>
      <w:r>
        <w:t xml:space="preserve"> </w:t>
      </w:r>
      <w:r>
        <w:t xml:space="preserve">- Insulated masonry or blockwork with external render (cost-effective, robust).</w:t>
      </w:r>
      <w:r>
        <w:t xml:space="preserve"> </w:t>
      </w:r>
      <w:r>
        <w:t xml:space="preserve">- Prefabricated ventilated rainscreen with insulation (improved detailing, modularity).</w:t>
      </w:r>
      <w:r>
        <w:t xml:space="preserve"> </w:t>
      </w:r>
      <w:r>
        <w:t xml:space="preserve">- Windows: high-performance triple-glazed where required. Target Uw ≤ 1.1 W/m²K for window assemblies (frames + glazing).</w:t>
      </w:r>
      <w:r>
        <w:t xml:space="preserve"> </w:t>
      </w:r>
      <w:r>
        <w:t xml:space="preserve">- Airtightness: target n50 ≤ 1.0–1.5 h⁻¹ at concept; better performance recommended (n50 ≤ 1.0) to reduce heating demand and meet KfW/low-energy targets.</w:t>
      </w:r>
    </w:p>
    <w:p>
      <w:pPr>
        <w:pStyle w:val="BodyText"/>
      </w:pPr>
      <w:r>
        <w:t xml:space="preserve">5.3 Building services (HVAC &amp; ventilation)</w:t>
      </w:r>
      <w:r>
        <w:t xml:space="preserve"> </w:t>
      </w:r>
      <w:r>
        <w:t xml:space="preserve">- Heating: decentralized heat-pump systems (air-source heat pumps for each dwelling or central heat pump with distribution) depending on building size and space constraints.</w:t>
      </w:r>
      <w:r>
        <w:t xml:space="preserve"> </w:t>
      </w:r>
      <w:r>
        <w:t xml:space="preserve">- Domestic hot water: consider centralised domestic hot water with heat-pump preheat and solar thermal or PV-assisted backup for peak demand reduction.</w:t>
      </w:r>
      <w:r>
        <w:t xml:space="preserve"> </w:t>
      </w:r>
      <w:r>
        <w:t xml:space="preserve">- Ventilation: mechanical ventilation with heat recovery (MVHR) is recommended where budget allows. For mid-range cost planning MVHR delivers energy savings, good IAQ and supports airtight construction.</w:t>
      </w:r>
      <w:r>
        <w:t xml:space="preserve"> </w:t>
      </w:r>
      <w:r>
        <w:t xml:space="preserve">- Cooling: passive measures (shading, thermal mass). Localised cooling or ducted systems only if the client requires.</w:t>
      </w:r>
    </w:p>
    <w:p>
      <w:pPr>
        <w:pStyle w:val="BodyText"/>
      </w:pPr>
      <w:r>
        <w:t xml:space="preserve">Performance targets and indicative values:</w:t>
      </w:r>
      <w:r>
        <w:t xml:space="preserve"> </w:t>
      </w:r>
      <w:r>
        <w:t xml:space="preserve">- Heat demand: aim &lt; 40 kWh/m²a for heating (aspiring to KfW 55 or better).</w:t>
      </w:r>
      <w:r>
        <w:t xml:space="preserve"> </w:t>
      </w:r>
      <w:r>
        <w:t xml:space="preserve">- Primary energy demand: target in line with GEG and KfW requirements (values to be set once final building form and systems are defined).</w:t>
      </w:r>
      <w:r>
        <w:t xml:space="preserve"> </w:t>
      </w:r>
      <w:r>
        <w:t xml:space="preserve">- Renewable energy provision: photovoltaic (PV) on roof to supply common area loads and charging infrastructure; explore battery storage to smooth demand profiles.</w:t>
      </w:r>
    </w:p>
    <w:p>
      <w:pPr>
        <w:pStyle w:val="BodyText"/>
      </w:pPr>
      <w:r>
        <w:t xml:space="preserve">5.4 Water, finishes &amp; internal fit-out</w:t>
      </w:r>
      <w:r>
        <w:t xml:space="preserve"> </w:t>
      </w:r>
      <w:r>
        <w:t xml:space="preserve">- Low-flow sanitary fittings to reduce water demand (e.g., 6–9 l/min showers, dual-flush toilets).</w:t>
      </w:r>
      <w:r>
        <w:t xml:space="preserve"> </w:t>
      </w:r>
      <w:r>
        <w:t xml:space="preserve">- Durable internal finishes: engineered timber flooring in living areas, porcelain tiles in wet rooms, resilient flooring in service areas.</w:t>
      </w:r>
      <w:r>
        <w:t xml:space="preserve"> </w:t>
      </w:r>
      <w:r>
        <w:t xml:space="preserve">- Kitchen &amp; bathroom strategy: standard modular kitchen and bathroom options with two or three upgrade choices. Standardization reduces bespoke joinery costs.</w:t>
      </w:r>
    </w:p>
    <w:p>
      <w:pPr>
        <w:pStyle w:val="BodyText"/>
      </w:pPr>
      <w:r>
        <w:t xml:space="preserve">5.5 Sustainable materials &amp; embodied carbon</w:t>
      </w:r>
      <w:r>
        <w:t xml:space="preserve"> </w:t>
      </w:r>
      <w:r>
        <w:t xml:space="preserve">- Embodied carbon targets: early-stage assessment recommended. Hybrid timber strategies can potentially reduce embodied carbon by 15–25% relative to concrete-only superstructures (subject to substructure and cladding choices).</w:t>
      </w:r>
      <w:r>
        <w:t xml:space="preserve"> </w:t>
      </w:r>
      <w:r>
        <w:t xml:space="preserve">- Material selection: low-VOC paints, responsibly-sourced timber (FSC), locally-sourced masonry where practical.</w:t>
      </w:r>
    </w:p>
    <w:p>
      <w:pPr>
        <w:pStyle w:val="BodyText"/>
      </w:pPr>
      <w:r>
        <w:t xml:space="preserve">5.6 Waste, recycling &amp; circularity</w:t>
      </w:r>
      <w:r>
        <w:t xml:space="preserve"> </w:t>
      </w:r>
      <w:r>
        <w:t xml:space="preserve">- Construction waste management plan required during works; target 85–90% diversion from landfill.</w:t>
      </w:r>
      <w:r>
        <w:t xml:space="preserve"> </w:t>
      </w:r>
      <w:r>
        <w:t xml:space="preserve">- Design for disassembly: where possible use mechanical fixings, modular façades and standardized components to support future adaptability and maintenance.</w:t>
      </w:r>
    </w:p>
    <w:p>
      <w:pPr>
        <w:pStyle w:val="BodyText"/>
      </w:pPr>
      <w:r>
        <w:t xml:space="preserve">5.7 Electrical &amp; EV infrastructure</w:t>
      </w:r>
      <w:r>
        <w:t xml:space="preserve"> </w:t>
      </w:r>
      <w:r>
        <w:t xml:space="preserve">- Electrical infrastructure sized for future electrification. Recommend pre-provision for EV charging at each parking bay or centralised tenant charging with spare ducting and distribution capacity.</w:t>
      </w:r>
      <w:r>
        <w:t xml:space="preserve"> </w:t>
      </w:r>
      <w:r>
        <w:t xml:space="preserve">- Cost note: EV-ready parking pre-installation (conduits and spare capacity) is modest; full provision of 1:1 chargers adds significant cost per bay (~€2.5k–€6k per charger for wiring and installation; if 3-phase and metering required cost higher).</w:t>
      </w:r>
    </w:p>
    <w:p>
      <w:r>
        <w:pict>
          <v:rect style="width:0;height:1.5pt" o:hralign="center" o:hrstd="t" o:hr="t"/>
        </w:pict>
      </w:r>
    </w:p>
    <w:bookmarkEnd w:id="24"/>
    <w:bookmarkStart w:id="25" w:name="accessibility-fire-statutory-compliance"/>
    <w:p>
      <w:pPr>
        <w:pStyle w:val="Heading2"/>
      </w:pPr>
      <w:r>
        <w:t xml:space="preserve">6. Accessibility, fire &amp; statutory compliance</w:t>
      </w:r>
    </w:p>
    <w:p>
      <w:pPr>
        <w:pStyle w:val="FirstParagraph"/>
      </w:pPr>
      <w:r>
        <w:t xml:space="preserve">6.1 Accessibility targets</w:t>
      </w:r>
      <w:r>
        <w:t xml:space="preserve"> </w:t>
      </w:r>
      <w:r>
        <w:t xml:space="preserve">- Compliance: design to meet national and local accessibility regulations; consider DIN standards where applicable.</w:t>
      </w:r>
      <w:r>
        <w:t xml:space="preserve"> </w:t>
      </w:r>
      <w:r>
        <w:t xml:space="preserve">- Unit adaptations: provide at least 5% adaptable dwellings to MDS/Bauordnungen requirements (step-free access, reinforced WC walls, wheelchair circulation).</w:t>
      </w:r>
      <w:r>
        <w:t xml:space="preserve"> </w:t>
      </w:r>
      <w:r>
        <w:t xml:space="preserve">- Thresholds: threshold-free main entrances to building and accessible apartments with minimum door clearances and bathroom turning circles.</w:t>
      </w:r>
    </w:p>
    <w:p>
      <w:pPr>
        <w:pStyle w:val="BodyText"/>
      </w:pPr>
      <w:r>
        <w:t xml:space="preserve">6.2 Fire safety overview (concept stage)</w:t>
      </w:r>
      <w:r>
        <w:t xml:space="preserve"> </w:t>
      </w:r>
      <w:r>
        <w:t xml:space="preserve">- Escape routes: central stair designed as protected staircase with adequate width and separation depending on occupant load. Travel distances to exits to meet local code.</w:t>
      </w:r>
      <w:r>
        <w:t xml:space="preserve"> </w:t>
      </w:r>
      <w:r>
        <w:t xml:space="preserve">- Compartmentation: typical residential compartment size to be determined with fire engineer. Fire-rated walls and floors at core interfaces and between apartments as required.</w:t>
      </w:r>
      <w:r>
        <w:t xml:space="preserve"> </w:t>
      </w:r>
      <w:r>
        <w:t xml:space="preserve">- Detection &amp; alarming: provide automatic smoke detection in escape routes and common areas; dwellings to have heat/smoke alarms as per LBO/Feuerwehr requirements.</w:t>
      </w:r>
      <w:r>
        <w:t xml:space="preserve"> </w:t>
      </w:r>
      <w:r>
        <w:t xml:space="preserve">- Fire brigade access: ensure adequate external access for fire engines, hydrants and turning where required; location and sizing of external hydrant to be coordinated with local Feuerwehr.</w:t>
      </w:r>
    </w:p>
    <w:p>
      <w:pPr>
        <w:pStyle w:val="BodyText"/>
      </w:pPr>
      <w:r>
        <w:t xml:space="preserve">6.3 Statutory considerations</w:t>
      </w:r>
      <w:r>
        <w:t xml:space="preserve"> </w:t>
      </w:r>
      <w:r>
        <w:t xml:space="preserve">- Energy compliance: GEG (Gebäudeenergiegesetz) compliance mandatory. Consider KfW funding levels for low energy buildings.</w:t>
      </w:r>
      <w:r>
        <w:t xml:space="preserve"> </w:t>
      </w:r>
      <w:r>
        <w:t xml:space="preserve">- Planning: the local Bebauungsplan (if present) will dictate building envelope, ridge heights, setbacks and permitted uses. Early engagement with planning authority recommended.</w:t>
      </w:r>
      <w:r>
        <w:t xml:space="preserve"> </w:t>
      </w:r>
      <w:r>
        <w:t xml:space="preserve">- Noise protection: where adjacent to highways or commercial uses, acoustic facade and glazing specification to address Lärmpegel per local regulations and DIN standards.</w:t>
      </w:r>
    </w:p>
    <w:p>
      <w:pPr>
        <w:pStyle w:val="BodyText"/>
      </w:pPr>
      <w:r>
        <w:t xml:space="preserve">6.4 Accessibility &amp; Safety checklist (concept)</w:t>
      </w:r>
      <w:r>
        <w:t xml:space="preserve"> </w:t>
      </w:r>
      <w:r>
        <w:t xml:space="preserve">- Accessible main entrance and lobby with level approach.</w:t>
      </w:r>
      <w:r>
        <w:t xml:space="preserve"> </w:t>
      </w:r>
      <w:r>
        <w:t xml:space="preserve">- Lift access to all residential floors and accessible flats on each floor.</w:t>
      </w:r>
      <w:r>
        <w:t xml:space="preserve"> </w:t>
      </w:r>
      <w:r>
        <w:t xml:space="preserve">- Adaptable bathrooms/en-suite reinforcement for future grab rail installation.</w:t>
      </w:r>
      <w:r>
        <w:t xml:space="preserve"> </w:t>
      </w:r>
      <w:r>
        <w:t xml:space="preserve">- Clear signage and emergency lighting in accordance with DIN/VDE standards.</w:t>
      </w:r>
      <w:r>
        <w:t xml:space="preserve"> </w:t>
      </w:r>
      <w:r>
        <w:t xml:space="preserve">- Fire stopping details for service penetrations and compartment interfaces.</w:t>
      </w:r>
    </w:p>
    <w:p>
      <w:r>
        <w:pict>
          <v:rect style="width:0;height:1.5pt" o:hralign="center" o:hrstd="t" o:hr="t"/>
        </w:pict>
      </w:r>
    </w:p>
    <w:bookmarkEnd w:id="25"/>
    <w:bookmarkStart w:id="26" w:name="Xe16649da6977ba6774903fe7e7d24d9f4c87403"/>
    <w:p>
      <w:pPr>
        <w:pStyle w:val="Heading2"/>
      </w:pPr>
      <w:r>
        <w:t xml:space="preserve">7. Deliverables (concept stage &amp; immediate follow-ups)</w:t>
      </w:r>
    </w:p>
    <w:p>
      <w:pPr>
        <w:pStyle w:val="FirstParagraph"/>
      </w:pPr>
      <w:r>
        <w:t xml:space="preserve">Deliverables produced at this concept stage (RIBA Stage 1–2 equivalent) and what will follow:</w:t>
      </w:r>
    </w:p>
    <w:p>
      <w:pPr>
        <w:pStyle w:val="BodyText"/>
      </w:pPr>
      <w:r>
        <w:t xml:space="preserve">Concept stage deliverables (included)</w:t>
      </w:r>
      <w:r>
        <w:t xml:space="preserve"> </w:t>
      </w:r>
      <w:r>
        <w:t xml:space="preserve">- Site plan and contextual analysis.</w:t>
      </w:r>
      <w:r>
        <w:t xml:space="preserve"> </w:t>
      </w:r>
      <w:r>
        <w:t xml:space="preserve">- Massing studies and shadow path diagrams.</w:t>
      </w:r>
      <w:r>
        <w:t xml:space="preserve"> </w:t>
      </w:r>
      <w:r>
        <w:t xml:space="preserve">- Typical floor plans and representative apartment plans (schematic).</w:t>
      </w:r>
      <w:r>
        <w:t xml:space="preserve"> </w:t>
      </w:r>
      <w:r>
        <w:t xml:space="preserve">- Building elevation options and material intent.</w:t>
      </w:r>
      <w:r>
        <w:t xml:space="preserve"> </w:t>
      </w:r>
      <w:r>
        <w:t xml:space="preserve">- Preliminary area schedule (GIA/GFA/GEA and net saleable areas) — see Appendix A.</w:t>
      </w:r>
      <w:r>
        <w:t xml:space="preserve"> </w:t>
      </w:r>
      <w:r>
        <w:t xml:space="preserve">- Preliminary finish schedule and sample finish boards for client selection.</w:t>
      </w:r>
      <w:r>
        <w:t xml:space="preserve"> </w:t>
      </w:r>
      <w:r>
        <w:t xml:space="preserve">- Indicative cost estimate (this document).</w:t>
      </w:r>
      <w:r>
        <w:t xml:space="preserve"> </w:t>
      </w:r>
      <w:r>
        <w:t xml:space="preserve">- Preliminary project programme with milestones.</w:t>
      </w:r>
    </w:p>
    <w:p>
      <w:pPr>
        <w:pStyle w:val="BodyText"/>
      </w:pPr>
      <w:r>
        <w:t xml:space="preserve">Additional recommended deliverables (next stages)</w:t>
      </w:r>
      <w:r>
        <w:t xml:space="preserve"> </w:t>
      </w:r>
      <w:r>
        <w:t xml:space="preserve">- Structural concept report and preliminary foundation strategy.</w:t>
      </w:r>
      <w:r>
        <w:t xml:space="preserve"> </w:t>
      </w:r>
      <w:r>
        <w:t xml:space="preserve">- MEP concept and plant room sizing schedule.</w:t>
      </w:r>
      <w:r>
        <w:t xml:space="preserve"> </w:t>
      </w:r>
      <w:r>
        <w:t xml:space="preserve">- Preliminary planning package for pre-application meeting with local authority.</w:t>
      </w:r>
      <w:r>
        <w:t xml:space="preserve"> </w:t>
      </w:r>
      <w:r>
        <w:t xml:space="preserve">- Refined cost plan (elemental and trade package) produced by Quantity Surveyor (Baukosten GmbH or appointed).</w:t>
      </w:r>
      <w:r>
        <w:t xml:space="preserve"> </w:t>
      </w:r>
      <w:r>
        <w:t xml:space="preserve">- Geotechnical and topographical survey reports.</w:t>
      </w:r>
      <w:r>
        <w:t xml:space="preserve"> </w:t>
      </w:r>
      <w:r>
        <w:t xml:space="preserve">- Stage 3 (detailed design) deliverables including full planning drawings, specification and tender documents.</w:t>
      </w:r>
    </w:p>
    <w:p>
      <w:pPr>
        <w:pStyle w:val="BodyText"/>
      </w:pPr>
      <w:r>
        <w:t xml:space="preserve">Document &amp; submission checklist for planning (indicative)</w:t>
      </w:r>
      <w:r>
        <w:t xml:space="preserve"> </w:t>
      </w:r>
      <w:r>
        <w:t xml:space="preserve">- Site location plan (Lageplan).</w:t>
      </w:r>
      <w:r>
        <w:t xml:space="preserve"> </w:t>
      </w:r>
      <w:r>
        <w:t xml:space="preserve">- Existing and proposed site plans (Grundrisse).</w:t>
      </w:r>
      <w:r>
        <w:t xml:space="preserve"> </w:t>
      </w:r>
      <w:r>
        <w:t xml:space="preserve">- Elevations and sections (Schnitte).</w:t>
      </w:r>
      <w:r>
        <w:t xml:space="preserve"> </w:t>
      </w:r>
      <w:r>
        <w:t xml:space="preserve">- Design &amp; access statement.</w:t>
      </w:r>
      <w:r>
        <w:t xml:space="preserve"> </w:t>
      </w:r>
      <w:r>
        <w:t xml:space="preserve">- Shadow study and daylight/sunlight report (if required by local authority).</w:t>
      </w:r>
      <w:r>
        <w:t xml:space="preserve"> </w:t>
      </w:r>
      <w:r>
        <w:t xml:space="preserve">- Tree survey (if mature trees within site) and landscaping plan.</w:t>
      </w:r>
      <w:r>
        <w:t xml:space="preserve"> </w:t>
      </w:r>
      <w:r>
        <w:t xml:space="preserve">- Preliminary energy concept and GEG compliance notes.</w:t>
      </w:r>
      <w:r>
        <w:t xml:space="preserve"> </w:t>
      </w:r>
      <w:r>
        <w:t xml:space="preserve">- Fire strategy summary and outline acoustic report (if required).</w:t>
      </w:r>
    </w:p>
    <w:p>
      <w:r>
        <w:pict>
          <v:rect style="width:0;height:1.5pt" o:hralign="center" o:hrstd="t" o:hr="t"/>
        </w:pict>
      </w:r>
    </w:p>
    <w:bookmarkEnd w:id="26"/>
    <w:bookmarkStart w:id="27" w:name="Xcd30f08e11f28808000db13b83f3a7c6ce15ed8"/>
    <w:p>
      <w:pPr>
        <w:pStyle w:val="Heading2"/>
      </w:pPr>
      <w:r>
        <w:t xml:space="preserve">8. Preliminary cost estimate — methodology, worked example &amp; sensitivity analysis</w:t>
      </w:r>
    </w:p>
    <w:p>
      <w:pPr>
        <w:pStyle w:val="FirstParagraph"/>
      </w:pPr>
      <w:r>
        <w:t xml:space="preserve">8.1 Methodology</w:t>
      </w:r>
      <w:r>
        <w:t xml:space="preserve"> </w:t>
      </w:r>
      <w:r>
        <w:t xml:space="preserve">- Order of Magnitude estimate using unit-rate method (€ per m² GFA) for overall construction cost.</w:t>
      </w:r>
      <w:r>
        <w:t xml:space="preserve"> </w:t>
      </w:r>
      <w:r>
        <w:t xml:space="preserve">- Elemental percentage breakdown employed to allocate the construction cost to major work packages (structure, façade, MEP, finishes, external works, etc).</w:t>
      </w:r>
      <w:r>
        <w:t xml:space="preserve"> </w:t>
      </w:r>
      <w:r>
        <w:t xml:space="preserve">- Professional fees expressed as a percentage of construction cost and applied after subtotal of construction works.</w:t>
      </w:r>
      <w:r>
        <w:t xml:space="preserve"> </w:t>
      </w:r>
      <w:r>
        <w:t xml:space="preserve">- Contingency applied to reflect concept-level uncertainty (recommended 6–10%).</w:t>
      </w:r>
    </w:p>
    <w:p>
      <w:pPr>
        <w:pStyle w:val="BodyText"/>
      </w:pPr>
      <w:r>
        <w:t xml:space="preserve">Assumptions for cost modelling</w:t>
      </w:r>
      <w:r>
        <w:t xml:space="preserve"> </w:t>
      </w:r>
      <w:r>
        <w:t xml:space="preserve">- Costs are based on typical mid-range building methods and finishes in Germany as of current market conditions.</w:t>
      </w:r>
      <w:r>
        <w:t xml:space="preserve"> </w:t>
      </w:r>
      <w:r>
        <w:t xml:space="preserve">- Exclusions: land acquisition, VAT, financing costs, statutory developer levies (if any), and specialist fit-out beyond standard options (such as bespoke kitchens, high-end appliances).</w:t>
      </w:r>
      <w:r>
        <w:t xml:space="preserve"> </w:t>
      </w:r>
      <w:r>
        <w:t xml:space="preserve">- All rates to be validated with a QS and contractors during RIBA Stage 2–3 (or equivalent).</w:t>
      </w:r>
    </w:p>
    <w:p>
      <w:pPr>
        <w:pStyle w:val="BodyText"/>
      </w:pPr>
      <w:r>
        <w:t xml:space="preserve">8.2 Unit-rate guidance (typical mid-range Germany market)</w:t>
      </w:r>
      <w:r>
        <w:t xml:space="preserve"> </w:t>
      </w:r>
      <w:r>
        <w:t xml:space="preserve">- Indicative construction cost (incl. structure, envelope, MEP, interiors): €1,800 — €2,800 / m² (GFA)</w:t>
      </w:r>
      <w:r>
        <w:t xml:space="preserve"> </w:t>
      </w:r>
      <w:r>
        <w:t xml:space="preserve">- Low: €1,800/m² — economy finishes, straightforward site.</w:t>
      </w:r>
      <w:r>
        <w:t xml:space="preserve"> </w:t>
      </w:r>
      <w:r>
        <w:t xml:space="preserve">- Mid-range: €2,200/m² — typical selection used for example calculations below.</w:t>
      </w:r>
      <w:r>
        <w:t xml:space="preserve"> </w:t>
      </w:r>
      <w:r>
        <w:t xml:space="preserve">- High: €2,800+/m² — premium finishes, complex site, basement parking.</w:t>
      </w:r>
    </w:p>
    <w:p>
      <w:pPr>
        <w:pStyle w:val="BodyText"/>
      </w:pPr>
      <w:r>
        <w:t xml:space="preserve">8.3 Worked example (assumed GFA = 2,500 m²; unit rate €2,200/m²)</w:t>
      </w:r>
      <w:r>
        <w:t xml:space="preserve"> </w:t>
      </w:r>
      <w:r>
        <w:t xml:space="preserve">- Construction cost (shell + fit-out): 2,500 m² × €2,200 = €5,500,000</w:t>
      </w:r>
    </w:p>
    <w:p>
      <w:pPr>
        <w:pStyle w:val="BodyText"/>
      </w:pPr>
      <w:r>
        <w:t xml:space="preserve">Elemental breakdown of construction cost (detailed)</w:t>
      </w:r>
      <w:r>
        <w:t xml:space="preserve"> </w:t>
      </w:r>
      <w:r>
        <w:t xml:space="preserve">| Element | % of construction cost | Value (€) |</w:t>
      </w:r>
      <w:r>
        <w:t xml:space="preserve"> </w:t>
      </w:r>
      <w:r>
        <w:t xml:space="preserve">|---|---:|---:|</w:t>
      </w:r>
      <w:r>
        <w:t xml:space="preserve"> </w:t>
      </w:r>
      <w:r>
        <w:t xml:space="preserve">| Substructure &amp; foundations | 8% | 440,000 |</w:t>
      </w:r>
      <w:r>
        <w:t xml:space="preserve"> </w:t>
      </w:r>
      <w:r>
        <w:t xml:space="preserve">| Structure / frame (superstructure) | 30% | 1,650,000 |</w:t>
      </w:r>
      <w:r>
        <w:t xml:space="preserve"> </w:t>
      </w:r>
      <w:r>
        <w:t xml:space="preserve">| Façade &amp; roof | 18% | 990,000 |</w:t>
      </w:r>
      <w:r>
        <w:t xml:space="preserve"> </w:t>
      </w:r>
      <w:r>
        <w:t xml:space="preserve">| Windows &amp; external doors | 2% | 110,000 |</w:t>
      </w:r>
      <w:r>
        <w:t xml:space="preserve"> </w:t>
      </w:r>
      <w:r>
        <w:t xml:space="preserve">| Internal partitions &amp; finishes | 15% | 825,000 |</w:t>
      </w:r>
      <w:r>
        <w:t xml:space="preserve"> </w:t>
      </w:r>
      <w:r>
        <w:t xml:space="preserve">| MEP (HVAC, plumbing, electrical, fire) | 18% | 990,000 |</w:t>
      </w:r>
      <w:r>
        <w:t xml:space="preserve"> </w:t>
      </w:r>
      <w:r>
        <w:t xml:space="preserve">| Kitchens &amp; bathrooms (fittings) | 5% | 275,000 |</w:t>
      </w:r>
      <w:r>
        <w:t xml:space="preserve"> </w:t>
      </w:r>
      <w:r>
        <w:t xml:space="preserve">| Lifts &amp; vertical transportation | 1% | 55,000 |</w:t>
      </w:r>
      <w:r>
        <w:t xml:space="preserve"> </w:t>
      </w:r>
      <w:r>
        <w:t xml:space="preserve">| External works &amp; landscaping | 3% | 165,000 |</w:t>
      </w:r>
      <w:r>
        <w:t xml:space="preserve"> </w:t>
      </w:r>
      <w:r>
        <w:t xml:space="preserve">| Site works, temporary works &amp; preliminaries | 5% | 275,000 |</w:t>
      </w:r>
      <w:r>
        <w:t xml:space="preserve"> </w:t>
      </w:r>
      <w:r>
        <w:t xml:space="preserve">| Total construction cost (subtotal) | 100% | 5,500,000 |</w:t>
      </w:r>
    </w:p>
    <w:p>
      <w:pPr>
        <w:pStyle w:val="BodyText"/>
      </w:pPr>
      <w:r>
        <w:t xml:space="preserve">Notes:</w:t>
      </w:r>
      <w:r>
        <w:t xml:space="preserve"> </w:t>
      </w:r>
      <w:r>
        <w:t xml:space="preserve">- The above elemental splits have been refined from the initial high-level breakdown to include substructure and lifts separately.</w:t>
      </w:r>
      <w:r>
        <w:t xml:space="preserve"> </w:t>
      </w:r>
      <w:r>
        <w:t xml:space="preserve">- If basement parking is included, substructure &amp; foundations and mechanical systems could rise significantly (see Section 9).</w:t>
      </w:r>
    </w:p>
    <w:p>
      <w:pPr>
        <w:pStyle w:val="BodyText"/>
      </w:pPr>
      <w:r>
        <w:t xml:space="preserve">Professional fees &amp; permits</w:t>
      </w:r>
      <w:r>
        <w:t xml:space="preserve"> </w:t>
      </w:r>
      <w:r>
        <w:t xml:space="preserve">- Professional fees (architecture, structural, MEP, QS, project management, specialist consultants): typical range 8–12% at concept/through to construction stage. We have used 10% for this example.</w:t>
      </w:r>
      <w:r>
        <w:t xml:space="preserve"> </w:t>
      </w:r>
      <w:r>
        <w:t xml:space="preserve">- Professional fees (10%): €550,000</w:t>
      </w:r>
    </w:p>
    <w:p>
      <w:pPr>
        <w:pStyle w:val="BodyText"/>
      </w:pPr>
      <w:r>
        <w:t xml:space="preserve">Contingency</w:t>
      </w:r>
      <w:r>
        <w:t xml:space="preserve"> </w:t>
      </w:r>
      <w:r>
        <w:t xml:space="preserve">- Recommended contingency at concept stage: 6–10%. We use 8% as a reasonable example.</w:t>
      </w:r>
      <w:r>
        <w:t xml:space="preserve"> </w:t>
      </w:r>
      <w:r>
        <w:t xml:space="preserve">- Contingency (8% on construction subtotal): €440,000</w:t>
      </w:r>
    </w:p>
    <w:p>
      <w:pPr>
        <w:pStyle w:val="BodyText"/>
      </w:pPr>
      <w:r>
        <w:t xml:space="preserve">Indicative project total (including fees &amp; contingency)</w:t>
      </w:r>
      <w:r>
        <w:t xml:space="preserve"> </w:t>
      </w:r>
      <w:r>
        <w:t xml:space="preserve">- Subtotal construction: €5,500,000</w:t>
      </w:r>
      <w:r>
        <w:br/>
      </w:r>
      <w:r>
        <w:t xml:space="preserve">- + Professional fees: €550,000</w:t>
      </w:r>
      <w:r>
        <w:br/>
      </w:r>
      <w:r>
        <w:t xml:space="preserve">- + Contingency: €440,000</w:t>
      </w:r>
      <w:r>
        <w:br/>
      </w:r>
      <w:r>
        <w:t xml:space="preserve">- Indicative project total: €6,490,000</w:t>
      </w:r>
    </w:p>
    <w:p>
      <w:pPr>
        <w:pStyle w:val="BodyText"/>
      </w:pPr>
      <w:r>
        <w:t xml:space="preserve">Exclusions: VAT and land acquisition are excluded from the above total.</w:t>
      </w:r>
    </w:p>
    <w:p>
      <w:pPr>
        <w:pStyle w:val="BodyText"/>
      </w:pPr>
      <w:r>
        <w:t xml:space="preserve">8.4 Professional fee breakdown (recommended allocation)</w:t>
      </w:r>
      <w:r>
        <w:t xml:space="preserve"> </w:t>
      </w:r>
      <w:r>
        <w:t xml:space="preserve">| Discipline | % of construction cost | Value (€) |</w:t>
      </w:r>
      <w:r>
        <w:t xml:space="preserve"> </w:t>
      </w:r>
      <w:r>
        <w:t xml:space="preserve">|---|---:|---:|</w:t>
      </w:r>
      <w:r>
        <w:t xml:space="preserve"> </w:t>
      </w:r>
      <w:r>
        <w:t xml:space="preserve">| Architect (Awesome Inc.) | 5.0% | 275,000 |</w:t>
      </w:r>
      <w:r>
        <w:t xml:space="preserve"> </w:t>
      </w:r>
      <w:r>
        <w:t xml:space="preserve">| Structural Engineer | 1.2% | 66,000 |</w:t>
      </w:r>
      <w:r>
        <w:t xml:space="preserve"> </w:t>
      </w:r>
      <w:r>
        <w:t xml:space="preserve">| MEP Engineer | 1.2% | 66,000 |</w:t>
      </w:r>
      <w:r>
        <w:t xml:space="preserve"> </w:t>
      </w:r>
      <w:r>
        <w:t xml:space="preserve">| Quantity Surveyor / Cost Consultant | 0.6% | 33,000 |</w:t>
      </w:r>
      <w:r>
        <w:t xml:space="preserve"> </w:t>
      </w:r>
      <w:r>
        <w:t xml:space="preserve">| Project / Construction Manager | 0.8% | 44,000 |</w:t>
      </w:r>
      <w:r>
        <w:t xml:space="preserve"> </w:t>
      </w:r>
      <w:r>
        <w:t xml:space="preserve">| Specialist consultants (fire, acoustics, sustainability, accessibility) | 0.8% | 44,000 |</w:t>
      </w:r>
      <w:r>
        <w:t xml:space="preserve"> </w:t>
      </w:r>
      <w:r>
        <w:t xml:space="preserve">| Planning consultant / permit fees | 0.4% | 22,000 |</w:t>
      </w:r>
      <w:r>
        <w:t xml:space="preserve"> </w:t>
      </w:r>
      <w:r>
        <w:t xml:space="preserve">| Total (approx.) | 10.0% | 550,000 |</w:t>
      </w:r>
    </w:p>
    <w:p>
      <w:pPr>
        <w:pStyle w:val="BodyText"/>
      </w:pPr>
      <w:r>
        <w:t xml:space="preserve">8.5 Cost sensitivity analysis</w:t>
      </w:r>
      <w:r>
        <w:t xml:space="preserve"> </w:t>
      </w:r>
      <w:r>
        <w:t xml:space="preserve">- +/- 10% change in unit rate:</w:t>
      </w:r>
      <w:r>
        <w:t xml:space="preserve"> </w:t>
      </w:r>
      <w:r>
        <w:t xml:space="preserve">- At €1,980/m² (-10%): Construction cost = €4,950,000; total incl. fees &amp; contingency ≈ €5,835,000</w:t>
      </w:r>
      <w:r>
        <w:t xml:space="preserve"> </w:t>
      </w:r>
      <w:r>
        <w:t xml:space="preserve">- At €2,420/m² (+10%): Construction cost = €6,050,000; total incl. fees &amp; contingency ≈ €7,145,000</w:t>
      </w:r>
      <w:r>
        <w:t xml:space="preserve"> </w:t>
      </w:r>
      <w:r>
        <w:t xml:space="preserve">- Site or scope risks that can drive costs up by 15–25% at concept stage:</w:t>
      </w:r>
      <w:r>
        <w:t xml:space="preserve"> </w:t>
      </w:r>
      <w:r>
        <w:t xml:space="preserve">- Basement parking works, high groundwater requiring dewatering or pile foundations.</w:t>
      </w:r>
      <w:r>
        <w:t xml:space="preserve"> </w:t>
      </w:r>
      <w:r>
        <w:t xml:space="preserve">- Significant retaining walls or underpinning of adjacent structures.</w:t>
      </w:r>
      <w:r>
        <w:t xml:space="preserve"> </w:t>
      </w:r>
      <w:r>
        <w:t xml:space="preserve">- Complex façade systems or bespoke cladding.</w:t>
      </w:r>
      <w:r>
        <w:t xml:space="preserve"> </w:t>
      </w:r>
      <w:r>
        <w:t xml:space="preserve">- Premium finishes and specialist fit-out.</w:t>
      </w:r>
    </w:p>
    <w:p>
      <w:pPr>
        <w:pStyle w:val="BodyText"/>
      </w:pPr>
      <w:r>
        <w:t xml:space="preserve">8.6 Cost drivers &amp; potential savings</w:t>
      </w:r>
      <w:r>
        <w:t xml:space="preserve"> </w:t>
      </w:r>
      <w:r>
        <w:t xml:space="preserve">Major cost drivers:</w:t>
      </w:r>
      <w:r>
        <w:t xml:space="preserve"> </w:t>
      </w:r>
      <w:r>
        <w:t xml:space="preserve">- Substructure (basement excavation, piling), façade complexity, MEP complexity and high-end finishes.</w:t>
      </w:r>
      <w:r>
        <w:t xml:space="preserve"> </w:t>
      </w:r>
      <w:r>
        <w:t xml:space="preserve">Cost saving strategies:</w:t>
      </w:r>
      <w:r>
        <w:t xml:space="preserve"> </w:t>
      </w:r>
      <w:r>
        <w:t xml:space="preserve">- Standardise apartment layouts and bathroom/kitchen modules.</w:t>
      </w:r>
      <w:r>
        <w:t xml:space="preserve"> </w:t>
      </w:r>
      <w:r>
        <w:t xml:space="preserve">- Use prefabricated bathroom pods or modular MEP risers where beneficial.</w:t>
      </w:r>
      <w:r>
        <w:t xml:space="preserve"> </w:t>
      </w:r>
      <w:r>
        <w:t xml:space="preserve">- Simplify façade detailing and reduce bespoke panel sizes.</w:t>
      </w:r>
      <w:r>
        <w:t xml:space="preserve"> </w:t>
      </w:r>
      <w:r>
        <w:t xml:space="preserve">- Early contractor involvement (ECI) to value engineer structural spans and material choices.</w:t>
      </w:r>
    </w:p>
    <w:p>
      <w:r>
        <w:pict>
          <v:rect style="width:0;height:1.5pt" o:hralign="center" o:hrstd="t" o:hr="t"/>
        </w:pict>
      </w:r>
    </w:p>
    <w:bookmarkEnd w:id="27"/>
    <w:bookmarkStart w:id="28" w:name="X610dd491df2a0fb3d9e31074bffa916e7b70b6f"/>
    <w:p>
      <w:pPr>
        <w:pStyle w:val="Heading2"/>
      </w:pPr>
      <w:r>
        <w:t xml:space="preserve">9. Example alternative scenarios (quick view &amp; additional options)</w:t>
      </w:r>
    </w:p>
    <w:p>
      <w:pPr>
        <w:pStyle w:val="FirstParagraph"/>
      </w:pPr>
      <w:r>
        <w:t xml:space="preserve">9.1 Summary table — construction cost by finish level (GFA 2,500 m²)</w:t>
      </w:r>
      <w:r>
        <w:t xml:space="preserve"> </w:t>
      </w:r>
      <w:r>
        <w:t xml:space="preserve">| Scenario | Unit rate (€ / m²) | Construction cost (€) | Fees (10%) | Contingency (8%) | Indicative total (€) |</w:t>
      </w:r>
      <w:r>
        <w:t xml:space="preserve"> </w:t>
      </w:r>
      <w:r>
        <w:t xml:space="preserve">|---|---:|---:|---:|---:|---:|</w:t>
      </w:r>
      <w:r>
        <w:t xml:space="preserve"> </w:t>
      </w:r>
      <w:r>
        <w:t xml:space="preserve">| Economy finish | 1,800 | 4,500,000 | 450,000 | 360,000 | 5,310,000 |</w:t>
      </w:r>
      <w:r>
        <w:t xml:space="preserve"> </w:t>
      </w:r>
      <w:r>
        <w:t xml:space="preserve">| Mid-range (base case) | 2,200 | 5,500,000 | 550,000 | 440,000 | 6,490,000 |</w:t>
      </w:r>
      <w:r>
        <w:t xml:space="preserve"> </w:t>
      </w:r>
      <w:r>
        <w:t xml:space="preserve">| Premium finish | 2,800 | 7,000,000 | 700,000 | 560,000 | 8,260,000 |</w:t>
      </w:r>
      <w:r>
        <w:t xml:space="preserve"> </w:t>
      </w:r>
      <w:r>
        <w:t xml:space="preserve">| Mid-range + basement parking (approx. +€450/m²) | 2,650 | 6,625,000 | 662,500 | 530,000 | 7,817,500 |</w:t>
      </w:r>
    </w:p>
    <w:p>
      <w:pPr>
        <w:pStyle w:val="BodyText"/>
      </w:pPr>
      <w:r>
        <w:t xml:space="preserve">9.2 Basement parking sensitivity</w:t>
      </w:r>
      <w:r>
        <w:t xml:space="preserve"> </w:t>
      </w:r>
      <w:r>
        <w:t xml:space="preserve">- Approximate additional cost for full basement parking (per parking bay): €25,000–€45,000 per bay depending on depth, groundwater and mechanical ventilation requirements.</w:t>
      </w:r>
      <w:r>
        <w:t xml:space="preserve"> </w:t>
      </w:r>
      <w:r>
        <w:t xml:space="preserve">- For 12 basement spaces at €30,000 each: additional cost ~€360,000; this will increase substructure &amp; MEP shares and may require additional plant.</w:t>
      </w:r>
    </w:p>
    <w:p>
      <w:pPr>
        <w:pStyle w:val="BodyText"/>
      </w:pPr>
      <w:r>
        <w:t xml:space="preserve">9.3 Additional specialist items (examples &amp; indicative pricing)</w:t>
      </w:r>
      <w:r>
        <w:t xml:space="preserve"> </w:t>
      </w:r>
      <w:r>
        <w:t xml:space="preserve">- PV rooftop system (10 kWp): €12,000–€20,000 (including inverters and mounting, excluding battery storage).</w:t>
      </w:r>
      <w:r>
        <w:t xml:space="preserve"> </w:t>
      </w:r>
      <w:r>
        <w:t xml:space="preserve">- Battery storage (10–20 kWh): €8,000–€18,000 depending on supplier and integration.</w:t>
      </w:r>
      <w:r>
        <w:t xml:space="preserve"> </w:t>
      </w:r>
      <w:r>
        <w:t xml:space="preserve">- Full EV charger installation per bay (with metering): €3,000–€8,000 per bay.</w:t>
      </w:r>
      <w:r>
        <w:t xml:space="preserve"> </w:t>
      </w:r>
      <w:r>
        <w:t xml:space="preserve">- MVHR per dwelling (including ducting): €1,200–€3,000 per unit depending on complexity.</w:t>
      </w:r>
    </w:p>
    <w:p>
      <w:r>
        <w:pict>
          <v:rect style="width:0;height:1.5pt" o:hralign="center" o:hrstd="t" o:hr="t"/>
        </w:pict>
      </w:r>
    </w:p>
    <w:bookmarkEnd w:id="28"/>
    <w:bookmarkStart w:id="29" w:name="Xc3324ec174e02eaa6c9bfbd63435d5a46314ee8"/>
    <w:p>
      <w:pPr>
        <w:pStyle w:val="Heading2"/>
      </w:pPr>
      <w:r>
        <w:t xml:space="preserve">10. Preliminary schedule &amp; milestones (owner / partner responsibilities)</w:t>
      </w:r>
    </w:p>
    <w:p>
      <w:pPr>
        <w:pStyle w:val="FirstParagraph"/>
      </w:pPr>
      <w:r>
        <w:t xml:space="preserve">High-level programme (GFA 2,500 m² — mid-rise) indicative durations; actual programme to be confirmed with site data and contractor availability.</w:t>
      </w:r>
    </w:p>
    <w:p>
      <w:pPr>
        <w:pStyle w:val="BodyText"/>
      </w:pPr>
      <w:r>
        <w:t xml:space="preserve">Gantt-style milestone summary (weeks noted are indicative)</w:t>
      </w:r>
      <w:r>
        <w:t xml:space="preserve"> </w:t>
      </w:r>
      <w:r>
        <w:t xml:space="preserve">| Activity | Duration | Start | Finish | Lead / Responsible |</w:t>
      </w:r>
      <w:r>
        <w:t xml:space="preserve"> </w:t>
      </w:r>
      <w:r>
        <w:t xml:space="preserve">|---|---:|---:|---:|---|</w:t>
      </w:r>
      <w:r>
        <w:t xml:space="preserve"> </w:t>
      </w:r>
      <w:r>
        <w:t xml:space="preserve">| Client confirmation of assumptions | 2 weeks | W1 | W2 | Client |</w:t>
      </w:r>
      <w:r>
        <w:t xml:space="preserve"> </w:t>
      </w:r>
      <w:r>
        <w:t xml:space="preserve">| Site survey &amp; topo | 2 weeks | W1 | W2 | Surveyor (client brief) |</w:t>
      </w:r>
      <w:r>
        <w:t xml:space="preserve"> </w:t>
      </w:r>
      <w:r>
        <w:t xml:space="preserve">| Geotechnical investigation | 4 weeks | W1 | W4 | Geotech Büro Mayer (Client) |</w:t>
      </w:r>
      <w:r>
        <w:t xml:space="preserve"> </w:t>
      </w:r>
      <w:r>
        <w:t xml:space="preserve">| Concept design (this stage) | 3 weeks | W2 | W4 | Awesome Inc. |</w:t>
      </w:r>
      <w:r>
        <w:t xml:space="preserve"> </w:t>
      </w:r>
      <w:r>
        <w:t xml:space="preserve">| Structural concept &amp; review | 2–4 weeks (concurrent) | W3 | W6 | Structural Engineer |</w:t>
      </w:r>
      <w:r>
        <w:t xml:space="preserve"> </w:t>
      </w:r>
      <w:r>
        <w:t xml:space="preserve">| MEP concept &amp; plant sizing | 2–3 weeks (concurrent) | W3 | W6 | MEP Engineer |</w:t>
      </w:r>
      <w:r>
        <w:t xml:space="preserve"> </w:t>
      </w:r>
      <w:r>
        <w:t xml:space="preserve">| Preliminary cost check (QS) | 1–2 weeks | W6 | W7 | Quantity Surveyor |</w:t>
      </w:r>
      <w:r>
        <w:t xml:space="preserve"> </w:t>
      </w:r>
      <w:r>
        <w:t xml:space="preserve">| Pre-application with planning authority | 2–4 weeks | W8 | W11 | Awesome Inc. / Client |</w:t>
      </w:r>
      <w:r>
        <w:t xml:space="preserve"> </w:t>
      </w:r>
      <w:r>
        <w:t xml:space="preserve">| Full planning submission (Bauantrag) | 8–16 weeks | W12 | W27 | Awesome Inc. |</w:t>
      </w:r>
      <w:r>
        <w:t xml:space="preserve"> </w:t>
      </w:r>
      <w:r>
        <w:t xml:space="preserve">| Tender &amp; contractor appointment | 4–6 weeks | W28 | W34 | Client / QS |</w:t>
      </w:r>
      <w:r>
        <w:t xml:space="preserve"> </w:t>
      </w:r>
      <w:r>
        <w:t xml:space="preserve">| Construction works (mid-rise, no basement) | 12–15 months | W35 | W95 | Contractor |</w:t>
      </w:r>
      <w:r>
        <w:t xml:space="preserve"> </w:t>
      </w:r>
      <w:r>
        <w:t xml:space="preserve">| Construction with basement | 15–20 months | W35 | W118 | Contractor |</w:t>
      </w:r>
      <w:r>
        <w:t xml:space="preserve"> </w:t>
      </w:r>
      <w:r>
        <w:t xml:space="preserve">| Practical completion &amp; handover | 4 weeks | W96/119 | W99/122 | Contractor / Client |</w:t>
      </w:r>
    </w:p>
    <w:p>
      <w:pPr>
        <w:pStyle w:val="BodyText"/>
      </w:pPr>
      <w:r>
        <w:t xml:space="preserve">Notes:</w:t>
      </w:r>
      <w:r>
        <w:t xml:space="preserve"> </w:t>
      </w:r>
      <w:r>
        <w:t xml:space="preserve">- Overlapping activities (structural/MEP design with concept stage) reduce time-to-tender and can reduce cost risk.</w:t>
      </w:r>
      <w:r>
        <w:t xml:space="preserve"> </w:t>
      </w:r>
      <w:r>
        <w:t xml:space="preserve">- Planning authority engagement and queries can extend the planning period; pre-application is recommended.</w:t>
      </w:r>
      <w:r>
        <w:t xml:space="preserve"> </w:t>
      </w:r>
      <w:r>
        <w:t xml:space="preserve">- Lead-in times for specialist items (e.g., bespoke façades, timber components) can be substantial and should be confirmed early.</w:t>
      </w:r>
    </w:p>
    <w:p>
      <w:pPr>
        <w:pStyle w:val="BodyText"/>
      </w:pPr>
      <w:r>
        <w:t xml:space="preserve">Milestones &amp; decision points (owner)</w:t>
      </w:r>
      <w:r>
        <w:t xml:space="preserve"> </w:t>
      </w:r>
      <w:r>
        <w:t xml:space="preserve">- Confirmation of budget envelope and parking strategy (Owner) — critical before detailed design.</w:t>
      </w:r>
      <w:r>
        <w:t xml:space="preserve"> </w:t>
      </w:r>
      <w:r>
        <w:t xml:space="preserve">- Confirmation of unit mix, target finishes and sustainability level (Owner) — informs MEP and façade decisions.</w:t>
      </w:r>
      <w:r>
        <w:t xml:space="preserve"> </w:t>
      </w:r>
      <w:r>
        <w:t xml:space="preserve">- Appointment of QS and lead contractor (Owner) — recommended before Stage 3 to reduce price volatility.</w:t>
      </w:r>
    </w:p>
    <w:p>
      <w:r>
        <w:pict>
          <v:rect style="width:0;height:1.5pt" o:hralign="center" o:hrstd="t" o:hr="t"/>
        </w:pict>
      </w:r>
    </w:p>
    <w:bookmarkEnd w:id="29"/>
    <w:bookmarkStart w:id="30" w:name="assumptions-exclusions-risks"/>
    <w:p>
      <w:pPr>
        <w:pStyle w:val="Heading2"/>
      </w:pPr>
      <w:r>
        <w:t xml:space="preserve">11. Assumptions, exclusions &amp; risks</w:t>
      </w:r>
    </w:p>
    <w:p>
      <w:pPr>
        <w:pStyle w:val="FirstParagraph"/>
      </w:pPr>
      <w:r>
        <w:t xml:space="preserve">11.1 Key assumptions (recap)</w:t>
      </w:r>
      <w:r>
        <w:t xml:space="preserve"> </w:t>
      </w:r>
      <w:r>
        <w:t xml:space="preserve">- No abnormal ground conditions.</w:t>
      </w:r>
      <w:r>
        <w:t xml:space="preserve"> </w:t>
      </w:r>
      <w:r>
        <w:t xml:space="preserve">- No heritage restrictions or complicated demolition constraints.</w:t>
      </w:r>
      <w:r>
        <w:t xml:space="preserve"> </w:t>
      </w:r>
      <w:r>
        <w:t xml:space="preserve">- Typical local authority planning processes and timescales.</w:t>
      </w:r>
      <w:r>
        <w:t xml:space="preserve"> </w:t>
      </w:r>
      <w:r>
        <w:t xml:space="preserve">- Standard mid-range finishes and supplier availability.</w:t>
      </w:r>
    </w:p>
    <w:p>
      <w:pPr>
        <w:pStyle w:val="BodyText"/>
      </w:pPr>
      <w:r>
        <w:t xml:space="preserve">11.2 Exclusions (not included in estimates)</w:t>
      </w:r>
      <w:r>
        <w:t xml:space="preserve"> </w:t>
      </w:r>
      <w:r>
        <w:t xml:space="preserve">- Land acquisition costs.</w:t>
      </w:r>
      <w:r>
        <w:t xml:space="preserve"> </w:t>
      </w:r>
      <w:r>
        <w:t xml:space="preserve">- VAT, financing and developer interest costs.</w:t>
      </w:r>
      <w:r>
        <w:t xml:space="preserve"> </w:t>
      </w:r>
      <w:r>
        <w:t xml:space="preserve">- Specialist tenant fit-outs beyond standard kitchens and bathrooms.</w:t>
      </w:r>
      <w:r>
        <w:t xml:space="preserve"> </w:t>
      </w:r>
      <w:r>
        <w:t xml:space="preserve">- Off-site remediation or unexpected contamination.</w:t>
      </w:r>
      <w:r>
        <w:t xml:space="preserve"> </w:t>
      </w:r>
      <w:r>
        <w:t xml:space="preserve">- Local developer contributions or levies (if applicable).</w:t>
      </w:r>
      <w:r>
        <w:t xml:space="preserve"> </w:t>
      </w:r>
      <w:r>
        <w:t xml:space="preserve">- Any statutory improvement costs demanded by local authority (e.g., highway works).</w:t>
      </w:r>
    </w:p>
    <w:p>
      <w:pPr>
        <w:pStyle w:val="BodyText"/>
      </w:pPr>
      <w:r>
        <w:t xml:space="preserve">11.3 Risk register (concept-level)</w:t>
      </w:r>
      <w:r>
        <w:t xml:space="preserve"> </w:t>
      </w:r>
      <w:r>
        <w:t xml:space="preserve">| Risk | Probability (L/M/H) | Impact (L/M/H) | Mitigation | Contingency allowance |</w:t>
      </w:r>
      <w:r>
        <w:t xml:space="preserve"> </w:t>
      </w:r>
      <w:r>
        <w:t xml:space="preserve">|---|---:|---:|---|---:|</w:t>
      </w:r>
      <w:r>
        <w:t xml:space="preserve"> </w:t>
      </w:r>
      <w:r>
        <w:t xml:space="preserve">| Unexpected ground conditions requiring piling | M | H | Early geotechnical survey; allow piling options in design | 5–10% of substructure cost |</w:t>
      </w:r>
      <w:r>
        <w:t xml:space="preserve"> </w:t>
      </w:r>
      <w:r>
        <w:t xml:space="preserve">| Planning objections / extended authority review | M | M | Pre-application engagement; community consultation | Programme buffer |</w:t>
      </w:r>
      <w:r>
        <w:t xml:space="preserve"> </w:t>
      </w:r>
      <w:r>
        <w:t xml:space="preserve">| Market price inflation during tender | H | M–H | Early appointment of QS; ECI; fixed-price tender windows | 6–10% contingency |</w:t>
      </w:r>
      <w:r>
        <w:t xml:space="preserve"> </w:t>
      </w:r>
      <w:r>
        <w:t xml:space="preserve">| Scope creep / client changes to finishes | M | M | Clear scope freeze dates and design packages | 5% client change contingency |</w:t>
      </w:r>
      <w:r>
        <w:t xml:space="preserve"> </w:t>
      </w:r>
      <w:r>
        <w:t xml:space="preserve">| Specialist supply chain delays (façade / bespoke elements) | M | M | Early ordering &amp; long-lead procurement | Programme buffer |</w:t>
      </w:r>
      <w:r>
        <w:t xml:space="preserve"> </w:t>
      </w:r>
      <w:r>
        <w:t xml:space="preserve">| Need for extensive basement or retaining works | L–M | H | Site topographical survey and geotech; design options | Additional budgeted sums (see Section 9) |</w:t>
      </w:r>
    </w:p>
    <w:p>
      <w:pPr>
        <w:pStyle w:val="BodyText"/>
      </w:pPr>
      <w:r>
        <w:t xml:space="preserve">11.4 Contingency strategy</w:t>
      </w:r>
      <w:r>
        <w:t xml:space="preserve"> </w:t>
      </w:r>
      <w:r>
        <w:t xml:space="preserve">- Use tiered contingency:</w:t>
      </w:r>
      <w:r>
        <w:t xml:space="preserve"> </w:t>
      </w:r>
      <w:r>
        <w:t xml:space="preserve">- Design contingency (6–8%) at concept for unknowns.</w:t>
      </w:r>
      <w:r>
        <w:t xml:space="preserve"> </w:t>
      </w:r>
      <w:r>
        <w:t xml:space="preserve">- Tender contingency (contractor’s contingencies) for pricing errors or omissions.</w:t>
      </w:r>
      <w:r>
        <w:t xml:space="preserve"> </w:t>
      </w:r>
      <w:r>
        <w:t xml:space="preserve">- Client change contingency (5%) to cover scope variations requested after tender.</w:t>
      </w:r>
    </w:p>
    <w:p>
      <w:r>
        <w:pict>
          <v:rect style="width:0;height:1.5pt" o:hralign="center" o:hrstd="t" o:hr="t"/>
        </w:pict>
      </w:r>
    </w:p>
    <w:bookmarkEnd w:id="30"/>
    <w:bookmarkStart w:id="31" w:name="procurement-contract-strategy"/>
    <w:p>
      <w:pPr>
        <w:pStyle w:val="Heading2"/>
      </w:pPr>
      <w:r>
        <w:t xml:space="preserve">12. Procurement &amp; contract strategy</w:t>
      </w:r>
    </w:p>
    <w:p>
      <w:pPr>
        <w:pStyle w:val="FirstParagraph"/>
      </w:pPr>
      <w:r>
        <w:t xml:space="preserve">12.1 Recommended procurement route</w:t>
      </w:r>
      <w:r>
        <w:t xml:space="preserve"> </w:t>
      </w:r>
      <w:r>
        <w:t xml:space="preserve">- Preferred route: Traditional design-bid-build with early contractor involvement (ECI) at end of Stage 2 (concept) or tendering through two-stage negotiated tender with preferred contractor.</w:t>
      </w:r>
      <w:r>
        <w:t xml:space="preserve"> </w:t>
      </w:r>
      <w:r>
        <w:t xml:space="preserve">- Rationale: ECI allows pricing of alternates, value engineering and programme forecasting while maintaining design control.</w:t>
      </w:r>
      <w:r>
        <w:t xml:space="preserve"> </w:t>
      </w:r>
      <w:r>
        <w:t xml:space="preserve">- Alternative: Design &amp; Build (D&amp;B) if client prefers single point responsibility and is prepared to trade some design control for price certainty.</w:t>
      </w:r>
    </w:p>
    <w:p>
      <w:pPr>
        <w:pStyle w:val="BodyText"/>
      </w:pPr>
      <w:r>
        <w:t xml:space="preserve">12.2 Tender strategy</w:t>
      </w:r>
      <w:r>
        <w:t xml:space="preserve"> </w:t>
      </w:r>
      <w:r>
        <w:t xml:space="preserve">- Issue an initial pre-qualification (PQQ) to shortlist 4–6 contractors to ensure market interest and quality.</w:t>
      </w:r>
      <w:r>
        <w:t xml:space="preserve"> </w:t>
      </w:r>
      <w:r>
        <w:t xml:space="preserve">- Provide clear tender packages for subcontractor pricing (façade, MEP, internal finishes).</w:t>
      </w:r>
      <w:r>
        <w:t xml:space="preserve"> </w:t>
      </w:r>
      <w:r>
        <w:t xml:space="preserve">- Encourage contractors to submit alternative solutions that meet performance criteria (e.g., hybrid timber vs concrete) with cost &amp; programme impacts.</w:t>
      </w:r>
    </w:p>
    <w:p>
      <w:pPr>
        <w:pStyle w:val="BodyText"/>
      </w:pPr>
      <w:r>
        <w:t xml:space="preserve">12.3 Contract forms</w:t>
      </w:r>
      <w:r>
        <w:t xml:space="preserve"> </w:t>
      </w:r>
      <w:r>
        <w:t xml:space="preserve">- Recommended contractual form: FIDIC / VOB-B adapted to German practice or bespoke JCT-style form with clear payment milestones and variation control.</w:t>
      </w:r>
      <w:r>
        <w:t xml:space="preserve"> </w:t>
      </w:r>
      <w:r>
        <w:t xml:space="preserve">- For negotiated two-stage: Use agreements that allow early works to be priced and included into a firm GMP (guaranteed maximum price) once packages are fixed.</w:t>
      </w:r>
    </w:p>
    <w:p>
      <w:pPr>
        <w:pStyle w:val="BodyText"/>
      </w:pPr>
      <w:r>
        <w:t xml:space="preserve">12.4 Procurement milestones &amp; payments (example)</w:t>
      </w:r>
      <w:r>
        <w:t xml:space="preserve"> </w:t>
      </w:r>
      <w:r>
        <w:t xml:space="preserve">- RIBA Stage 2 (concept) completion: 10% of design fee milestone.</w:t>
      </w:r>
      <w:r>
        <w:t xml:space="preserve"> </w:t>
      </w:r>
      <w:r>
        <w:t xml:space="preserve">- Planning submission: 20% milestone.</w:t>
      </w:r>
      <w:r>
        <w:t xml:space="preserve"> </w:t>
      </w:r>
      <w:r>
        <w:t xml:space="preserve">- Tender issue and return: QS interim cost check and sign-off.</w:t>
      </w:r>
      <w:r>
        <w:t xml:space="preserve"> </w:t>
      </w:r>
      <w:r>
        <w:t xml:space="preserve">- Contractor appointment: mobilisation deposit (e.g., 5–10% of contract sum).</w:t>
      </w:r>
      <w:r>
        <w:t xml:space="preserve"> </w:t>
      </w:r>
      <w:r>
        <w:t xml:space="preserve">- Monthly valuations during works with retention (e.g., 5% retention until defects rectified).</w:t>
      </w:r>
    </w:p>
    <w:p>
      <w:r>
        <w:pict>
          <v:rect style="width:0;height:1.5pt" o:hralign="center" o:hrstd="t" o:hr="t"/>
        </w:pict>
      </w:r>
    </w:p>
    <w:bookmarkEnd w:id="31"/>
    <w:bookmarkStart w:id="32" w:name="recommendations-next-steps"/>
    <w:p>
      <w:pPr>
        <w:pStyle w:val="Heading2"/>
      </w:pPr>
      <w:r>
        <w:t xml:space="preserve">13. Recommendations &amp; next steps</w:t>
      </w:r>
    </w:p>
    <w:p>
      <w:pPr>
        <w:pStyle w:val="FirstParagraph"/>
      </w:pPr>
      <w:r>
        <w:t xml:space="preserve">Immediate actions (within 2–4 weeks)</w:t>
      </w:r>
      <w:r>
        <w:t xml:space="preserve"> </w:t>
      </w:r>
      <w:r>
        <w:t xml:space="preserve">1. Confirm project brief and core assumptions in Section 2:</w:t>
      </w:r>
      <w:r>
        <w:t xml:space="preserve"> </w:t>
      </w:r>
      <w:r>
        <w:t xml:space="preserve">- Confirm GFA, target finishes, desired unit mix and parking strategy.</w:t>
      </w:r>
      <w:r>
        <w:t xml:space="preserve"> </w:t>
      </w:r>
      <w:r>
        <w:t xml:space="preserve">2. Commission site surveys:</w:t>
      </w:r>
      <w:r>
        <w:t xml:space="preserve"> </w:t>
      </w:r>
      <w:r>
        <w:t xml:space="preserve">- Topographical survey, Batched utilities survey, Geotechnical investigation (Geotech Büro Mayer recommended).</w:t>
      </w:r>
      <w:r>
        <w:t xml:space="preserve"> </w:t>
      </w:r>
      <w:r>
        <w:t xml:space="preserve">3. Appoint core consultants:</w:t>
      </w:r>
      <w:r>
        <w:t xml:space="preserve"> </w:t>
      </w:r>
      <w:r>
        <w:t xml:space="preserve">- Quantity Surveyor (Baukosten GmbH recommended for initial cost plan), Structural Engineer and MEP Engineer.</w:t>
      </w:r>
      <w:r>
        <w:t xml:space="preserve"> </w:t>
      </w:r>
      <w:r>
        <w:t xml:space="preserve">4. Undertake pre-application meeting with the local planning authority — obtain early advice on permitted massing and constraints.</w:t>
      </w:r>
      <w:r>
        <w:t xml:space="preserve"> </w:t>
      </w:r>
      <w:r>
        <w:t xml:space="preserve">5. If budget certainty is a priority, instruct QS to prepare an elemental cost plan and initiate contractor market sounding for two-stage procurement.</w:t>
      </w:r>
    </w:p>
    <w:p>
      <w:pPr>
        <w:pStyle w:val="BodyText"/>
      </w:pPr>
      <w:r>
        <w:t xml:space="preserve">Meeting proposal (agenda)</w:t>
      </w:r>
      <w:r>
        <w:t xml:space="preserve"> </w:t>
      </w:r>
      <w:r>
        <w:t xml:space="preserve">- Duration: 60 minutes (in person or video).</w:t>
      </w:r>
      <w:r>
        <w:t xml:space="preserve"> </w:t>
      </w:r>
      <w:r>
        <w:t xml:space="preserve">- Attendees: Client decision-maker, Oscar (Awesome Inc.), QS representative, Geotech rep (optional), Planning contact (optional).</w:t>
      </w:r>
      <w:r>
        <w:t xml:space="preserve"> </w:t>
      </w:r>
      <w:r>
        <w:t xml:space="preserve">- Proposed agenda:</w:t>
      </w:r>
      <w:r>
        <w:t xml:space="preserve"> </w:t>
      </w:r>
      <w:r>
        <w:t xml:space="preserve">1. Confirmation of site information and GFA (5 min).</w:t>
      </w:r>
      <w:r>
        <w:t xml:space="preserve"> </w:t>
      </w:r>
      <w:r>
        <w:t xml:space="preserve">2. Review of proposed unit mix and target market (10 min).</w:t>
      </w:r>
      <w:r>
        <w:t xml:space="preserve"> </w:t>
      </w:r>
      <w:r>
        <w:t xml:space="preserve">3. Parking strategy and local constraints (10 min).</w:t>
      </w:r>
      <w:r>
        <w:t xml:space="preserve"> </w:t>
      </w:r>
      <w:r>
        <w:t xml:space="preserve">4. Sustainability targets and KfW aspirations (10 min).</w:t>
      </w:r>
      <w:r>
        <w:t xml:space="preserve"> </w:t>
      </w:r>
      <w:r>
        <w:t xml:space="preserve">5. Cost envelope and acceptable risk (10 min).</w:t>
      </w:r>
      <w:r>
        <w:t xml:space="preserve"> </w:t>
      </w:r>
      <w:r>
        <w:t xml:space="preserve">6. Next steps, responsibilities and timescale (10 min).</w:t>
      </w:r>
      <w:r>
        <w:t xml:space="preserve"> </w:t>
      </w:r>
      <w:r>
        <w:t xml:space="preserve">- Deliverables from meeting: agreed brief and a written meeting note with actions and timescales.</w:t>
      </w:r>
    </w:p>
    <w:p>
      <w:pPr>
        <w:pStyle w:val="BodyText"/>
      </w:pPr>
      <w:r>
        <w:t xml:space="preserve">Longer-term recommendations</w:t>
      </w:r>
      <w:r>
        <w:t xml:space="preserve"> </w:t>
      </w:r>
      <w:r>
        <w:t xml:space="preserve">- Appoint QS prior to completing technical design to evolve the cost plan to elemental and trade-level pricing.</w:t>
      </w:r>
      <w:r>
        <w:t xml:space="preserve"> </w:t>
      </w:r>
      <w:r>
        <w:t xml:space="preserve">- Engage local planning authority early; consider a planning consultant if the site is complex.</w:t>
      </w:r>
      <w:r>
        <w:t xml:space="preserve"> </w:t>
      </w:r>
      <w:r>
        <w:t xml:space="preserve">- If exploring KfW grants or DGNB certification, agree targets now; early decisions on building fabric and services will materially affect costs and performance.</w:t>
      </w:r>
    </w:p>
    <w:p>
      <w:r>
        <w:pict>
          <v:rect style="width:0;height:1.5pt" o:hralign="center" o:hrstd="t" o:hr="t"/>
        </w:pict>
      </w:r>
    </w:p>
    <w:bookmarkEnd w:id="32"/>
    <w:bookmarkStart w:id="33" w:name="appendices"/>
    <w:p>
      <w:pPr>
        <w:pStyle w:val="Heading2"/>
      </w:pPr>
      <w:r>
        <w:t xml:space="preserve">14. Appendices</w:t>
      </w:r>
    </w:p>
    <w:p>
      <w:pPr>
        <w:pStyle w:val="FirstParagraph"/>
      </w:pPr>
      <w:r>
        <w:t xml:space="preserve">Appendix A — Example area schedule (GFA = 2,500 m²; net/gross efficiency 78%)</w:t>
      </w:r>
      <w:r>
        <w:t xml:space="preserve"> </w:t>
      </w:r>
      <w:r>
        <w:t xml:space="preserve">- Gross Floor Area (GFA): 2,500 m²</w:t>
      </w:r>
      <w:r>
        <w:t xml:space="preserve"> </w:t>
      </w:r>
      <w:r>
        <w:t xml:space="preserve">- Net residential area (approx. GFA × 0.78): 1,950 m²</w:t>
      </w:r>
      <w:r>
        <w:t xml:space="preserve"> </w:t>
      </w:r>
      <w:r>
        <w:t xml:space="preserve">- Common areas, circulation &amp; plant: 550 m² (22% of GFA)</w:t>
      </w:r>
    </w:p>
    <w:p>
      <w:pPr>
        <w:pStyle w:val="BodyText"/>
      </w:pPr>
      <w:r>
        <w:t xml:space="preserve">Sample unit mix option (illustrative)</w:t>
      </w:r>
      <w:r>
        <w:t xml:space="preserve"> </w:t>
      </w:r>
      <w:r>
        <w:t xml:space="preserve">| Unit type | Unit size (m² net) | Quantity | Total net area (m²) |</w:t>
      </w:r>
      <w:r>
        <w:t xml:space="preserve"> </w:t>
      </w:r>
      <w:r>
        <w:t xml:space="preserve">|---|---:|---:|---:|</w:t>
      </w:r>
      <w:r>
        <w:t xml:space="preserve"> </w:t>
      </w:r>
      <w:r>
        <w:t xml:space="preserve">| 1BR (Type A) | 50 | 6 | 300 |</w:t>
      </w:r>
      <w:r>
        <w:t xml:space="preserve"> </w:t>
      </w:r>
      <w:r>
        <w:t xml:space="preserve">| 1BR (compact) | 45 | 4 | 180 |</w:t>
      </w:r>
      <w:r>
        <w:t xml:space="preserve"> </w:t>
      </w:r>
      <w:r>
        <w:t xml:space="preserve">| 2BR (Type B) | 75 | 8 | 600 |</w:t>
      </w:r>
      <w:r>
        <w:t xml:space="preserve"> </w:t>
      </w:r>
      <w:r>
        <w:t xml:space="preserve">| 2BR (larger) | 80 | 4 | 320 |</w:t>
      </w:r>
      <w:r>
        <w:t xml:space="preserve"> </w:t>
      </w:r>
      <w:r>
        <w:t xml:space="preserve">| 3BR (Type C) | 95 | 4 | 380 |</w:t>
      </w:r>
      <w:r>
        <w:t xml:space="preserve"> </w:t>
      </w:r>
      <w:r>
        <w:t xml:space="preserve">| Total apartments | — | 26 | 1,780 |</w:t>
      </w:r>
    </w:p>
    <w:p>
      <w:pPr>
        <w:pStyle w:val="BodyText"/>
      </w:pPr>
      <w:r>
        <w:t xml:space="preserve">Notes:</w:t>
      </w:r>
      <w:r>
        <w:t xml:space="preserve"> </w:t>
      </w:r>
      <w:r>
        <w:t xml:space="preserve">- The above mix yields 26 units and totals 1,780 m² net apartments; the remaining net area (170 m²) could be allocated to storage, staff/common rooms, or slightly increased apartment sizes.</w:t>
      </w:r>
      <w:r>
        <w:t xml:space="preserve"> </w:t>
      </w:r>
      <w:r>
        <w:t xml:space="preserve">- If a higher average apartment size is desired, reduce unit count accordingly.</w:t>
      </w:r>
    </w:p>
    <w:p>
      <w:pPr>
        <w:pStyle w:val="BodyText"/>
      </w:pPr>
      <w:r>
        <w:t xml:space="preserve">Appendix B — Typical apartment layouts (schematic descriptions)</w:t>
      </w:r>
      <w:r>
        <w:t xml:space="preserve"> </w:t>
      </w:r>
      <w:r>
        <w:t xml:space="preserve">- Type A (1BR, 50 m²): Open-plan living/kitchen with access to balcony (4–6 m²), bedroom with built-in wardrobe, bathroom with walk-in shower, storage cupboard on corridor.</w:t>
      </w:r>
      <w:r>
        <w:t xml:space="preserve"> </w:t>
      </w:r>
      <w:r>
        <w:t xml:space="preserve">- Type B (2BR, 75 m²): Central hallway with storage, L-shaped living/dining/kitchen opening to balcony, master bedroom with en-suite, second bedroom suitable for child/office, main bathroom, laundry cupboard.</w:t>
      </w:r>
      <w:r>
        <w:t xml:space="preserve"> </w:t>
      </w:r>
      <w:r>
        <w:t xml:space="preserve">- Type C (3BR, 95 m²): Larger living/dining area with generous balcony, kitchen with pantry, two bathrooms (one en-suite), three bedrooms with flexibility for home office, store room.</w:t>
      </w:r>
    </w:p>
    <w:p>
      <w:pPr>
        <w:pStyle w:val="BodyText"/>
      </w:pPr>
      <w:r>
        <w:t xml:space="preserve">Appendix C — Planning submission checklist (example)</w:t>
      </w:r>
      <w:r>
        <w:t xml:space="preserve"> </w:t>
      </w:r>
      <w:r>
        <w:t xml:space="preserve">- Site location plan (measure to scale)</w:t>
      </w:r>
      <w:r>
        <w:t xml:space="preserve"> </w:t>
      </w:r>
      <w:r>
        <w:t xml:space="preserve">- Existing and proposed site plans</w:t>
      </w:r>
      <w:r>
        <w:t xml:space="preserve"> </w:t>
      </w:r>
      <w:r>
        <w:t xml:space="preserve">- Floor plans (all levels)</w:t>
      </w:r>
      <w:r>
        <w:t xml:space="preserve"> </w:t>
      </w:r>
      <w:r>
        <w:t xml:space="preserve">- Elevations and sections</w:t>
      </w:r>
      <w:r>
        <w:t xml:space="preserve"> </w:t>
      </w:r>
      <w:r>
        <w:t xml:space="preserve">- Design &amp; access statement and material palette</w:t>
      </w:r>
      <w:r>
        <w:t xml:space="preserve"> </w:t>
      </w:r>
      <w:r>
        <w:t xml:space="preserve">- Daylight/sunlight and overshadowing analysis (if requested)</w:t>
      </w:r>
      <w:r>
        <w:t xml:space="preserve"> </w:t>
      </w:r>
      <w:r>
        <w:t xml:space="preserve">- Tree survey and landscaping proposals</w:t>
      </w:r>
      <w:r>
        <w:t xml:space="preserve"> </w:t>
      </w:r>
      <w:r>
        <w:t xml:space="preserve">- Noise impact assessment (if required)</w:t>
      </w:r>
      <w:r>
        <w:t xml:space="preserve"> </w:t>
      </w:r>
      <w:r>
        <w:t xml:space="preserve">- Energy concept &amp; GEG compliance note</w:t>
      </w:r>
      <w:r>
        <w:t xml:space="preserve"> </w:t>
      </w:r>
      <w:r>
        <w:t xml:space="preserve">- Fire strategy outline</w:t>
      </w:r>
    </w:p>
    <w:p>
      <w:pPr>
        <w:pStyle w:val="BodyText"/>
      </w:pPr>
      <w:r>
        <w:t xml:space="preserve">Appendix D — Contact list &amp; references</w:t>
      </w:r>
      <w:r>
        <w:t xml:space="preserve"> </w:t>
      </w:r>
      <w:r>
        <w:t xml:space="preserve">- Architecture lead: Oscar — Awesome Inc. (email / phone) [provide client-specific contact details]</w:t>
      </w:r>
      <w:r>
        <w:t xml:space="preserve"> </w:t>
      </w:r>
      <w:r>
        <w:t xml:space="preserve">- Recommended Quantity Surveyor: Baukosten GmbH — Contact: Frau Müller (email / phone)</w:t>
      </w:r>
      <w:r>
        <w:t xml:space="preserve"> </w:t>
      </w:r>
      <w:r>
        <w:t xml:space="preserve">- Recommended Geotechnical consultant: Geotech Büro Mayer — Contact: Herr Mayer (email / phone)</w:t>
      </w:r>
      <w:r>
        <w:t xml:space="preserve"> </w:t>
      </w:r>
      <w:r>
        <w:t xml:space="preserve">- Guidance documents: GEG (Gebäudeenergiegesetz), DIN 4109 (acoustic), DIN EN standards for glazing &amp; U-values, local Bauordnung and Bebauungsplan documentation.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Prepared by:</w:t>
      </w:r>
      <w:r>
        <w:br/>
      </w:r>
      <w:r>
        <w:t xml:space="preserve">Oscar — Architect, Awesome Inc.</w:t>
      </w:r>
    </w:p>
    <w:p>
      <w:pPr>
        <w:pStyle w:val="BodyText"/>
      </w:pPr>
      <w:r>
        <w:t xml:space="preserve">End of document.</w:t>
      </w:r>
    </w:p>
    <w:p>
      <w:pPr>
        <w:pStyle w:val="BodyText"/>
      </w:pPr>
      <w:r>
        <w:t xml:space="preserve">If you would like, I can:</w:t>
      </w:r>
      <w:r>
        <w:t xml:space="preserve"> </w:t>
      </w:r>
      <w:r>
        <w:t xml:space="preserve">- Convert the area schedule into a downloadable spreadsheet (CSV/XLSX) with unit-by-unit data.</w:t>
      </w:r>
      <w:r>
        <w:t xml:space="preserve"> </w:t>
      </w:r>
      <w:r>
        <w:t xml:space="preserve">- Produce two alternative detailed unit-mix options with corresponding updated cost and programme implications.</w:t>
      </w:r>
      <w:r>
        <w:t xml:space="preserve"> </w:t>
      </w:r>
      <w:r>
        <w:t xml:space="preserve">- Prepare an annotated pre-application pack for the local planning authority including a short design &amp; access statement and massing images.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2025-10-29T21:32:24Z</dcterms:created>
  <dcterms:modified xsi:type="dcterms:W3CDTF">2025-10-29T21:32:24Z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