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proposal defines a modular, sustainable approach for a standard-apartment product that prospective buyers can configure from a set of pre-defined options. The objective is to deliver high-quality, functional apartments with predictable cost and accelerated delivery times by combining standardization, selective prefabrication, and pragmatic design choices. The approach balances speed-to-market, cost certainty, occupant comfort, and environmental performance suitable for a typical German urban infill site.</w:t>
      </w:r>
    </w:p>
    <w:p>
      <w:pPr>
        <w:pStyle w:val="BodyText"/>
      </w:pPr>
      <w:r>
        <w:t xml:space="preserve">This document expands the initial outline into a full project concept and delivery guide. It contains:</w:t>
      </w:r>
      <w:r>
        <w:t xml:space="preserve"> </w:t>
      </w:r>
      <w:r>
        <w:t xml:space="preserve">- Project basis, detailed assumptions and inputs used for the worked cost examples.</w:t>
      </w:r>
      <w:r>
        <w:t xml:space="preserve"> </w:t>
      </w:r>
      <w:r>
        <w:t xml:space="preserve">- Expanded design concept and architectural rationale, including spatial standards and buyer configuration approach.</w:t>
      </w:r>
      <w:r>
        <w:t xml:space="preserve"> </w:t>
      </w:r>
      <w:r>
        <w:t xml:space="preserve">- Detailed typical unit types with sample layouts, furniture/area planning guidance and options catalogue.</w:t>
      </w:r>
      <w:r>
        <w:t xml:space="preserve"> </w:t>
      </w:r>
      <w:r>
        <w:t xml:space="preserve">- A thorough materials, sustainability and life-cycle strategy with numeric targets (where feasible).</w:t>
      </w:r>
      <w:r>
        <w:t xml:space="preserve"> </w:t>
      </w:r>
      <w:r>
        <w:t xml:space="preserve">- Technical design outline covering structure, foundations, fire strategy, acoustic targets, and MEP concept-level sizing and distribution.</w:t>
      </w:r>
      <w:r>
        <w:t xml:space="preserve"> </w:t>
      </w:r>
      <w:r>
        <w:t xml:space="preserve">- Detailed cost analysis with an extended worked example for a 2,000 m² GFA building (25 units), elemental cost breakdown tables and sensitivity analysis across three cost scenarios.</w:t>
      </w:r>
      <w:r>
        <w:t xml:space="preserve"> </w:t>
      </w:r>
      <w:r>
        <w:t xml:space="preserve">- Procurement, construction and delivery timeline with typical durations and dependencies; a Gantt-style milestone table.</w:t>
      </w:r>
      <w:r>
        <w:t xml:space="preserve"> </w:t>
      </w:r>
      <w:r>
        <w:t xml:space="preserve">- Roles &amp; responsibilities matrix for key project participants.</w:t>
      </w:r>
      <w:r>
        <w:t xml:space="preserve"> </w:t>
      </w:r>
      <w:r>
        <w:t xml:space="preserve">- Practical cost-reduction strategies, risk register and mitigation actions.</w:t>
      </w:r>
      <w:r>
        <w:t xml:space="preserve"> </w:t>
      </w:r>
      <w:r>
        <w:t xml:space="preserve">- Recommendations and prioritized next steps.</w:t>
      </w:r>
      <w:r>
        <w:t xml:space="preserve"> </w:t>
      </w:r>
      <w:r>
        <w:t xml:space="preserve">- Appendices: specification samples for kitchens/bathrooms, glossary of terms, and references to German regulatory drivers to consider.</w:t>
      </w:r>
    </w:p>
    <w:p>
      <w:pPr>
        <w:pStyle w:val="BodyText"/>
      </w:pPr>
      <w:r>
        <w:t xml:space="preserve">Intended audience: client/developer considering a standardised modular apartment product; lead designer (Oscar / Awesome Inc.); interior consultant (Anna); appointed QS, structural and MEP engineers; and potential contractors experienced in timber/modular construction.</w:t>
      </w:r>
    </w:p>
    <w:p>
      <w:r>
        <w:pict>
          <v:rect style="width:0;height:1.5pt" o:hralign="center" o:hrstd="t" o:hr="t"/>
        </w:pict>
      </w:r>
    </w:p>
    <w:bookmarkStart w:id="20" w:name="assumptions-project-basis-expanded"/>
    <w:p>
      <w:pPr>
        <w:pStyle w:val="Heading2"/>
      </w:pPr>
      <w:r>
        <w:t xml:space="preserve">1. Assumptions &amp; Project Basis (expanded)</w:t>
      </w:r>
    </w:p>
    <w:p>
      <w:pPr>
        <w:pStyle w:val="FirstParagraph"/>
      </w:pPr>
      <w:r>
        <w:t xml:space="preserve">This scheme is based on a representative example project to make costs and program illustrative and actionable. All figures and targets are preliminary and intended to support early decisions. Final figures must be validated by a QS, engineers and statutory authorities.</w:t>
      </w:r>
    </w:p>
    <w:p>
      <w:pPr>
        <w:pStyle w:val="BodyText"/>
      </w:pPr>
      <w:r>
        <w:t xml:space="preserve">Project baseline</w:t>
      </w:r>
      <w:r>
        <w:t xml:space="preserve"> </w:t>
      </w:r>
      <w:r>
        <w:t xml:space="preserve">- Site typology: inner-urban infill plot with good road access, municipal services available within 50–100 m. Typical German municipality planning framework (local land-use plan / Bebauungsplan to be confirmed).</w:t>
      </w:r>
      <w:r>
        <w:t xml:space="preserve"> </w:t>
      </w:r>
      <w:r>
        <w:t xml:space="preserve">- Building size (example): 2,000 m² Gross Floor Area (GFA) across 5 above-ground storeys (+ possible set-back roof plant area).</w:t>
      </w:r>
      <w:r>
        <w:t xml:space="preserve"> </w:t>
      </w:r>
      <w:r>
        <w:t xml:space="preserve">- Typical unit count: 25 apartments (mix sorted approximately to achieve target average net area per unit).</w:t>
      </w:r>
      <w:r>
        <w:t xml:space="preserve"> </w:t>
      </w:r>
      <w:r>
        <w:t xml:space="preserve">- Unit average net area: approx. 70–85 m² (ranges by type; layout dependent).</w:t>
      </w:r>
      <w:r>
        <w:t xml:space="preserve"> </w:t>
      </w:r>
      <w:r>
        <w:t xml:space="preserve">- Floor-to-floor height (typical): 2.85–3.10 m in main stacks; ground floor may be 3.3–3.6 m to accommodate lobby/possible retail.</w:t>
      </w:r>
      <w:r>
        <w:t xml:space="preserve"> </w:t>
      </w:r>
      <w:r>
        <w:t xml:space="preserve">- Quality target: mid-range finishes as baseline; upgrade options to premium sustainable finishes available to buyers.</w:t>
      </w:r>
      <w:r>
        <w:t xml:space="preserve"> </w:t>
      </w:r>
      <w:r>
        <w:t xml:space="preserve">- Delivery target: practical completion within 12–18 months from mobilisation (modular share dependent).</w:t>
      </w:r>
      <w:r>
        <w:t xml:space="preserve"> </w:t>
      </w:r>
      <w:r>
        <w:t xml:space="preserve">- Cost basis: hard construction costs only (building works). Excludes land, VAT, financing, major external infrastructure beyond normal connection fees. Contingency, professional fees and risk allowances presented separately.</w:t>
      </w:r>
      <w:r>
        <w:t xml:space="preserve"> </w:t>
      </w:r>
      <w:r>
        <w:t xml:space="preserve">- Regulatory compliance: the design will target compliance with applicable German building regulations (Bauordnung des jeweiligen Bundeslandes), Energieeinsparverordnung/EEG-derived targets, and local fire safety requirements. Final compliance checks and approvals occur during Detailed Design/permit stage by local consultants and authorities.</w:t>
      </w:r>
    </w:p>
    <w:p>
      <w:pPr>
        <w:pStyle w:val="BodyText"/>
      </w:pPr>
      <w:r>
        <w:t xml:space="preserve">Key site / programme unknowns to be resolved early</w:t>
      </w:r>
      <w:r>
        <w:t xml:space="preserve"> </w:t>
      </w:r>
      <w:r>
        <w:t xml:space="preserve">- Plot geometry, orientation and setback requirements (for daylight &amp; solar PV).</w:t>
      </w:r>
      <w:r>
        <w:t xml:space="preserve"> </w:t>
      </w:r>
      <w:r>
        <w:t xml:space="preserve">- Parking requirement (on-plot or off-site), access for deliveries and module crane setup.</w:t>
      </w:r>
      <w:r>
        <w:t xml:space="preserve"> </w:t>
      </w:r>
      <w:r>
        <w:t xml:space="preserve">- Ground conditions: geotechnical report required to confirm shallow foundations vs. pile requirements.</w:t>
      </w:r>
      <w:r>
        <w:t xml:space="preserve"> </w:t>
      </w:r>
      <w:r>
        <w:t xml:space="preserve">- Local energy/incentive regulations (e.g., requirements for PV, connection to district heating or heat pumps).</w:t>
      </w:r>
      <w:r>
        <w:t xml:space="preserve"> </w:t>
      </w:r>
      <w:r>
        <w:t xml:space="preserve">- Permitted building heights and façade treatment constraints.</w:t>
      </w:r>
    </w:p>
    <w:p>
      <w:pPr>
        <w:pStyle w:val="BodyText"/>
      </w:pPr>
      <w:r>
        <w:t xml:space="preserve">Data sources and inflation assumption</w:t>
      </w:r>
      <w:r>
        <w:t xml:space="preserve"> </w:t>
      </w:r>
      <w:r>
        <w:t xml:space="preserve">- Preliminary cost bands referenced to typical German market conditions (2023–2025). Client should expect inflation and supply-chain changes. For budgeting, include a procurement/inflation allowance (e.g., 3–5% per year if procurement window extends beyond 12 months).</w:t>
      </w:r>
    </w:p>
    <w:p>
      <w:r>
        <w:pict>
          <v:rect style="width:0;height:1.5pt" o:hralign="center" o:hrstd="t" o:hr="t"/>
        </w:pict>
      </w:r>
    </w:p>
    <w:bookmarkEnd w:id="20"/>
    <w:bookmarkStart w:id="21" w:name="design-concept-rationale-detailed"/>
    <w:p>
      <w:pPr>
        <w:pStyle w:val="Heading2"/>
      </w:pPr>
      <w:r>
        <w:t xml:space="preserve">2. Design Concept &amp; Rationale (detailed)</w:t>
      </w:r>
    </w:p>
    <w:p>
      <w:pPr>
        <w:pStyle w:val="FirstParagraph"/>
      </w:pPr>
      <w:r>
        <w:t xml:space="preserve">Design Principles</w:t>
      </w:r>
      <w:r>
        <w:t xml:space="preserve"> </w:t>
      </w:r>
      <w:r>
        <w:t xml:space="preserve">- Standardization: adopt a limited catalogue of repeatable elements (kitchens, bathrooms, joinery, balconies, parapets, MEP risers) to enable volume procurement, faster approvals and predictable quality.</w:t>
      </w:r>
      <w:r>
        <w:t xml:space="preserve"> </w:t>
      </w:r>
      <w:r>
        <w:t xml:space="preserve">- Modularity: use prefabricated volumetric modules (full apartment modules and element-based modules such as sanitary pods) to reduce onsite labour and accelerate schedule.</w:t>
      </w:r>
      <w:r>
        <w:t xml:space="preserve"> </w:t>
      </w:r>
      <w:r>
        <w:t xml:space="preserve">- Hybrid structure: combine timber modules for superstructure with a reinforced concrete (RC) core for vertical circulation and lateral stability to achieve structural robustness, fire safety and efficient construction sequencing.</w:t>
      </w:r>
      <w:r>
        <w:t xml:space="preserve"> </w:t>
      </w:r>
      <w:r>
        <w:t xml:space="preserve">- Flexibility and configurability: create 3–5 standardized module footprints that can be combined to create different unit sizes/configurations. This supports buyer choice while preserving manufacturing economies.</w:t>
      </w:r>
      <w:r>
        <w:t xml:space="preserve"> </w:t>
      </w:r>
      <w:r>
        <w:t xml:space="preserve">- Sustainability: prioritize embodied carbon reduction (timber where feasible), operational efficiency (heat pumps, MVHR), and provision for onsite renewables (PV).</w:t>
      </w:r>
      <w:r>
        <w:t xml:space="preserve"> </w:t>
      </w:r>
      <w:r>
        <w:t xml:space="preserve">- Human-centred design: good daylight, cross-ventilation options, balconies and integrated planting to improve occupant well-being.</w:t>
      </w:r>
    </w:p>
    <w:p>
      <w:pPr>
        <w:pStyle w:val="BodyText"/>
      </w:pPr>
      <w:r>
        <w:t xml:space="preserve">Architectural language</w:t>
      </w:r>
      <w:r>
        <w:t xml:space="preserve"> </w:t>
      </w:r>
      <w:r>
        <w:t xml:space="preserve">- Clean modernist proportions with generous fenestration and clear expression of terraces/balconies.</w:t>
      </w:r>
      <w:r>
        <w:t xml:space="preserve"> </w:t>
      </w:r>
      <w:r>
        <w:t xml:space="preserve">- Durable, low-maintenance materials on primary facades (e.g., brick slips or fibre-cement rainscreen) and timber expression on balconies or screens where permitted.</w:t>
      </w:r>
      <w:r>
        <w:t xml:space="preserve"> </w:t>
      </w:r>
      <w:r>
        <w:t xml:space="preserve">- Ground-floor active frontage (where relevant) with enhanced access and accessibility features.</w:t>
      </w:r>
    </w:p>
    <w:p>
      <w:pPr>
        <w:pStyle w:val="BodyText"/>
      </w:pPr>
      <w:r>
        <w:t xml:space="preserve">Module sizing and assembly logic</w:t>
      </w:r>
      <w:r>
        <w:t xml:space="preserve"> </w:t>
      </w:r>
      <w:r>
        <w:t xml:space="preserve">- Standard volumetric module widths: 3.0 m, 3.6 m and 4.2 m (examples) to align with structural spans and standard timber panel widths; module depths typically 6.0–8.0 m depending on plan.</w:t>
      </w:r>
      <w:r>
        <w:t xml:space="preserve"> </w:t>
      </w:r>
      <w:r>
        <w:t xml:space="preserve">- Inter-module connection detail: mechanical fixings, service junction boxes at module interfaces, continuity of airtightness via perimeter gaskets and external membranes.</w:t>
      </w:r>
      <w:r>
        <w:t xml:space="preserve"> </w:t>
      </w:r>
      <w:r>
        <w:t xml:space="preserve">- Standard vertical service corridor: a centralised riser per 2–3 module stacks to minimise distribution runs.</w:t>
      </w:r>
    </w:p>
    <w:p>
      <w:pPr>
        <w:pStyle w:val="BodyText"/>
      </w:pPr>
      <w:r>
        <w:t xml:space="preserve">Balconies &amp; outdoors</w:t>
      </w:r>
      <w:r>
        <w:t xml:space="preserve"> </w:t>
      </w:r>
      <w:r>
        <w:t xml:space="preserve">- Provide at least one private outdoor space per unit (balcony or loggia). Typical area: 4–8 m² depending on unit type.</w:t>
      </w:r>
      <w:r>
        <w:t xml:space="preserve"> </w:t>
      </w:r>
      <w:r>
        <w:t xml:space="preserve">- Integrated planter boxes / green screens to improve biophilia and aid shading.</w:t>
      </w:r>
    </w:p>
    <w:p>
      <w:pPr>
        <w:pStyle w:val="BodyText"/>
      </w:pPr>
      <w:r>
        <w:t xml:space="preserve">Buyer configurability</w:t>
      </w:r>
      <w:r>
        <w:t xml:space="preserve"> </w:t>
      </w:r>
      <w:r>
        <w:t xml:space="preserve">- Pre-defined options catalogue: each buyer chooses one package from kitchen, bathroom, flooring, and a small range of appliance/fixture upgrades. Major plan changes not permitted once module is manufactured.</w:t>
      </w:r>
      <w:r>
        <w:t xml:space="preserve"> </w:t>
      </w:r>
      <w:r>
        <w:t xml:space="preserve">- Upgrade windows to slightly larger units at specified positions within module grid (if chosen early).</w:t>
      </w:r>
      <w:r>
        <w:t xml:space="preserve"> </w:t>
      </w:r>
      <w:r>
        <w:t xml:space="preserve">- Allow limited personalization items (colour, cabinetry handles, optional skylight in top-floor duplexes).</w:t>
      </w:r>
    </w:p>
    <w:p>
      <w:r>
        <w:pict>
          <v:rect style="width:0;height:1.5pt" o:hralign="center" o:hrstd="t" o:hr="t"/>
        </w:pict>
      </w:r>
    </w:p>
    <w:bookmarkEnd w:id="21"/>
    <w:bookmarkStart w:id="22" w:name="Xbeef39222f87d707122d0d1323b078946736798"/>
    <w:p>
      <w:pPr>
        <w:pStyle w:val="Heading2"/>
      </w:pPr>
      <w:r>
        <w:t xml:space="preserve">3. Typical Unit Types (expanded with planning guidance)</w:t>
      </w:r>
    </w:p>
    <w:p>
      <w:pPr>
        <w:pStyle w:val="FirstParagraph"/>
      </w:pPr>
      <w:r>
        <w:t xml:space="preserve">The standard unit catalogue supports a predictable product but allows limited configurability. Shown below are sample units with area guidance, spatial layout notes and suggested furniture arrangements.</w:t>
      </w:r>
    </w:p>
    <w:p>
      <w:pPr>
        <w:pStyle w:val="BodyText"/>
      </w:pPr>
      <w:r>
        <w:t xml:space="preserve">Unit types (examples)</w:t>
      </w:r>
      <w:r>
        <w:t xml:space="preserve"> </w:t>
      </w:r>
      <w:r>
        <w:t xml:space="preserve">- Type A — 1BR Apartment</w:t>
      </w:r>
      <w:r>
        <w:t xml:space="preserve"> </w:t>
      </w:r>
      <w:r>
        <w:t xml:space="preserve">- Typical net area: 50–60 m² (illustrative: 55 m²)</w:t>
      </w:r>
      <w:r>
        <w:t xml:space="preserve"> </w:t>
      </w:r>
      <w:r>
        <w:t xml:space="preserve">- Layout: open plan living + kitchen, bedroom, bathroom, storage/utility, balcony (4–6 m²).</w:t>
      </w:r>
      <w:r>
        <w:t xml:space="preserve"> </w:t>
      </w:r>
      <w:r>
        <w:t xml:space="preserve">- Planning notes: kitchen along one wall or L-shape; living area minimum 3.4 m clear width to allow 2.7 m sofa + circulation; bedroom with 1.7 m wardrobe depth.</w:t>
      </w:r>
    </w:p>
    <w:p>
      <w:pPr>
        <w:pStyle w:val="Compact"/>
        <w:numPr>
          <w:ilvl w:val="0"/>
          <w:numId w:val="1001"/>
        </w:numPr>
      </w:pPr>
      <w:r>
        <w:t xml:space="preserve">Type B — 2BR Apartment</w:t>
      </w:r>
    </w:p>
    <w:p>
      <w:pPr>
        <w:pStyle w:val="Compact"/>
        <w:numPr>
          <w:ilvl w:val="0"/>
          <w:numId w:val="1001"/>
        </w:numPr>
      </w:pPr>
      <w:r>
        <w:t xml:space="preserve">Typical net area: 72–82 m² (illustrative: 78 m²)</w:t>
      </w:r>
    </w:p>
    <w:p>
      <w:pPr>
        <w:pStyle w:val="Compact"/>
        <w:numPr>
          <w:ilvl w:val="0"/>
          <w:numId w:val="1001"/>
        </w:numPr>
      </w:pPr>
      <w:r>
        <w:t xml:space="preserve">Layout: living/kitchen, two bedrooms (one en-suite or second as study), family bathroom, utility/storage, balcony (5–7 m²).</w:t>
      </w:r>
    </w:p>
    <w:p>
      <w:pPr>
        <w:numPr>
          <w:ilvl w:val="0"/>
          <w:numId w:val="1001"/>
        </w:numPr>
      </w:pPr>
      <w:r>
        <w:t xml:space="preserve">Planning notes: master bedroom around 12–14 m² to allow wardrobe + double bed; second bedroom 9–11 m².</w:t>
      </w:r>
    </w:p>
    <w:p>
      <w:pPr>
        <w:numPr>
          <w:ilvl w:val="0"/>
          <w:numId w:val="1001"/>
        </w:numPr>
      </w:pPr>
      <w:r>
        <w:t xml:space="preserve">Type C — 3BR Apartment</w:t>
      </w:r>
    </w:p>
    <w:p>
      <w:pPr>
        <w:pStyle w:val="Compact"/>
        <w:numPr>
          <w:ilvl w:val="0"/>
          <w:numId w:val="1001"/>
        </w:numPr>
      </w:pPr>
      <w:r>
        <w:t xml:space="preserve">Typical net area: 90–100 m² (illustrative: 95 m²)</w:t>
      </w:r>
    </w:p>
    <w:p>
      <w:pPr>
        <w:pStyle w:val="Compact"/>
        <w:numPr>
          <w:ilvl w:val="0"/>
          <w:numId w:val="1001"/>
        </w:numPr>
      </w:pPr>
      <w:r>
        <w:t xml:space="preserve">Layout: living/kitchen, three bedrooms or 2BR + study, two bathrooms, storage, balcony (6–8 m²).</w:t>
      </w:r>
    </w:p>
    <w:p>
      <w:pPr>
        <w:pStyle w:val="Compact"/>
        <w:numPr>
          <w:ilvl w:val="0"/>
          <w:numId w:val="1001"/>
        </w:numPr>
      </w:pPr>
      <w:r>
        <w:t xml:space="preserve">Planning notes: provide separation of sleeping zone from living area for acoustic privacy; envisage space for dining table for 4–6 people.</w:t>
      </w:r>
    </w:p>
    <w:p>
      <w:pPr>
        <w:pStyle w:val="FirstParagraph"/>
      </w:pPr>
      <w:r>
        <w:t xml:space="preserve">Area schedule example (2,000 m² GFA building)</w:t>
      </w:r>
      <w:r>
        <w:t xml:space="preserve"> </w:t>
      </w:r>
      <w:r>
        <w:t xml:space="preserve">- Ground floor: communal circulation, lobby, plantroom, possibly 1–2 accessible units.</w:t>
      </w:r>
      <w:r>
        <w:t xml:space="preserve"> </w:t>
      </w:r>
      <w:r>
        <w:t xml:space="preserve">- Typical upper floors: 5 storeys with 5 units per typical floor (example yield = 25 units).</w:t>
      </w:r>
      <w:r>
        <w:t xml:space="preserve"> </w:t>
      </w:r>
      <w:r>
        <w:t xml:space="preserve">- Net-to-gross efficiency target: 80–85% (depends on core size and external walls).</w:t>
      </w:r>
    </w:p>
    <w:p>
      <w:pPr>
        <w:pStyle w:val="BodyText"/>
      </w:pPr>
      <w:r>
        <w:t xml:space="preserve">Furniture and accessibility guidance</w:t>
      </w:r>
      <w:r>
        <w:t xml:space="preserve"> </w:t>
      </w:r>
      <w:r>
        <w:t xml:space="preserve">- Minimum clear door opening 90 cm for accessible units; 1.5 m turning circle in principal rooms for accessible apartments.</w:t>
      </w:r>
      <w:r>
        <w:t xml:space="preserve"> </w:t>
      </w:r>
      <w:r>
        <w:t xml:space="preserve">- Kitchen workspace: 60–90 cm working clearance between countertop and cabinetry; accessible kitchen option with adjustable-height counters.</w:t>
      </w:r>
    </w:p>
    <w:p>
      <w:pPr>
        <w:pStyle w:val="BodyText"/>
      </w:pPr>
      <w:r>
        <w:t xml:space="preserve">Standard elements (expanded)</w:t>
      </w:r>
      <w:r>
        <w:t xml:space="preserve"> </w:t>
      </w:r>
      <w:r>
        <w:t xml:space="preserve">- Kitchen package (baseline):</w:t>
      </w:r>
      <w:r>
        <w:t xml:space="preserve"> </w:t>
      </w:r>
      <w:r>
        <w:t xml:space="preserve">- Modular units, closed base and wall units.</w:t>
      </w:r>
      <w:r>
        <w:t xml:space="preserve"> </w:t>
      </w:r>
      <w:r>
        <w:t xml:space="preserve">- Laminate worktop (HPL) with 40 mm profile; option to upgrade to quartz or stone (+€2,500–€6,000).</w:t>
      </w:r>
      <w:r>
        <w:t xml:space="preserve"> </w:t>
      </w:r>
      <w:r>
        <w:t xml:space="preserve">- Semi-integrated refrigerator (under-counter for 1BR; freestanding 60 cm for 2BR+).</w:t>
      </w:r>
      <w:r>
        <w:t xml:space="preserve"> </w:t>
      </w:r>
      <w:r>
        <w:t xml:space="preserve">- Induction hob, 60 cm oven, integrated dishwasher (baseline mid-range).</w:t>
      </w:r>
      <w:r>
        <w:t xml:space="preserve"> </w:t>
      </w:r>
      <w:r>
        <w:t xml:space="preserve">- Warranty: 2–5 years for appliances, 10 years manufacturer defects for cabinetry (vendor-dependent).</w:t>
      </w:r>
      <w:r>
        <w:t xml:space="preserve"> </w:t>
      </w:r>
      <w:r>
        <w:t xml:space="preserve">- Bathroom package:</w:t>
      </w:r>
      <w:r>
        <w:t xml:space="preserve"> </w:t>
      </w:r>
      <w:r>
        <w:t xml:space="preserve">- Prefabricated sanitary pod or wet-room-ready panel system with factory-sealed junctions.</w:t>
      </w:r>
      <w:r>
        <w:t xml:space="preserve"> </w:t>
      </w:r>
      <w:r>
        <w:t xml:space="preserve">- Medium-spec fittings (wall-hung WC, basin with mixer, thermostatic shower).</w:t>
      </w:r>
      <w:r>
        <w:t xml:space="preserve"> </w:t>
      </w:r>
      <w:r>
        <w:t xml:space="preserve">- Ceramic wall tiles to full height in wet zones; vinyl threshold and waterproofing in pod.</w:t>
      </w:r>
      <w:r>
        <w:t xml:space="preserve"> </w:t>
      </w:r>
      <w:r>
        <w:t xml:space="preserve">- Option: premium sanitaryware and towel warmers (+€1,200–€3,500).</w:t>
      </w:r>
      <w:r>
        <w:t xml:space="preserve"> </w:t>
      </w:r>
      <w:r>
        <w:t xml:space="preserve">- Internal finishes:</w:t>
      </w:r>
      <w:r>
        <w:t xml:space="preserve"> </w:t>
      </w:r>
      <w:r>
        <w:t xml:space="preserve">- Walls: gypsum plasterboard, painted (silk/matt, neutral palette).</w:t>
      </w:r>
      <w:r>
        <w:t xml:space="preserve"> </w:t>
      </w:r>
      <w:r>
        <w:t xml:space="preserve">- Floors: oak-effect vinyl plank (living areas) with 2.5 mm wear layer; ceramic tile in wet areas.</w:t>
      </w:r>
      <w:r>
        <w:t xml:space="preserve"> </w:t>
      </w:r>
      <w:r>
        <w:t xml:space="preserve">- Internal doors: flush white doors 2040 mm high; acoustic seals to main doors.</w:t>
      </w:r>
      <w:r>
        <w:t xml:space="preserve"> </w:t>
      </w:r>
      <w:r>
        <w:t xml:space="preserve">- Windows:</w:t>
      </w:r>
      <w:r>
        <w:t xml:space="preserve"> </w:t>
      </w:r>
      <w:r>
        <w:t xml:space="preserve">- Triple-glazed, thermally broken aluminium or timber-aluminium frames.</w:t>
      </w:r>
      <w:r>
        <w:t xml:space="preserve"> </w:t>
      </w:r>
      <w:r>
        <w:t xml:space="preserve">- U-values target: ≤ 0.8–1.1 W/(m²K) depending on facade strategy (final values to match local energy targets).</w:t>
      </w:r>
      <w:r>
        <w:t xml:space="preserve"> </w:t>
      </w:r>
      <w:r>
        <w:t xml:space="preserve">- Glazing ratio: aim 30–35% of primary façades for daylight while managing overheating with shading strategies.</w:t>
      </w:r>
    </w:p>
    <w:p>
      <w:r>
        <w:pict>
          <v:rect style="width:0;height:1.5pt" o:hralign="center" o:hrstd="t" o:hr="t"/>
        </w:pict>
      </w:r>
    </w:p>
    <w:bookmarkEnd w:id="22"/>
    <w:bookmarkStart w:id="23" w:name="X7aa99df3c2ed4c1f29c814f6406da620e91df2d"/>
    <w:p>
      <w:pPr>
        <w:pStyle w:val="Heading2"/>
      </w:pPr>
      <w:r>
        <w:t xml:space="preserve">4. Materials &amp; Sustainability Measures (detailed)</w:t>
      </w:r>
    </w:p>
    <w:p>
      <w:pPr>
        <w:pStyle w:val="FirstParagraph"/>
      </w:pPr>
      <w:r>
        <w:t xml:space="preserve">Sustainability is approached across embodied carbon, operational energy, water use, materials, and end-of-life considerations.</w:t>
      </w:r>
    </w:p>
    <w:p>
      <w:pPr>
        <w:pStyle w:val="BodyText"/>
      </w:pPr>
      <w:r>
        <w:t xml:space="preserve">Primary structure</w:t>
      </w:r>
      <w:r>
        <w:t xml:space="preserve"> </w:t>
      </w:r>
      <w:r>
        <w:t xml:space="preserve">- Superstructure: cross-laminated timber (CLT) or engineered timber modules where permitted by local codes.</w:t>
      </w:r>
      <w:r>
        <w:t xml:space="preserve"> </w:t>
      </w:r>
      <w:r>
        <w:t xml:space="preserve">- Benefits: lower embodied carbon relative to reinforced concrete, faster onsite erection, predictable factory-controlled quality.</w:t>
      </w:r>
      <w:r>
        <w:t xml:space="preserve"> </w:t>
      </w:r>
      <w:r>
        <w:t xml:space="preserve">- Considerations: acoustics between apartments (require floating floors, resilient mounts), fire protection (encapsulation or intumescent coatings), and moisture management.</w:t>
      </w:r>
      <w:r>
        <w:t xml:space="preserve"> </w:t>
      </w:r>
      <w:r>
        <w:t xml:space="preserve">- Core and base: reinforced concrete core (stair/elevator) and ground-floor transfer where heavy loads or basement adjacent structures are required.</w:t>
      </w:r>
    </w:p>
    <w:p>
      <w:pPr>
        <w:pStyle w:val="BodyText"/>
      </w:pPr>
      <w:r>
        <w:t xml:space="preserve">Envelope &amp; thermal performance</w:t>
      </w:r>
      <w:r>
        <w:t xml:space="preserve"> </w:t>
      </w:r>
      <w:r>
        <w:t xml:space="preserve">- Continuous external insulation (e.g., external EPS or mineral wool with a rainscreen façade) or insulated timber frame panel with vapour-open membranes as appropriate.</w:t>
      </w:r>
      <w:r>
        <w:t xml:space="preserve"> </w:t>
      </w:r>
      <w:r>
        <w:t xml:space="preserve">- Airtightness target: ≤ 1.0 ACH@50Pa (aim for 0.6–0.8 for higher-performance options). Design for testability and commissioning of airtightness.</w:t>
      </w:r>
      <w:r>
        <w:t xml:space="preserve"> </w:t>
      </w:r>
      <w:r>
        <w:t xml:space="preserve">- Thermal bridging: design continuous cavity and detail junctions with thermal bridge free connectors or insulation boxes.</w:t>
      </w:r>
    </w:p>
    <w:p>
      <w:pPr>
        <w:pStyle w:val="BodyText"/>
      </w:pPr>
      <w:r>
        <w:t xml:space="preserve">Renewables &amp; energy strategy</w:t>
      </w:r>
      <w:r>
        <w:t xml:space="preserve"> </w:t>
      </w:r>
      <w:r>
        <w:t xml:space="preserve">- Heating: air-source heat pumps as baseline; ground-source heat pumps considered where borehole feasibility and economics justify (site dependent).</w:t>
      </w:r>
      <w:r>
        <w:t xml:space="preserve"> </w:t>
      </w:r>
      <w:r>
        <w:t xml:space="preserve">- Ventilation: centralized or decentralized MVHR system with heat recovery (target sensible recovery efficiency ≥ 75–85%).</w:t>
      </w:r>
      <w:r>
        <w:t xml:space="preserve"> </w:t>
      </w:r>
      <w:r>
        <w:t xml:space="preserve">- Domestic hot water: heat-pump-based DHW cylinders sized per unit or centralised DHW store with plate heat exchanger and pump distribution.</w:t>
      </w:r>
      <w:r>
        <w:t xml:space="preserve"> </w:t>
      </w:r>
      <w:r>
        <w:t xml:space="preserve">- PV readiness: design roofs with structure, load allowance and conduit routes; baseline allowance for 10–20 kWp depending on roof area (example for 2,000 m² GFA, approx. 25–40 kWp).</w:t>
      </w:r>
      <w:r>
        <w:t xml:space="preserve"> </w:t>
      </w:r>
      <w:r>
        <w:t xml:space="preserve">- Smart meter &amp; load management: provision for sub-metering per apartment and basic load management for PV export/charging.</w:t>
      </w:r>
    </w:p>
    <w:p>
      <w:pPr>
        <w:pStyle w:val="BodyText"/>
      </w:pPr>
      <w:r>
        <w:t xml:space="preserve">Water &amp; waste</w:t>
      </w:r>
      <w:r>
        <w:t xml:space="preserve"> </w:t>
      </w:r>
      <w:r>
        <w:t xml:space="preserve">- Low-flow sanitary fittings: flow restrictors, dual-flush toilets to reduce consumption by 20–30% vs conventional fixtures.</w:t>
      </w:r>
      <w:r>
        <w:t xml:space="preserve"> </w:t>
      </w:r>
      <w:r>
        <w:t xml:space="preserve">- Greywater reuse: optional greywater system for irrigation and toilet flushing where allowed; typical payback depends on local water tariffs.</w:t>
      </w:r>
      <w:r>
        <w:t xml:space="preserve"> </w:t>
      </w:r>
      <w:r>
        <w:t xml:space="preserve">- Waste handling: designated space at ground level for separated waste streams, bulky waste collection point and bicycle storage.</w:t>
      </w:r>
    </w:p>
    <w:p>
      <w:pPr>
        <w:pStyle w:val="BodyText"/>
      </w:pPr>
      <w:r>
        <w:t xml:space="preserve">Embodied carbon &amp; certification</w:t>
      </w:r>
      <w:r>
        <w:t xml:space="preserve"> </w:t>
      </w:r>
      <w:r>
        <w:t xml:space="preserve">- Aim to reduce embodied carbon through timber selection, recycled content in concrete and low-impact finishes.</w:t>
      </w:r>
      <w:r>
        <w:t xml:space="preserve"> </w:t>
      </w:r>
      <w:r>
        <w:t xml:space="preserve">- Certification possibilities: DGNB (German Sustainable Building Council), BNB (BewertungsSystem Nachhaltiges Bauen) or a client-selected international scheme. Certification adds cost for documentation, additional design and commissioning work; budget add-on typically 0.5–1.5% of construction cost for process costs (plus any performance-driven premiums).</w:t>
      </w:r>
    </w:p>
    <w:p>
      <w:pPr>
        <w:pStyle w:val="BodyText"/>
      </w:pPr>
      <w:r>
        <w:t xml:space="preserve">Durability &amp; maintenance</w:t>
      </w:r>
      <w:r>
        <w:t xml:space="preserve"> </w:t>
      </w:r>
      <w:r>
        <w:t xml:space="preserve">- Use robust outdoor materials for balconies/terraces with design life of 30–50 years.</w:t>
      </w:r>
      <w:r>
        <w:t xml:space="preserve"> </w:t>
      </w:r>
      <w:r>
        <w:t xml:space="preserve">- Choose maintenance-friendly finishes and create clear maintenance schedules for MVHR filters, heat pump services, and façade inspections.</w:t>
      </w:r>
    </w:p>
    <w:p>
      <w:pPr>
        <w:pStyle w:val="BodyText"/>
      </w:pPr>
      <w:r>
        <w:t xml:space="preserve">Lifecycle cost approach</w:t>
      </w:r>
      <w:r>
        <w:t xml:space="preserve"> </w:t>
      </w:r>
      <w:r>
        <w:t xml:space="preserve">- Present both First Cost (capex) and 10–30 year operational cost scenarios to client; small additional investments in building envelope or PV typically provide faster payback in high energy price environments.</w:t>
      </w:r>
    </w:p>
    <w:p>
      <w:r>
        <w:pict>
          <v:rect style="width:0;height:1.5pt" o:hralign="center" o:hrstd="t" o:hr="t"/>
        </w:pict>
      </w:r>
    </w:p>
    <w:bookmarkEnd w:id="23"/>
    <w:bookmarkStart w:id="24" w:name="technical-outline-high-level-expanded"/>
    <w:p>
      <w:pPr>
        <w:pStyle w:val="Heading2"/>
      </w:pPr>
      <w:r>
        <w:t xml:space="preserve">5. Technical Outline (high level, expanded)</w:t>
      </w:r>
    </w:p>
    <w:p>
      <w:pPr>
        <w:pStyle w:val="FirstParagraph"/>
      </w:pPr>
      <w:r>
        <w:t xml:space="preserve">Foundations</w:t>
      </w:r>
      <w:r>
        <w:t xml:space="preserve"> </w:t>
      </w:r>
      <w:r>
        <w:t xml:space="preserve">- Typical approach: shallow strip or raft slab foundations based on standard urban infill geotechnical conditions.</w:t>
      </w:r>
      <w:r>
        <w:t xml:space="preserve"> </w:t>
      </w:r>
      <w:r>
        <w:t xml:space="preserve">- Geotechnical survey required: assess bearing capacity, groundwater, fill zones and contamination risk.</w:t>
      </w:r>
      <w:r>
        <w:t xml:space="preserve"> </w:t>
      </w:r>
      <w:r>
        <w:t xml:space="preserve">- Piled foundations: if poor soils or adjacent structures require deep foundations, budgets may increase by 10–30% or more.</w:t>
      </w:r>
    </w:p>
    <w:p>
      <w:pPr>
        <w:pStyle w:val="BodyText"/>
      </w:pPr>
      <w:r>
        <w:t xml:space="preserve">Core &amp; structure</w:t>
      </w:r>
      <w:r>
        <w:t xml:space="preserve"> </w:t>
      </w:r>
      <w:r>
        <w:t xml:space="preserve">- Reinforced concrete core for stairs and elevators; core provides lateral stability.</w:t>
      </w:r>
      <w:r>
        <w:t xml:space="preserve"> </w:t>
      </w:r>
      <w:r>
        <w:t xml:space="preserve">- Timber modular units stacked and connected to floor plates with mechanical fixings and load transfer details.</w:t>
      </w:r>
      <w:r>
        <w:t xml:space="preserve"> </w:t>
      </w:r>
      <w:r>
        <w:t xml:space="preserve">- Lateral load path: modules connected to core with shear keys; wind and seismic loads to be checked by structural engineer.</w:t>
      </w:r>
      <w:r>
        <w:t xml:space="preserve"> </w:t>
      </w:r>
      <w:r>
        <w:t xml:space="preserve">- Fire structural strategy: ensure module-to-module fire stops, protected connections and compliance with local fire resistance periods (e.g., REI 60 or REI 90 depending on code and building use).</w:t>
      </w:r>
    </w:p>
    <w:p>
      <w:pPr>
        <w:pStyle w:val="BodyText"/>
      </w:pPr>
      <w:r>
        <w:t xml:space="preserve">Modular manufacture &amp; installation</w:t>
      </w:r>
      <w:r>
        <w:t xml:space="preserve"> </w:t>
      </w:r>
      <w:r>
        <w:t xml:space="preserve">- Modules manufactured in factory to a high degree of completeness (kitchen, bathroom pods pre-installed if volumetric modules used).</w:t>
      </w:r>
      <w:r>
        <w:t xml:space="preserve"> </w:t>
      </w:r>
      <w:r>
        <w:t xml:space="preserve">- Logistics: modules transported by articulated lorry; crane-lift operations require site staging, road-strength checks, temporary traffic management.</w:t>
      </w:r>
      <w:r>
        <w:t xml:space="preserve"> </w:t>
      </w:r>
      <w:r>
        <w:t xml:space="preserve">- Tolerances: specified interface tolerances for module alignment; allowance for on-site trimming and adjustments (dovetail plates or wedge systems).</w:t>
      </w:r>
    </w:p>
    <w:p>
      <w:pPr>
        <w:pStyle w:val="BodyText"/>
      </w:pPr>
      <w:r>
        <w:t xml:space="preserve">MEP (Mechanical, Electrical &amp; Plumbing)</w:t>
      </w:r>
      <w:r>
        <w:t xml:space="preserve"> </w:t>
      </w:r>
      <w:r>
        <w:t xml:space="preserve">- Heating: centralised heat pump plant with distribution to apartments via plate heat exchangers or direct-fed hydronic circuits as per chosen strategy.</w:t>
      </w:r>
      <w:r>
        <w:t xml:space="preserve"> </w:t>
      </w:r>
      <w:r>
        <w:t xml:space="preserve">- Ventilation: MVHR plant either centralized with distribution ducts per module or decentralized units integrated into modules.</w:t>
      </w:r>
      <w:r>
        <w:t xml:space="preserve"> </w:t>
      </w:r>
      <w:r>
        <w:t xml:space="preserve">- Domestic Hot Water (DHW): option 1 — small heat-pump water heaters per module; option 2 — central DHW store with distribution and recirculation (trade-off between energy efficiency and pipework complexity).</w:t>
      </w:r>
      <w:r>
        <w:t xml:space="preserve"> </w:t>
      </w:r>
      <w:r>
        <w:t xml:space="preserve">- Electrical: main incoming supply, distribution board for each floor or cluster; individual apartment metering and essential circuits for appliances, lighting, EV-charging readiness at communal parking.</w:t>
      </w:r>
      <w:r>
        <w:t xml:space="preserve"> </w:t>
      </w:r>
      <w:r>
        <w:t xml:space="preserve">- Low-voltage systems: structured data cabling to living room and master bedroom; provision for TV point and future connectivity.</w:t>
      </w:r>
      <w:r>
        <w:t xml:space="preserve"> </w:t>
      </w:r>
      <w:r>
        <w:t xml:space="preserve">- Fire alarm &amp; detection: Grade as per local code; integration with sprinkler systems where required.</w:t>
      </w:r>
      <w:r>
        <w:t xml:space="preserve"> </w:t>
      </w:r>
      <w:r>
        <w:t xml:space="preserve">- Acoustic requirements: airborne and impact sound reduction between dwellings to meet local legal minimums (typically Ln,w ≤ 53 dB or better for new builds; aim 45–48 dB for improved comfort).</w:t>
      </w:r>
    </w:p>
    <w:p>
      <w:pPr>
        <w:pStyle w:val="BodyText"/>
      </w:pPr>
      <w:r>
        <w:t xml:space="preserve">Fire safety &amp; life-safety systems</w:t>
      </w:r>
      <w:r>
        <w:t xml:space="preserve"> </w:t>
      </w:r>
      <w:r>
        <w:t xml:space="preserve">- Compartmentation: apartments as fire compartments; fire-resisting walls/floors to required REI rating.</w:t>
      </w:r>
      <w:r>
        <w:t xml:space="preserve"> </w:t>
      </w:r>
      <w:r>
        <w:t xml:space="preserve">- Sprinkler strategy: consider project-level requirement; if timber modules are used, sprinklers may be required or recommended by fire engineer; sprinkler installation adds cost but reduces insurance premiums and can enable more timber use.</w:t>
      </w:r>
      <w:r>
        <w:t xml:space="preserve"> </w:t>
      </w:r>
      <w:r>
        <w:t xml:space="preserve">- Evacuation: stair core capacity, refuge spaces where necessary, and accessible egress routes for occupants with reduced mobility.</w:t>
      </w:r>
    </w:p>
    <w:p>
      <w:pPr>
        <w:pStyle w:val="BodyText"/>
      </w:pPr>
      <w:r>
        <w:t xml:space="preserve">Testing &amp; commissioning</w:t>
      </w:r>
      <w:r>
        <w:t xml:space="preserve"> </w:t>
      </w:r>
      <w:r>
        <w:t xml:space="preserve">- Commissioning plan with staged testing (factory acceptance tests for modules, onsite mechanical and electrical commissioning, MVHR balancing, airtightness blower door testing, acoustic testing).</w:t>
      </w:r>
      <w:r>
        <w:t xml:space="preserve"> </w:t>
      </w:r>
      <w:r>
        <w:t xml:space="preserve">- Hand-over manual including operation &amp; maintenance manuals for all major plant and warranty certificates.</w:t>
      </w:r>
    </w:p>
    <w:p>
      <w:r>
        <w:pict>
          <v:rect style="width:0;height:1.5pt" o:hralign="center" o:hrstd="t" o:hr="t"/>
        </w:pict>
      </w:r>
    </w:p>
    <w:bookmarkEnd w:id="24"/>
    <w:bookmarkStart w:id="25" w:name="Xc3888496b5f99e9562f21d08586481a185f9ad0"/>
    <w:p>
      <w:pPr>
        <w:pStyle w:val="Heading2"/>
      </w:pPr>
      <w:r>
        <w:t xml:space="preserve">6. Accessibility, Universal Design &amp; Compliance (specifics)</w:t>
      </w:r>
    </w:p>
    <w:p>
      <w:pPr>
        <w:pStyle w:val="FirstParagraph"/>
      </w:pPr>
      <w:r>
        <w:t xml:space="preserve">Accessibility targets</w:t>
      </w:r>
      <w:r>
        <w:t xml:space="preserve"> </w:t>
      </w:r>
      <w:r>
        <w:t xml:space="preserve">- At least 10–15% of units designed as accessible or adaptable for occupants with mobility limitations (target ≥ 1–3 units in a 25-unit scheme).</w:t>
      </w:r>
      <w:r>
        <w:t xml:space="preserve"> </w:t>
      </w:r>
      <w:r>
        <w:t xml:space="preserve">- Type of accessible units: ground floor fully step-free; upper-floor units optional by lift access; minimum doorway widths 900 mm; level access wet-room or 1200 x 900 mm shower for accessible units.</w:t>
      </w:r>
      <w:r>
        <w:t xml:space="preserve"> </w:t>
      </w:r>
      <w:r>
        <w:t xml:space="preserve">- Thresholds: flush transitions between external threshold and internal flooring where feasible.</w:t>
      </w:r>
    </w:p>
    <w:p>
      <w:pPr>
        <w:pStyle w:val="BodyText"/>
      </w:pPr>
      <w:r>
        <w:t xml:space="preserve">Inclusive features</w:t>
      </w:r>
      <w:r>
        <w:t xml:space="preserve"> </w:t>
      </w:r>
      <w:r>
        <w:t xml:space="preserve">- Step-free route from street to building entrance, with tactile paving at kerb cuts and weather-protected entrance.</w:t>
      </w:r>
      <w:r>
        <w:t xml:space="preserve"> </w:t>
      </w:r>
      <w:r>
        <w:t xml:space="preserve">- Elevator with minimum 1100 x 1400 mm internal dimensions and 630 kg capacity at baseline; larger if stretch goals for bariatric access.</w:t>
      </w:r>
      <w:r>
        <w:t xml:space="preserve"> </w:t>
      </w:r>
      <w:r>
        <w:t xml:space="preserve">- Visual contrast strips at step edges, accessible light switches, and easy-to-operate door furniture complying with DIN accessibility standards.</w:t>
      </w:r>
    </w:p>
    <w:p>
      <w:pPr>
        <w:pStyle w:val="BodyText"/>
      </w:pPr>
      <w:r>
        <w:t xml:space="preserve">Regulatory and compliance framework</w:t>
      </w:r>
      <w:r>
        <w:t xml:space="preserve"> </w:t>
      </w:r>
      <w:r>
        <w:t xml:space="preserve">- Compliance with German building code (Landesbauordnung), DIN standards for accessibility and fire, and local municipality additions.</w:t>
      </w:r>
      <w:r>
        <w:t xml:space="preserve"> </w:t>
      </w:r>
      <w:r>
        <w:t xml:space="preserve">- Liaise early with local building authority (Bauamt) for variance, deviations or pre-approval for timber modularity.</w:t>
      </w:r>
    </w:p>
    <w:p>
      <w:r>
        <w:pict>
          <v:rect style="width:0;height:1.5pt" o:hralign="center" o:hrstd="t" o:hr="t"/>
        </w:pict>
      </w:r>
    </w:p>
    <w:bookmarkEnd w:id="25"/>
    <w:bookmarkStart w:id="26" w:name="X8af58bc9726f2d6f7aa5126b1db225b2c8e08ed"/>
    <w:p>
      <w:pPr>
        <w:pStyle w:val="Heading2"/>
      </w:pPr>
      <w:r>
        <w:t xml:space="preserve">7. Cost Analysis — Approach &amp; Extended Scenarios</w:t>
      </w:r>
    </w:p>
    <w:p>
      <w:pPr>
        <w:pStyle w:val="FirstParagraph"/>
      </w:pPr>
      <w:r>
        <w:t xml:space="preserve">Overview</w:t>
      </w:r>
      <w:r>
        <w:t xml:space="preserve"> </w:t>
      </w:r>
      <w:r>
        <w:t xml:space="preserve">- Three indicative cost bands presented: Cost-focused, Mid-range baseline, High-quality sustainable premium. These are construction hard costs per m² GFA and do not include land, VAT, finance, or developer margin.</w:t>
      </w:r>
    </w:p>
    <w:p>
      <w:pPr>
        <w:pStyle w:val="BodyText"/>
      </w:pPr>
      <w:r>
        <w:t xml:space="preserve">Scenario cost bands (construction hard costs, excl. land &amp; VAT)</w:t>
      </w:r>
      <w:r>
        <w:t xml:space="preserve"> </w:t>
      </w:r>
      <w:r>
        <w:t xml:space="preserve">- Cost-focused (lower-spec, high economy): €1,800 – €2,200 / m²</w:t>
      </w:r>
      <w:r>
        <w:t xml:space="preserve"> </w:t>
      </w:r>
      <w:r>
        <w:t xml:space="preserve">- Mid-range (recommended baseline): €2,300 – €2,800 / m²</w:t>
      </w:r>
      <w:r>
        <w:t xml:space="preserve"> </w:t>
      </w:r>
      <w:r>
        <w:t xml:space="preserve">- High-quality / sustainable premium: €3,000 – €3,600+ / m²</w:t>
      </w:r>
    </w:p>
    <w:p>
      <w:pPr>
        <w:pStyle w:val="BodyText"/>
      </w:pPr>
      <w:r>
        <w:t xml:space="preserve">Indicative elemental cost split (percent of hard costs)</w:t>
      </w:r>
      <w:r>
        <w:t xml:space="preserve"> </w:t>
      </w:r>
      <w:r>
        <w:t xml:space="preserve">- Substructure &amp; foundations: 8–12%</w:t>
      </w:r>
      <w:r>
        <w:t xml:space="preserve"> </w:t>
      </w:r>
      <w:r>
        <w:t xml:space="preserve">- Structure &amp; shell (incl. timber modules, core): 30–40%</w:t>
      </w:r>
      <w:r>
        <w:t xml:space="preserve"> </w:t>
      </w:r>
      <w:r>
        <w:t xml:space="preserve">- Roof &amp; external envelope: 8–10%</w:t>
      </w:r>
      <w:r>
        <w:t xml:space="preserve"> </w:t>
      </w:r>
      <w:r>
        <w:t xml:space="preserve">- Internal finishes &amp; fit-out: 18–22%</w:t>
      </w:r>
      <w:r>
        <w:t xml:space="preserve"> </w:t>
      </w:r>
      <w:r>
        <w:t xml:space="preserve">- MEP (mechanical, electrical &amp; plumbing): 18–22%</w:t>
      </w:r>
      <w:r>
        <w:t xml:space="preserve"> </w:t>
      </w:r>
      <w:r>
        <w:t xml:space="preserve">- External works &amp; landscaping: 5–10%</w:t>
      </w:r>
      <w:r>
        <w:t xml:space="preserve"> </w:t>
      </w:r>
      <w:r>
        <w:t xml:space="preserve">- Balconies, terraces &amp; special items: 4–8%</w:t>
      </w:r>
      <w:r>
        <w:t xml:space="preserve"> </w:t>
      </w:r>
      <w:r>
        <w:t xml:space="preserve">- Site preliminaries, temporary works &amp; allowance sums: 6–10%</w:t>
      </w:r>
      <w:r>
        <w:t xml:space="preserve"> </w:t>
      </w:r>
      <w:r>
        <w:t xml:space="preserve">Note: percentages will vary by scenario and local market.</w:t>
      </w:r>
    </w:p>
    <w:p>
      <w:pPr>
        <w:pStyle w:val="BodyText"/>
      </w:pPr>
      <w:r>
        <w:t xml:space="preserve">Worked example — Mid-range baseline (detailed)</w:t>
      </w:r>
    </w:p>
    <w:p>
      <w:pPr>
        <w:pStyle w:val="BodyText"/>
      </w:pPr>
      <w:r>
        <w:t xml:space="preserve">Project example parameters</w:t>
      </w:r>
      <w:r>
        <w:t xml:space="preserve"> </w:t>
      </w:r>
      <w:r>
        <w:t xml:space="preserve">- GFA assumed: 2,000 m²</w:t>
      </w:r>
      <w:r>
        <w:t xml:space="preserve"> </w:t>
      </w:r>
      <w:r>
        <w:t xml:space="preserve">- Unit count: 25</w:t>
      </w:r>
      <w:r>
        <w:t xml:space="preserve"> </w:t>
      </w:r>
      <w:r>
        <w:t xml:space="preserve">- Mid-range cost assumption: €2,500 / m² (midpoint)</w:t>
      </w:r>
      <w:r>
        <w:t xml:space="preserve"> </w:t>
      </w:r>
      <w:r>
        <w:t xml:space="preserve">- Baseline hard construction cost: 2,000 m² × €2,500 / m² = €5,000,000</w:t>
      </w:r>
    </w:p>
    <w:p>
      <w:pPr>
        <w:pStyle w:val="BodyText"/>
      </w:pPr>
      <w:r>
        <w:t xml:space="preserve">Itemised cost breakdown (example, indicative)</w:t>
      </w:r>
      <w:r>
        <w:t xml:space="preserve"> </w:t>
      </w:r>
      <w:r>
        <w:t xml:space="preserve">- Substructure &amp; foundations (10%): €500,000</w:t>
      </w:r>
      <w:r>
        <w:t xml:space="preserve"> </w:t>
      </w:r>
      <w:r>
        <w:t xml:space="preserve">- Structure &amp; shell (timber modules + RC core) (35%): €1,750,000</w:t>
      </w:r>
      <w:r>
        <w:t xml:space="preserve"> </w:t>
      </w:r>
      <w:r>
        <w:t xml:space="preserve">- Roof &amp; external envelope (8%): €400,000</w:t>
      </w:r>
      <w:r>
        <w:t xml:space="preserve"> </w:t>
      </w:r>
      <w:r>
        <w:t xml:space="preserve">- Internal finishes &amp; fit-out (20%): €1,000,000</w:t>
      </w:r>
      <w:r>
        <w:t xml:space="preserve"> </w:t>
      </w:r>
      <w:r>
        <w:t xml:space="preserve">- MEP (20%): €1,000,000</w:t>
      </w:r>
      <w:r>
        <w:t xml:space="preserve"> </w:t>
      </w:r>
      <w:r>
        <w:t xml:space="preserve">- External works &amp; landscaping (5%): €250,000</w:t>
      </w:r>
      <w:r>
        <w:t xml:space="preserve"> </w:t>
      </w:r>
      <w:r>
        <w:t xml:space="preserve">- Balconies &amp; special prefabrication premium (7%): €350,000</w:t>
      </w:r>
      <w:r>
        <w:t xml:space="preserve"> </w:t>
      </w:r>
      <w:r>
        <w:t xml:space="preserve">- Site preliminaries / contingency within hard cost / provisional sums (5%): €250,000</w:t>
      </w:r>
    </w:p>
    <w:p>
      <w:pPr>
        <w:pStyle w:val="BodyText"/>
      </w:pPr>
      <w:r>
        <w:t xml:space="preserve">Subtotal (construction hard cost): €5,000,000</w:t>
      </w:r>
    </w:p>
    <w:p>
      <w:pPr>
        <w:pStyle w:val="BodyText"/>
      </w:pPr>
      <w:r>
        <w:t xml:space="preserve">Additional project allowances</w:t>
      </w:r>
      <w:r>
        <w:t xml:space="preserve"> </w:t>
      </w:r>
      <w:r>
        <w:t xml:space="preserve">- Contingency (10%): €500,000</w:t>
      </w:r>
      <w:r>
        <w:t xml:space="preserve"> </w:t>
      </w:r>
      <w:r>
        <w:t xml:space="preserve">- Professional fees (architect, structural, MEP, QS, legal, planning including permit fees) — assume 7% of hard cost: €350,000</w:t>
      </w:r>
      <w:r>
        <w:t xml:space="preserve"> </w:t>
      </w:r>
      <w:r>
        <w:t xml:space="preserve">- Surveys, permits &amp; tests (geotech, ecology, hazardous materials, acoustic tests, fire strategy fees): €50,000</w:t>
      </w:r>
      <w:r>
        <w:t xml:space="preserve"> </w:t>
      </w:r>
      <w:r>
        <w:t xml:space="preserve">- Client-level allowances (furniture for common areas, marketing fitout at sales office if required): €50,000</w:t>
      </w:r>
    </w:p>
    <w:p>
      <w:pPr>
        <w:pStyle w:val="BodyText"/>
      </w:pPr>
      <w:r>
        <w:t xml:space="preserve">Total project budget (excl. land &amp; VAT): €5,950,000 (rounded to €5,900,000 in initial summary; small rounding differences arise from category breakdown rounding)</w:t>
      </w:r>
    </w:p>
    <w:p>
      <w:pPr>
        <w:pStyle w:val="BodyText"/>
      </w:pPr>
      <w:r>
        <w:t xml:space="preserve">Per-unit calculation</w:t>
      </w:r>
      <w:r>
        <w:t xml:space="preserve"> </w:t>
      </w:r>
      <w:r>
        <w:t xml:space="preserve">- Total project cost per unit (25 units): €5,950,000 / 25 = €238,000 per unit (construction + contingency &amp; professional fees, excl. land &amp; VAT)</w:t>
      </w:r>
    </w:p>
    <w:p>
      <w:pPr>
        <w:pStyle w:val="BodyText"/>
      </w:pPr>
      <w:r>
        <w:t xml:space="preserve">Alternative scenarios (recomputed with same additional allowances)</w:t>
      </w:r>
      <w:r>
        <w:t xml:space="preserve"> </w:t>
      </w:r>
      <w:r>
        <w:t xml:space="preserve">- Cost-focused @ €2,000 / m²:</w:t>
      </w:r>
      <w:r>
        <w:t xml:space="preserve"> </w:t>
      </w:r>
      <w:r>
        <w:t xml:space="preserve">- Hard cost: €4,000,000</w:t>
      </w:r>
      <w:r>
        <w:t xml:space="preserve"> </w:t>
      </w:r>
      <w:r>
        <w:t xml:space="preserve">- Contingency (10%): €400,000</w:t>
      </w:r>
      <w:r>
        <w:t xml:space="preserve"> </w:t>
      </w:r>
      <w:r>
        <w:t xml:space="preserve">- Professional fees (7%): €280,000</w:t>
      </w:r>
      <w:r>
        <w:t xml:space="preserve"> </w:t>
      </w:r>
      <w:r>
        <w:t xml:space="preserve">- Surveys &amp; permits: €50,000</w:t>
      </w:r>
      <w:r>
        <w:t xml:space="preserve"> </w:t>
      </w:r>
      <w:r>
        <w:t xml:space="preserve">- Total: €4,730,000</w:t>
      </w:r>
      <w:r>
        <w:t xml:space="preserve"> </w:t>
      </w:r>
      <w:r>
        <w:t xml:space="preserve">- Per unit: €189,200</w:t>
      </w:r>
    </w:p>
    <w:p>
      <w:pPr>
        <w:pStyle w:val="Compact"/>
        <w:numPr>
          <w:ilvl w:val="0"/>
          <w:numId w:val="1002"/>
        </w:numPr>
      </w:pPr>
      <w:r>
        <w:t xml:space="preserve">High-quality @ €3,300 / m²:</w:t>
      </w:r>
    </w:p>
    <w:p>
      <w:pPr>
        <w:pStyle w:val="Compact"/>
        <w:numPr>
          <w:ilvl w:val="0"/>
          <w:numId w:val="1002"/>
        </w:numPr>
      </w:pPr>
      <w:r>
        <w:t xml:space="preserve">Hard cost: €6,600,000</w:t>
      </w:r>
    </w:p>
    <w:p>
      <w:pPr>
        <w:pStyle w:val="Compact"/>
        <w:numPr>
          <w:ilvl w:val="0"/>
          <w:numId w:val="1002"/>
        </w:numPr>
      </w:pPr>
      <w:r>
        <w:t xml:space="preserve">Contingency (10%): €660,000</w:t>
      </w:r>
    </w:p>
    <w:p>
      <w:pPr>
        <w:pStyle w:val="Compact"/>
        <w:numPr>
          <w:ilvl w:val="0"/>
          <w:numId w:val="1002"/>
        </w:numPr>
      </w:pPr>
      <w:r>
        <w:t xml:space="preserve">Professional fees (7%): €462,000</w:t>
      </w:r>
    </w:p>
    <w:p>
      <w:pPr>
        <w:pStyle w:val="Compact"/>
        <w:numPr>
          <w:ilvl w:val="0"/>
          <w:numId w:val="1002"/>
        </w:numPr>
      </w:pPr>
      <w:r>
        <w:t xml:space="preserve">Surveys &amp; permits: €50,000</w:t>
      </w:r>
    </w:p>
    <w:p>
      <w:pPr>
        <w:pStyle w:val="Compact"/>
        <w:numPr>
          <w:ilvl w:val="0"/>
          <w:numId w:val="1002"/>
        </w:numPr>
      </w:pPr>
      <w:r>
        <w:t xml:space="preserve">Total: €7,772,000</w:t>
      </w:r>
    </w:p>
    <w:p>
      <w:pPr>
        <w:pStyle w:val="Compact"/>
        <w:numPr>
          <w:ilvl w:val="0"/>
          <w:numId w:val="1002"/>
        </w:numPr>
      </w:pPr>
      <w:r>
        <w:t xml:space="preserve">Per unit: €310,880</w:t>
      </w:r>
    </w:p>
    <w:p>
      <w:pPr>
        <w:pStyle w:val="FirstParagraph"/>
      </w:pPr>
      <w:r>
        <w:t xml:space="preserve">Detailed sensitivity analysis (two-way)</w:t>
      </w:r>
      <w:r>
        <w:t xml:space="preserve"> </w:t>
      </w:r>
      <w:r>
        <w:t xml:space="preserve">- Inflation sensitivity: a 5% cost inflation across hard costs raises the mid-range total by €250,000 in the worked example (before contingency/professional fees). Consider an inflation allowance in long procurement schedules.</w:t>
      </w:r>
      <w:r>
        <w:t xml:space="preserve"> </w:t>
      </w:r>
      <w:r>
        <w:t xml:space="preserve">- Foundation risk sensitivity: adding piled foundations could increase substructure cost from €500k to €1.25M (+€750k), shifting total to approx. €6.7M.</w:t>
      </w:r>
      <w:r>
        <w:t xml:space="preserve"> </w:t>
      </w:r>
      <w:r>
        <w:t xml:space="preserve">- Prefabrication premium vs on-site labour trade-off: prefabrication reduces the onsite programme but may have a 5–12% premium in factory costs depending on volumes. Achievable savings arise from reduced preliminaries and shortened site programme.</w:t>
      </w:r>
    </w:p>
    <w:p>
      <w:pPr>
        <w:pStyle w:val="BodyText"/>
      </w:pPr>
      <w:r>
        <w:t xml:space="preserve">Element-level cost table (mid-range example)</w:t>
      </w:r>
    </w:p>
    <w:p>
      <w:pPr>
        <w:pStyle w:val="BodyText"/>
      </w:pPr>
      <w:r>
        <w:t xml:space="preserve">| Element | % of Hard Cost | Indicative € (of €5,000,000) |</w:t>
      </w:r>
      <w:r>
        <w:t xml:space="preserve"> </w:t>
      </w:r>
      <w:r>
        <w:t xml:space="preserve">|----------------------------------------:|---------------:|-----------------------------:|</w:t>
      </w:r>
      <w:r>
        <w:t xml:space="preserve"> </w:t>
      </w:r>
      <w:r>
        <w:t xml:space="preserve">| Substructure &amp; foundations | 10% | €500,000 |</w:t>
      </w:r>
      <w:r>
        <w:t xml:space="preserve"> </w:t>
      </w:r>
      <w:r>
        <w:t xml:space="preserve">| Structure &amp; shell (modules + core) | 35% | €1,750,000 |</w:t>
      </w:r>
      <w:r>
        <w:t xml:space="preserve"> </w:t>
      </w:r>
      <w:r>
        <w:t xml:space="preserve">| Roof &amp; envelope | 8% | €400,000 |</w:t>
      </w:r>
      <w:r>
        <w:t xml:space="preserve"> </w:t>
      </w:r>
      <w:r>
        <w:t xml:space="preserve">| Internal finishes &amp; fit-out | 20% | €1,000,000 |</w:t>
      </w:r>
      <w:r>
        <w:t xml:space="preserve"> </w:t>
      </w:r>
      <w:r>
        <w:t xml:space="preserve">| MEP | 20% | €1,000,000 |</w:t>
      </w:r>
      <w:r>
        <w:t xml:space="preserve"> </w:t>
      </w:r>
      <w:r>
        <w:t xml:space="preserve">| External works &amp; landscaping | 5% | €250,000 |</w:t>
      </w:r>
      <w:r>
        <w:t xml:space="preserve"> </w:t>
      </w:r>
      <w:r>
        <w:t xml:space="preserve">| Balconies &amp; prefabrication premium | 7% | €350,000 |</w:t>
      </w:r>
      <w:r>
        <w:t xml:space="preserve"> </w:t>
      </w:r>
      <w:r>
        <w:t xml:space="preserve">| Site preliminaries / provisional sums | 5% | €250,000 |</w:t>
      </w:r>
      <w:r>
        <w:t xml:space="preserve"> </w:t>
      </w:r>
      <w:r>
        <w:t xml:space="preserve">| Total hard construction | 100% | €5,000,000 |</w:t>
      </w:r>
    </w:p>
    <w:p>
      <w:pPr>
        <w:pStyle w:val="BodyText"/>
      </w:pPr>
      <w:r>
        <w:t xml:space="preserve">Notes on cost categories</w:t>
      </w:r>
      <w:r>
        <w:t xml:space="preserve"> </w:t>
      </w:r>
      <w:r>
        <w:t xml:space="preserve">- Structure &amp; shell includes timber modules, RC core, connections, and primary finishes to module exteriors.</w:t>
      </w:r>
      <w:r>
        <w:t xml:space="preserve"> </w:t>
      </w:r>
      <w:r>
        <w:t xml:space="preserve">- Internal finishes &amp; fit-out includes kitchens, bathroom pods, floor finishes, internal doors, fitted storage and painting.</w:t>
      </w:r>
      <w:r>
        <w:t xml:space="preserve"> </w:t>
      </w:r>
      <w:r>
        <w:t xml:space="preserve">- MEP includes plant (heat pumps, MVHR), electrical distribution, domestic hot water provision, site drainage, small plant rooms and associated control systems.</w:t>
      </w:r>
      <w:r>
        <w:t xml:space="preserve"> </w:t>
      </w:r>
      <w:r>
        <w:t xml:space="preserve">- Balconies are often priced and treated as separate add-on items due to detail complexity and cantilevered structural support.</w:t>
      </w:r>
    </w:p>
    <w:p>
      <w:pPr>
        <w:pStyle w:val="BodyText"/>
      </w:pPr>
      <w:r>
        <w:t xml:space="preserve">Financing and VAT considerations</w:t>
      </w:r>
      <w:r>
        <w:t xml:space="preserve"> </w:t>
      </w:r>
      <w:r>
        <w:t xml:space="preserve">- VAT on construction in Germany typically applies; include separate calculation depending on the client and local tax advice.</w:t>
      </w:r>
      <w:r>
        <w:t xml:space="preserve"> </w:t>
      </w:r>
      <w:r>
        <w:t xml:space="preserve">- Financing interest during construction should be modelled by developer separately and can materially affect overall project cost.</w:t>
      </w:r>
    </w:p>
    <w:p>
      <w:r>
        <w:pict>
          <v:rect style="width:0;height:1.5pt" o:hralign="center" o:hrstd="t" o:hr="t"/>
        </w:pict>
      </w:r>
    </w:p>
    <w:bookmarkEnd w:id="26"/>
    <w:bookmarkStart w:id="27" w:name="procurement-contracting-strategy"/>
    <w:p>
      <w:pPr>
        <w:pStyle w:val="Heading2"/>
      </w:pPr>
      <w:r>
        <w:t xml:space="preserve">8. Procurement &amp; Contracting Strategy</w:t>
      </w:r>
    </w:p>
    <w:p>
      <w:pPr>
        <w:pStyle w:val="FirstParagraph"/>
      </w:pPr>
      <w:r>
        <w:t xml:space="preserve">Recommended contracting strategy</w:t>
      </w:r>
      <w:r>
        <w:t xml:space="preserve"> </w:t>
      </w:r>
      <w:r>
        <w:t xml:space="preserve">1. Early Contractor Involvement (ECI): engage a contractor or modular manufacturer during design development (30–50% DD) to align module sizes, logistics, and costing.</w:t>
      </w:r>
      <w:r>
        <w:t xml:space="preserve"> </w:t>
      </w:r>
      <w:r>
        <w:t xml:space="preserve">2. Two-stage tender recommended for complex modular projects: Stage 1 — select contractor/manufacturer based on capability and price frameworks; Stage 2 — final pricing after technical design freeze.</w:t>
      </w:r>
      <w:r>
        <w:t xml:space="preserve"> </w:t>
      </w:r>
      <w:r>
        <w:t xml:space="preserve">3. Procure long-lead items early: MVHR units, heat pumps, kitchen cabinetry, windows and specialized connectors.</w:t>
      </w:r>
      <w:r>
        <w:t xml:space="preserve"> </w:t>
      </w:r>
      <w:r>
        <w:t xml:space="preserve">4. Tender lots recommended:</w:t>
      </w:r>
      <w:r>
        <w:t xml:space="preserve"> </w:t>
      </w:r>
      <w:r>
        <w:t xml:space="preserve">- Lot 1: Site enabling, foundations &amp; RC core.</w:t>
      </w:r>
      <w:r>
        <w:t xml:space="preserve"> </w:t>
      </w:r>
      <w:r>
        <w:t xml:space="preserve">- Lot 2: Timber/modular manufacturing &amp; installation.</w:t>
      </w:r>
      <w:r>
        <w:t xml:space="preserve"> </w:t>
      </w:r>
      <w:r>
        <w:t xml:space="preserve">- Lot 3: MEP plant &amp; distribution (plantroom &amp; apartment-level connections).</w:t>
      </w:r>
      <w:r>
        <w:t xml:space="preserve"> </w:t>
      </w:r>
      <w:r>
        <w:t xml:space="preserve">- Lot 4: Internal finishes &amp; fitout (if modules are supplied unfinished internally).</w:t>
      </w:r>
      <w:r>
        <w:t xml:space="preserve"> </w:t>
      </w:r>
      <w:r>
        <w:t xml:space="preserve">- Lot 5: External works &amp; landscaping.</w:t>
      </w:r>
    </w:p>
    <w:p>
      <w:pPr>
        <w:pStyle w:val="BodyText"/>
      </w:pPr>
      <w:r>
        <w:t xml:space="preserve">Selection criteria for modular manufacturer/contractor</w:t>
      </w:r>
      <w:r>
        <w:t xml:space="preserve"> </w:t>
      </w:r>
      <w:r>
        <w:t xml:space="preserve">- Factory capacity and backlog; ability to meet required delivery window.</w:t>
      </w:r>
      <w:r>
        <w:t xml:space="preserve"> </w:t>
      </w:r>
      <w:r>
        <w:t xml:space="preserve">- Past performance in similar timber/modular residential projects.</w:t>
      </w:r>
      <w:r>
        <w:t xml:space="preserve"> </w:t>
      </w:r>
      <w:r>
        <w:t xml:space="preserve">- Quality assurance processes (ISO 9001 or equivalent).</w:t>
      </w:r>
      <w:r>
        <w:t xml:space="preserve"> </w:t>
      </w:r>
      <w:r>
        <w:t xml:space="preserve">- Financial stability and bonds/guarantees capability.</w:t>
      </w:r>
      <w:r>
        <w:t xml:space="preserve"> </w:t>
      </w:r>
      <w:r>
        <w:t xml:space="preserve">- Willingness to participate in ECI and collaborate on design adjustments to reduce cost.</w:t>
      </w:r>
    </w:p>
    <w:p>
      <w:pPr>
        <w:pStyle w:val="BodyText"/>
      </w:pPr>
      <w:r>
        <w:t xml:space="preserve">Contract form suggestions</w:t>
      </w:r>
      <w:r>
        <w:t xml:space="preserve"> </w:t>
      </w:r>
      <w:r>
        <w:t xml:space="preserve">- Two-stage NEC4 Option A/B or alternative JCT variant with design responsibility clarified for the module manufacturer vs architect/engineer.</w:t>
      </w:r>
      <w:r>
        <w:t xml:space="preserve"> </w:t>
      </w:r>
      <w:r>
        <w:t xml:space="preserve">- Consider incentivised cost and time models for modular delivery, with clear stage gates linked to manufacturing slots.</w:t>
      </w:r>
    </w:p>
    <w:p>
      <w:pPr>
        <w:pStyle w:val="BodyText"/>
      </w:pPr>
      <w:r>
        <w:t xml:space="preserve">Procurement timeline (high-level)</w:t>
      </w:r>
      <w:r>
        <w:t xml:space="preserve"> </w:t>
      </w:r>
      <w:r>
        <w:t xml:space="preserve">- QS elemental cost plan: 2–3 weeks after briefing.</w:t>
      </w:r>
      <w:r>
        <w:t xml:space="preserve"> </w:t>
      </w:r>
      <w:r>
        <w:t xml:space="preserve">- Prequalification &amp; ECI selection: 6–8 weeks.</w:t>
      </w:r>
      <w:r>
        <w:t xml:space="preserve"> </w:t>
      </w:r>
      <w:r>
        <w:t xml:space="preserve">- Manufacturing lead time: 12–20 weeks depending on plant capacity and module complexity.</w:t>
      </w:r>
      <w:r>
        <w:t xml:space="preserve"> </w:t>
      </w:r>
      <w:r>
        <w:t xml:space="preserve">- Onsite installation: 6–12 weeks for module craning &amp; connection; finishing works on modules (if partially completed) may be required concurrently.</w:t>
      </w:r>
    </w:p>
    <w:p>
      <w:r>
        <w:pict>
          <v:rect style="width:0;height:1.5pt" o:hralign="center" o:hrstd="t" o:hr="t"/>
        </w:pict>
      </w:r>
    </w:p>
    <w:bookmarkEnd w:id="27"/>
    <w:bookmarkStart w:id="28" w:name="X36b4553090053dc2e286b60fd966fe080aa1605"/>
    <w:p>
      <w:pPr>
        <w:pStyle w:val="Heading2"/>
      </w:pPr>
      <w:r>
        <w:t xml:space="preserve">9. Construction &amp; Delivery Timeline (detailed milestone table)</w:t>
      </w:r>
    </w:p>
    <w:p>
      <w:pPr>
        <w:pStyle w:val="FirstParagraph"/>
      </w:pPr>
      <w:r>
        <w:t xml:space="preserve">High-level schedule for a 12–18 month delivery depending on modular share and permitting. Durations are indicative and should be validated for the specific site.</w:t>
      </w:r>
    </w:p>
    <w:p>
      <w:pPr>
        <w:pStyle w:val="BodyText"/>
      </w:pPr>
      <w:r>
        <w:t xml:space="preserve">Milestone table (weeks and durations)</w:t>
      </w:r>
    </w:p>
    <w:p>
      <w:pPr>
        <w:pStyle w:val="BodyText"/>
      </w:pPr>
      <w:r>
        <w:t xml:space="preserve">| Phase / Activity | Duration (weeks) | Earliest Start after brief | Dependencies |</w:t>
      </w:r>
      <w:r>
        <w:t xml:space="preserve"> </w:t>
      </w:r>
      <w:r>
        <w:t xml:space="preserve">|-------------------------------------------:|------------------:|---------------------------:|-------------|</w:t>
      </w:r>
      <w:r>
        <w:t xml:space="preserve"> </w:t>
      </w:r>
      <w:r>
        <w:t xml:space="preserve">| Client brief &amp; site confirmation | 1–2 | Week 0 | None |</w:t>
      </w:r>
      <w:r>
        <w:t xml:space="preserve"> </w:t>
      </w:r>
      <w:r>
        <w:t xml:space="preserve">| QS elemental cost plan | 2–3 | Week 1 | Site data |</w:t>
      </w:r>
      <w:r>
        <w:t xml:space="preserve"> </w:t>
      </w:r>
      <w:r>
        <w:t xml:space="preserve">| Schematic design (concept &amp; module catalogue) | 6–8 | Week 2 | Brief |</w:t>
      </w:r>
      <w:r>
        <w:t xml:space="preserve"> </w:t>
      </w:r>
      <w:r>
        <w:t xml:space="preserve">| ECI contractor / modular manufacturer selection | 6–8 | Week 6 | Concept |</w:t>
      </w:r>
      <w:r>
        <w:t xml:space="preserve"> </w:t>
      </w:r>
      <w:r>
        <w:t xml:space="preserve">| Design development &amp; coordination (SD → DD) | 8–12 | Week 8 | ECI input |</w:t>
      </w:r>
      <w:r>
        <w:t xml:space="preserve"> </w:t>
      </w:r>
      <w:r>
        <w:t xml:space="preserve">| Permit submissions &amp; approvals | 12–20 | Week 18 | DD |</w:t>
      </w:r>
      <w:r>
        <w:t xml:space="preserve"> </w:t>
      </w:r>
      <w:r>
        <w:t xml:space="preserve">| Manufacturing lead time (modules) | 12–20 | Week 20 | Purchase order to manufacturer |</w:t>
      </w:r>
      <w:r>
        <w:t xml:space="preserve"> </w:t>
      </w:r>
      <w:r>
        <w:t xml:space="preserve">| Enabling works &amp; foundations | 6–10 | Week 22 | Permits, geotech |</w:t>
      </w:r>
      <w:r>
        <w:t xml:space="preserve"> </w:t>
      </w:r>
      <w:r>
        <w:t xml:space="preserve">| RC core &amp; primary structure | 6–12 | Week 28 | Foundations |</w:t>
      </w:r>
      <w:r>
        <w:t xml:space="preserve"> </w:t>
      </w:r>
      <w:r>
        <w:t xml:space="preserve">| Module delivery &amp; assembly | 6–12 | Week 36 | Core complete |</w:t>
      </w:r>
      <w:r>
        <w:t xml:space="preserve"> </w:t>
      </w:r>
      <w:r>
        <w:t xml:space="preserve">| MEP connections, fit-out &amp; commissioning | 8–12 | Week 40 | Modules set |</w:t>
      </w:r>
      <w:r>
        <w:t xml:space="preserve"> </w:t>
      </w:r>
      <w:r>
        <w:t xml:space="preserve">| External works &amp; landscaping | 4–8 | Week 44 | Module assembly |</w:t>
      </w:r>
      <w:r>
        <w:t xml:space="preserve"> </w:t>
      </w:r>
      <w:r>
        <w:t xml:space="preserve">| Practical completion &amp; handover | 2–4 | Week 52–78 | Commissioning |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Many activities can overlap; manufacturing can start before full permits if risk accepted by client (subject to ECI and planning risk).</w:t>
      </w:r>
      <w:r>
        <w:t xml:space="preserve"> </w:t>
      </w:r>
      <w:r>
        <w:t xml:space="preserve">- Permitting time is highly variable. Early engagement with local authority is essential.</w:t>
      </w:r>
      <w:r>
        <w:t xml:space="preserve"> </w:t>
      </w:r>
      <w:r>
        <w:t xml:space="preserve">- The programme assumes rapid approvals and no significant site surprises.</w:t>
      </w:r>
    </w:p>
    <w:p>
      <w:pPr>
        <w:pStyle w:val="BodyText"/>
      </w:pPr>
      <w:r>
        <w:t xml:space="preserve">Gantt-style summary (simplified)</w:t>
      </w:r>
      <w:r>
        <w:t xml:space="preserve"> </w:t>
      </w:r>
      <w:r>
        <w:t xml:space="preserve">- Weeks 0–8: Brief, concept, QS and initial ECI selection.</w:t>
      </w:r>
      <w:r>
        <w:t xml:space="preserve"> </w:t>
      </w:r>
      <w:r>
        <w:t xml:space="preserve">- Weeks 8–20: Design development with contractor input; freeze module geometry.</w:t>
      </w:r>
      <w:r>
        <w:t xml:space="preserve"> </w:t>
      </w:r>
      <w:r>
        <w:t xml:space="preserve">- Weeks 20–40: Manufacture modules; enabling &amp; below-ground works.</w:t>
      </w:r>
      <w:r>
        <w:t xml:space="preserve"> </w:t>
      </w:r>
      <w:r>
        <w:t xml:space="preserve">- Weeks 36–48: Erection and assembly, plant installation, fit-out.</w:t>
      </w:r>
      <w:r>
        <w:t xml:space="preserve"> </w:t>
      </w:r>
      <w:r>
        <w:t xml:space="preserve">- Weeks 48–60: Testing, commissioning, practical completion.</w:t>
      </w:r>
    </w:p>
    <w:p>
      <w:r>
        <w:pict>
          <v:rect style="width:0;height:1.5pt" o:hralign="center" o:hrstd="t" o:hr="t"/>
        </w:pict>
      </w:r>
    </w:p>
    <w:bookmarkEnd w:id="28"/>
    <w:bookmarkStart w:id="29" w:name="roles-responsibilities-raci-style-matrix"/>
    <w:p>
      <w:pPr>
        <w:pStyle w:val="Heading2"/>
      </w:pPr>
      <w:r>
        <w:t xml:space="preserve">10. Roles &amp; Responsibilities (RACI-style matrix)</w:t>
      </w:r>
    </w:p>
    <w:p>
      <w:pPr>
        <w:pStyle w:val="FirstParagraph"/>
      </w:pPr>
      <w:r>
        <w:t xml:space="preserve">Key participants and responsibilities (R = Responsible, A = Accountable, C = Consulted, I = Informed)</w:t>
      </w:r>
    </w:p>
    <w:p>
      <w:pPr>
        <w:pStyle w:val="BodyText"/>
      </w:pPr>
      <w:r>
        <w:t xml:space="preserve">| Role / Task | Concept Design | Detailed Design | Permits | Manufacture | Construction | Commissioning |</w:t>
      </w:r>
      <w:r>
        <w:t xml:space="preserve"> </w:t>
      </w:r>
      <w:r>
        <w:t xml:space="preserve">|----------------------------------------:|:--------------:|:---------------:|:-------:|:-----------:|:------------:|:-------------:|</w:t>
      </w:r>
      <w:r>
        <w:t xml:space="preserve"> </w:t>
      </w:r>
      <w:r>
        <w:t xml:space="preserve">| Client / Developer | A / I | A / C | A | A / C | A / I | A / I |</w:t>
      </w:r>
      <w:r>
        <w:t xml:space="preserve"> </w:t>
      </w:r>
      <w:r>
        <w:t xml:space="preserve">| Lead Architect (Oscar / Awesome Inc.) | R / A | R | R / C | R / C | R / C | R / C |</w:t>
      </w:r>
      <w:r>
        <w:t xml:space="preserve"> </w:t>
      </w:r>
      <w:r>
        <w:t xml:space="preserve">| Interior Consultant (Anna) | C | R (finishes) | I | C | R (handover) | C |</w:t>
      </w:r>
      <w:r>
        <w:t xml:space="preserve"> </w:t>
      </w:r>
      <w:r>
        <w:t xml:space="preserve">| Structural Engineer | C | R | C | R / C | R / C | C |</w:t>
      </w:r>
      <w:r>
        <w:t xml:space="preserve"> </w:t>
      </w:r>
      <w:r>
        <w:t xml:space="preserve">| MEP Engineer | C | R | C | C | R | R |</w:t>
      </w:r>
      <w:r>
        <w:t xml:space="preserve"> </w:t>
      </w:r>
      <w:r>
        <w:t xml:space="preserve">| QS / Cost Consultant | C | C | I | I | R (tender) | I |</w:t>
      </w:r>
      <w:r>
        <w:t xml:space="preserve"> </w:t>
      </w:r>
      <w:r>
        <w:t xml:space="preserve">| Modular Manufacturer / Contractor | C | C / R (modules) | I | R | R | C |</w:t>
      </w:r>
      <w:r>
        <w:t xml:space="preserve"> </w:t>
      </w:r>
      <w:r>
        <w:t xml:space="preserve">| Local Authorities / Building Control | I | I | R | I | I | I |</w:t>
      </w:r>
      <w:r>
        <w:t xml:space="preserve"> </w:t>
      </w:r>
      <w:r>
        <w:t xml:space="preserve">| Commissioning Agent / FM representative | I | I | I | I | I | R |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Clear division of design responsibility must be contractually defined, particularly for module manufacturing details and finishes scope.</w:t>
      </w:r>
      <w:r>
        <w:t xml:space="preserve"> </w:t>
      </w:r>
      <w:r>
        <w:t xml:space="preserve">- Early engagement of QS and contractors reduces risk of design choices pushing cost beyond target.</w:t>
      </w:r>
    </w:p>
    <w:p>
      <w:r>
        <w:pict>
          <v:rect style="width:0;height:1.5pt" o:hralign="center" o:hrstd="t" o:hr="t"/>
        </w:pict>
      </w:r>
    </w:p>
    <w:bookmarkEnd w:id="29"/>
    <w:bookmarkStart w:id="30" w:name="Xf85c306b3a50508155e5227b8dbaef72bd4c55e"/>
    <w:p>
      <w:pPr>
        <w:pStyle w:val="Heading2"/>
      </w:pPr>
      <w:r>
        <w:t xml:space="preserve">11. Cost-reduction Strategies (expanded and prioritized)</w:t>
      </w:r>
    </w:p>
    <w:p>
      <w:pPr>
        <w:pStyle w:val="FirstParagraph"/>
      </w:pPr>
      <w:r>
        <w:t xml:space="preserve">Practical recommendations ranked by potential cost impact and feasibility:</w:t>
      </w:r>
    </w:p>
    <w:p>
      <w:pPr>
        <w:pStyle w:val="BodyText"/>
      </w:pPr>
      <w:r>
        <w:t xml:space="preserve">High impact (early-stage actions)</w:t>
      </w:r>
      <w:r>
        <w:t xml:space="preserve"> </w:t>
      </w:r>
      <w:r>
        <w:t xml:space="preserve">1. Standardize unit layouts and finishes (high impact) — limit layout variants and lock finishes early to reduce order complexity.</w:t>
      </w:r>
      <w:r>
        <w:t xml:space="preserve"> </w:t>
      </w:r>
      <w:r>
        <w:t xml:space="preserve">2. Early Contractor Involvement (ECI) (high impact) — secure manufacturing slots and value-engineer module geometry.</w:t>
      </w:r>
      <w:r>
        <w:t xml:space="preserve"> </w:t>
      </w:r>
      <w:r>
        <w:t xml:space="preserve">3. Optimize module dimensions to shipping/economy widths (high/medium impact) — avoid special-width modules that require bespoke transport.</w:t>
      </w:r>
      <w:r>
        <w:t xml:space="preserve"> </w:t>
      </w:r>
      <w:r>
        <w:t xml:space="preserve">4. Conservative allowance for foundations until geotech report is complete (medium/high impact) — early geotech reduces unknowns.</w:t>
      </w:r>
    </w:p>
    <w:p>
      <w:pPr>
        <w:pStyle w:val="BodyText"/>
      </w:pPr>
      <w:r>
        <w:t xml:space="preserve">Medium impact (design &amp; procurement)</w:t>
      </w:r>
      <w:r>
        <w:t xml:space="preserve"> </w:t>
      </w:r>
      <w:r>
        <w:t xml:space="preserve">5. Use prefabricated sanitary pods and kitchen wall modules (medium impact) — reduce onsite trades and improve quality control.</w:t>
      </w:r>
      <w:r>
        <w:t xml:space="preserve"> </w:t>
      </w:r>
      <w:r>
        <w:t xml:space="preserve">6. Combine trades into integrated packages (medium impact) — single point contractor responsibility for MEP &amp; fit-out reduces coordination costs.</w:t>
      </w:r>
      <w:r>
        <w:t xml:space="preserve"> </w:t>
      </w:r>
      <w:r>
        <w:t xml:space="preserve">7. Review external works scope for phasing (low/medium) — delay or simplify landscaping to reduce early capital.</w:t>
      </w:r>
    </w:p>
    <w:p>
      <w:pPr>
        <w:pStyle w:val="BodyText"/>
      </w:pPr>
      <w:r>
        <w:t xml:space="preserve">Lower-cost quick wins</w:t>
      </w:r>
      <w:r>
        <w:t xml:space="preserve"> </w:t>
      </w:r>
      <w:r>
        <w:t xml:space="preserve">8. Bulk procurement of long-lead items (lighting, sanitaryware) with staged deliveries.</w:t>
      </w:r>
      <w:r>
        <w:t xml:space="preserve"> </w:t>
      </w:r>
      <w:r>
        <w:t xml:space="preserve">9. Simplify façade details with durable cladding that requires less bespoke manufacture.</w:t>
      </w:r>
      <w:r>
        <w:t xml:space="preserve"> </w:t>
      </w:r>
      <w:r>
        <w:t xml:space="preserve">10. Limit bespoke joinery and reduce custom sizes to standard modules.</w:t>
      </w:r>
    </w:p>
    <w:p>
      <w:pPr>
        <w:pStyle w:val="BodyText"/>
      </w:pPr>
      <w:r>
        <w:t xml:space="preserve">Value engineering moments</w:t>
      </w:r>
      <w:r>
        <w:t xml:space="preserve"> </w:t>
      </w:r>
      <w:r>
        <w:t xml:space="preserve">- 30% DD stage: review large-ticket items (PV scope, balconies, premium finishes).</w:t>
      </w:r>
      <w:r>
        <w:t xml:space="preserve"> </w:t>
      </w:r>
      <w:r>
        <w:t xml:space="preserve">- Pre-tender: freeze module dimensions to avoid late cost creep.</w:t>
      </w:r>
    </w:p>
    <w:p>
      <w:r>
        <w:pict>
          <v:rect style="width:0;height:1.5pt" o:hralign="center" o:hrstd="t" o:hr="t"/>
        </w:pict>
      </w:r>
    </w:p>
    <w:bookmarkEnd w:id="30"/>
    <w:bookmarkStart w:id="31" w:name="risk-register-mitigation"/>
    <w:p>
      <w:pPr>
        <w:pStyle w:val="Heading2"/>
      </w:pPr>
      <w:r>
        <w:t xml:space="preserve">12. Risk Register &amp; Mitigation</w:t>
      </w:r>
    </w:p>
    <w:p>
      <w:pPr>
        <w:pStyle w:val="FirstParagraph"/>
      </w:pPr>
      <w:r>
        <w:t xml:space="preserve">Key risks, likelihood, impact, and mitigation measures</w:t>
      </w:r>
    </w:p>
    <w:p>
      <w:pPr>
        <w:pStyle w:val="BodyText"/>
      </w:pPr>
      <w:r>
        <w:t xml:space="preserve">| Risk | Likelihood | Impact | Mitigation |</w:t>
      </w:r>
      <w:r>
        <w:t xml:space="preserve"> </w:t>
      </w:r>
      <w:r>
        <w:t xml:space="preserve">|-------------------------------------:|:----------:|:------:|:-----------|</w:t>
      </w:r>
      <w:r>
        <w:t xml:space="preserve"> </w:t>
      </w:r>
      <w:r>
        <w:t xml:space="preserve">| Permit delays / planning objections | Medium | High | Early stakeholder engagement; pre-application meetings; allocate 12–20 weeks in program; design to local policy. |</w:t>
      </w:r>
      <w:r>
        <w:t xml:space="preserve"> </w:t>
      </w:r>
      <w:r>
        <w:t xml:space="preserve">| Adverse geotechnical conditions | Low/Medium | High | Early geotechnical survey; provisional contingency for piled foundations; contingency in budget. |</w:t>
      </w:r>
      <w:r>
        <w:t xml:space="preserve"> </w:t>
      </w:r>
      <w:r>
        <w:t xml:space="preserve">| Material price inflation | High | Medium | Fixed-price procurement where possible; inflation clause management; contingency allowances. |</w:t>
      </w:r>
      <w:r>
        <w:t xml:space="preserve"> </w:t>
      </w:r>
      <w:r>
        <w:t xml:space="preserve">| Factory lead time &amp; capacity issues | Medium | High | Early manufacturer engagement; multiple supplier options; staggered production schedule. |</w:t>
      </w:r>
      <w:r>
        <w:t xml:space="preserve"> </w:t>
      </w:r>
      <w:r>
        <w:t xml:space="preserve">| Onsite logistics (crane access) | Medium | Medium | Early logistics study; permit and traffic management plan; alternative crane locations. |</w:t>
      </w:r>
      <w:r>
        <w:t xml:space="preserve"> </w:t>
      </w:r>
      <w:r>
        <w:t xml:space="preserve">| Fire regulation tightening | Low/Medium | Medium/High | Fire engineer engagement early; consider sprinkler baseline if timber used. |</w:t>
      </w:r>
      <w:r>
        <w:t xml:space="preserve"> </w:t>
      </w:r>
      <w:r>
        <w:t xml:space="preserve">| Acoustic performance &amp; complaints | Medium | Medium | Design resilient acoustic interfaces; perform pre-completion acoustic testing. |</w:t>
      </w:r>
      <w:r>
        <w:t xml:space="preserve"> </w:t>
      </w:r>
      <w:r>
        <w:t xml:space="preserve">| Supply chain failure (appliances) | Medium | Low/Medium | Early procurement and on-time logistics; provide substitutions with client approval. |</w:t>
      </w:r>
      <w:r>
        <w:t xml:space="preserve"> </w:t>
      </w:r>
      <w:r>
        <w:t xml:space="preserve">| Higher-than-expected demand for upgrades | Medium | Medium | Clear upgrade pricing schedule; manage buyer expectations with timeline and lead times. |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s-prioritized-next-steps"/>
    <w:p>
      <w:pPr>
        <w:pStyle w:val="Heading2"/>
      </w:pPr>
      <w:r>
        <w:t xml:space="preserve">13. Recommendations &amp; Prioritized Next Steps</w:t>
      </w:r>
    </w:p>
    <w:p>
      <w:pPr>
        <w:pStyle w:val="FirstParagraph"/>
      </w:pPr>
      <w:r>
        <w:t xml:space="preserve">Immediate actions (week 0–4)</w:t>
      </w:r>
      <w:r>
        <w:t xml:space="preserve"> </w:t>
      </w:r>
      <w:r>
        <w:t xml:space="preserve">1. Confirm site, constraint plan and client brief. Owner: Client &amp; Oscar. (1–2 weeks)</w:t>
      </w:r>
      <w:r>
        <w:t xml:space="preserve"> </w:t>
      </w:r>
      <w:r>
        <w:t xml:space="preserve">2. Instruct QS for a first-pass elemental cost plan to validate ranges; include scenario sensitivity for foundation risk and prefabrication premium. Owner: Client. (2–3 weeks)</w:t>
      </w:r>
      <w:r>
        <w:t xml:space="preserve"> </w:t>
      </w:r>
      <w:r>
        <w:t xml:space="preserve">3. Commission geotechnical and topographical surveys to identify foundation and access constraints. Owner: Client. (2–4 weeks)</w:t>
      </w:r>
    </w:p>
    <w:p>
      <w:pPr>
        <w:pStyle w:val="BodyText"/>
      </w:pPr>
      <w:r>
        <w:t xml:space="preserve">Short-term actions (week 4–12)</w:t>
      </w:r>
      <w:r>
        <w:t xml:space="preserve"> </w:t>
      </w:r>
      <w:r>
        <w:t xml:space="preserve">4. Proceed to Schematic Design to finalize module grid, unit catalogue and massing. Owner: Oscar / Awesome Inc. (6–8 weeks)</w:t>
      </w:r>
      <w:r>
        <w:t xml:space="preserve"> </w:t>
      </w:r>
      <w:r>
        <w:t xml:space="preserve">5. Select sustainability targets (DGNB, NZEB or client-specific) to define envelope, MVHR and energy performance requirements. Owner: Client + Oscar + Sustainability consultant. (1–2 weeks decision)</w:t>
      </w:r>
      <w:r>
        <w:t xml:space="preserve"> </w:t>
      </w:r>
      <w:r>
        <w:t xml:space="preserve">6. Begin pre-qualification of modular manufacturers and contractors; issue ECI brief. Owner: Client + QS. (6–8 weeks)</w:t>
      </w:r>
    </w:p>
    <w:p>
      <w:pPr>
        <w:pStyle w:val="BodyText"/>
      </w:pPr>
      <w:r>
        <w:t xml:space="preserve">Pre-procurement (week 12–20)</w:t>
      </w:r>
      <w:r>
        <w:t xml:space="preserve"> </w:t>
      </w:r>
      <w:r>
        <w:t xml:space="preserve">7. Value-engineering review at 30–50% detailed design with contractor input to finalize packaged procurement strategy and to lock in long-lead items and manufacturing slots.</w:t>
      </w:r>
      <w:r>
        <w:t xml:space="preserve"> </w:t>
      </w:r>
      <w:r>
        <w:t xml:space="preserve">8. Prepare and submit permit documentation; coordinate with local authority for early review cycles.</w:t>
      </w:r>
    </w:p>
    <w:p>
      <w:pPr>
        <w:pStyle w:val="BodyText"/>
      </w:pPr>
      <w:r>
        <w:t xml:space="preserve">Long-lead and programme control</w:t>
      </w:r>
      <w:r>
        <w:t xml:space="preserve"> </w:t>
      </w:r>
      <w:r>
        <w:t xml:space="preserve">9. Reserve factory production capacity while detailed design is finalised; negotiate production slots and adverse weather/strike clauses.</w:t>
      </w:r>
      <w:r>
        <w:t xml:space="preserve"> </w:t>
      </w:r>
      <w:r>
        <w:t xml:space="preserve">10. Plan logistics (crane lifts, road closure permits) with local authority and crane supplier at least 12 weeks ahead of module delivery.</w:t>
      </w:r>
    </w:p>
    <w:p>
      <w:pPr>
        <w:pStyle w:val="BodyText"/>
      </w:pPr>
      <w:r>
        <w:t xml:space="preserve">Optional next deliverables offered</w:t>
      </w:r>
      <w:r>
        <w:t xml:space="preserve"> </w:t>
      </w:r>
      <w:r>
        <w:t xml:space="preserve">- Refine numbers to match a real site (provide plot address or site parameter set).</w:t>
      </w:r>
      <w:r>
        <w:t xml:space="preserve"> </w:t>
      </w:r>
      <w:r>
        <w:t xml:space="preserve">- Produce unit floorplans and modular details in CAD/SKETCHUP for client review.</w:t>
      </w:r>
      <w:r>
        <w:t xml:space="preserve"> </w:t>
      </w:r>
      <w:r>
        <w:t xml:space="preserve">- Prepare tender documentation for QS and assist with procurement (two-stage tender pack).</w:t>
      </w:r>
    </w:p>
    <w:p>
      <w:r>
        <w:pict>
          <v:rect style="width:0;height:1.5pt" o:hralign="center" o:hrstd="t" o:hr="t"/>
        </w:pict>
      </w:r>
    </w:p>
    <w:bookmarkEnd w:id="32"/>
    <w:bookmarkStart w:id="33" w:name="X0dc24a07cf719bba2cca6e8a19e923ff9a90651"/>
    <w:p>
      <w:pPr>
        <w:pStyle w:val="Heading2"/>
      </w:pPr>
      <w:r>
        <w:t xml:space="preserve">14. Appendix A — Detailed Worked Example: Unit-level Cost and Area Breakdown</w:t>
      </w:r>
    </w:p>
    <w:p>
      <w:pPr>
        <w:pStyle w:val="FirstParagraph"/>
      </w:pPr>
      <w:r>
        <w:t xml:space="preserve">Example building: 2,000 m² GFA, 25 units. Below is an illustrative per-unit cost and area breakdown for the mid-range scenario:</w:t>
      </w:r>
    </w:p>
    <w:p>
      <w:pPr>
        <w:pStyle w:val="BodyText"/>
      </w:pPr>
      <w:r>
        <w:t xml:space="preserve">Assumptions</w:t>
      </w:r>
      <w:r>
        <w:t xml:space="preserve"> </w:t>
      </w:r>
      <w:r>
        <w:t xml:space="preserve">- Unit mix (example):</w:t>
      </w:r>
      <w:r>
        <w:t xml:space="preserve"> </w:t>
      </w:r>
      <w:r>
        <w:t xml:space="preserve">- 6 × Type A (1BR @ 55 m²)</w:t>
      </w:r>
      <w:r>
        <w:t xml:space="preserve"> </w:t>
      </w:r>
      <w:r>
        <w:t xml:space="preserve">- 13 × Type B (2BR @ 78 m²)</w:t>
      </w:r>
      <w:r>
        <w:t xml:space="preserve"> </w:t>
      </w:r>
      <w:r>
        <w:t xml:space="preserve">- 6 × Type C (3BR @ 95 m²)</w:t>
      </w:r>
      <w:r>
        <w:t xml:space="preserve"> </w:t>
      </w:r>
      <w:r>
        <w:t xml:space="preserve">- Circulation, cores, plant room and walls account for 15–20% of GFA.</w:t>
      </w:r>
    </w:p>
    <w:p>
      <w:pPr>
        <w:pStyle w:val="BodyText"/>
      </w:pPr>
      <w:r>
        <w:t xml:space="preserve">Area distribution (approximate)</w:t>
      </w:r>
      <w:r>
        <w:t xml:space="preserve"> </w:t>
      </w:r>
      <w:r>
        <w:t xml:space="preserve">- Net internal area total: sum of unit nets ≈ 1,750 m²</w:t>
      </w:r>
      <w:r>
        <w:t xml:space="preserve"> </w:t>
      </w:r>
      <w:r>
        <w:t xml:space="preserve">- Common circulation &amp; plant: 250 m² (this is illustrative and will vary)</w:t>
      </w:r>
    </w:p>
    <w:p>
      <w:pPr>
        <w:pStyle w:val="BodyText"/>
      </w:pPr>
      <w:r>
        <w:t xml:space="preserve">Per-unit cost breakdown (mid-range, approximate per unit)</w:t>
      </w:r>
      <w:r>
        <w:t xml:space="preserve"> </w:t>
      </w:r>
      <w:r>
        <w:t xml:space="preserve">- Average mid-range per-unit total (incl. contingency &amp; fees): €238,000</w:t>
      </w:r>
      <w:r>
        <w:t xml:space="preserve"> </w:t>
      </w:r>
      <w:r>
        <w:t xml:space="preserve">- Allocation example for an average 78 m² 2BR unit:</w:t>
      </w:r>
      <w:r>
        <w:t xml:space="preserve"> </w:t>
      </w:r>
      <w:r>
        <w:t xml:space="preserve">- Structure &amp; shell share: €62,500</w:t>
      </w:r>
      <w:r>
        <w:t xml:space="preserve"> </w:t>
      </w:r>
      <w:r>
        <w:t xml:space="preserve">- Internal finishes &amp; fit-out (kitchen, bathrooms): €47,500</w:t>
      </w:r>
      <w:r>
        <w:t xml:space="preserve"> </w:t>
      </w:r>
      <w:r>
        <w:t xml:space="preserve">- MEP apportioned: €47,500</w:t>
      </w:r>
      <w:r>
        <w:t xml:space="preserve"> </w:t>
      </w:r>
      <w:r>
        <w:t xml:space="preserve">- Balconies &amp; special items: €10,500</w:t>
      </w:r>
      <w:r>
        <w:t xml:space="preserve"> </w:t>
      </w:r>
      <w:r>
        <w:t xml:space="preserve">- External works &amp; communal: €9,000</w:t>
      </w:r>
      <w:r>
        <w:t xml:space="preserve"> </w:t>
      </w:r>
      <w:r>
        <w:t xml:space="preserve">- Pro-rated preliminaries &amp; site costs: €13,500</w:t>
      </w:r>
      <w:r>
        <w:t xml:space="preserve"> </w:t>
      </w:r>
      <w:r>
        <w:t xml:space="preserve">- Professional fees &amp; contingency (apportioned): €47,000</w:t>
      </w:r>
    </w:p>
    <w:p>
      <w:pPr>
        <w:pStyle w:val="BodyText"/>
      </w:pPr>
      <w:r>
        <w:t xml:space="preserve">Note: Smaller units have higher cost per m² due to fixed MEP and communal apportionments.</w:t>
      </w:r>
    </w:p>
    <w:p>
      <w:r>
        <w:pict>
          <v:rect style="width:0;height:1.5pt" o:hralign="center" o:hrstd="t" o:hr="t"/>
        </w:pict>
      </w:r>
    </w:p>
    <w:bookmarkEnd w:id="33"/>
    <w:bookmarkStart w:id="34" w:name="appendix-b-sample-specification-extracts"/>
    <w:p>
      <w:pPr>
        <w:pStyle w:val="Heading2"/>
      </w:pPr>
      <w:r>
        <w:t xml:space="preserve">15. Appendix B — Sample Specification Extracts</w:t>
      </w:r>
    </w:p>
    <w:p>
      <w:pPr>
        <w:pStyle w:val="FirstParagraph"/>
      </w:pPr>
      <w:r>
        <w:t xml:space="preserve">A. Kitchen baseline specification (mid-range)</w:t>
      </w:r>
      <w:r>
        <w:t xml:space="preserve"> </w:t>
      </w:r>
      <w:r>
        <w:t xml:space="preserve">- Base units: melamine-faced particleboard; 720 mm worktop height.</w:t>
      </w:r>
      <w:r>
        <w:t xml:space="preserve"> </w:t>
      </w:r>
      <w:r>
        <w:t xml:space="preserve">- Worktop: laminate HPL, 40 mm edge.</w:t>
      </w:r>
      <w:r>
        <w:t xml:space="preserve"> </w:t>
      </w:r>
      <w:r>
        <w:t xml:space="preserve">- Appliances: 60 cm induction hob, 60 cm electric oven, integrated dishwasher (full height in 2BR+), undermount sink with single-lever mixer.</w:t>
      </w:r>
      <w:r>
        <w:t xml:space="preserve"> </w:t>
      </w:r>
      <w:r>
        <w:t xml:space="preserve">- Lighting: under-cabinet LED strips.</w:t>
      </w:r>
      <w:r>
        <w:t xml:space="preserve"> </w:t>
      </w:r>
      <w:r>
        <w:t xml:space="preserve">- Warranty: 2 years parts &amp; labour; extended manufacturer warranties as per supplier.</w:t>
      </w:r>
    </w:p>
    <w:p>
      <w:pPr>
        <w:pStyle w:val="BodyText"/>
      </w:pPr>
      <w:r>
        <w:t xml:space="preserve">B. Bathroom baseline specification (prefab module)</w:t>
      </w:r>
      <w:r>
        <w:t xml:space="preserve"> </w:t>
      </w:r>
      <w:r>
        <w:t xml:space="preserve">- Shower: thermostatic mixer, 900 × 900 mm shower tray with glass screen.</w:t>
      </w:r>
      <w:r>
        <w:t xml:space="preserve"> </w:t>
      </w:r>
      <w:r>
        <w:t xml:space="preserve">- Basin: wall-hung, semi-recessed with mixer.</w:t>
      </w:r>
      <w:r>
        <w:t xml:space="preserve"> </w:t>
      </w:r>
      <w:r>
        <w:t xml:space="preserve">- WC: wall-hung with soft-close seat.</w:t>
      </w:r>
      <w:r>
        <w:t xml:space="preserve"> </w:t>
      </w:r>
      <w:r>
        <w:t xml:space="preserve">- Extract ventilation: integrated to MVHR or local extract.</w:t>
      </w:r>
      <w:r>
        <w:t xml:space="preserve"> </w:t>
      </w:r>
      <w:r>
        <w:t xml:space="preserve">- Tiles: ceramic to full height in wet zones; slip-resistant floor tile to required rating.</w:t>
      </w:r>
    </w:p>
    <w:p>
      <w:pPr>
        <w:pStyle w:val="BodyText"/>
      </w:pPr>
      <w:r>
        <w:t xml:space="preserve">C. MVHR system example (baseline performance)</w:t>
      </w:r>
      <w:r>
        <w:t xml:space="preserve"> </w:t>
      </w:r>
      <w:r>
        <w:t xml:space="preserve">- Sensible heat recovery efficiency: ≥ 75%</w:t>
      </w:r>
      <w:r>
        <w:t xml:space="preserve"> </w:t>
      </w:r>
      <w:r>
        <w:t xml:space="preserve">- Fan watts per litre/s: aim ≤ 0.9 W/(l/s)</w:t>
      </w:r>
      <w:r>
        <w:t xml:space="preserve"> </w:t>
      </w:r>
      <w:r>
        <w:t xml:space="preserve">- Filters: G4 standard with option for F7 upgraded filtration as buyer option (e.g., for allergy considerations).</w:t>
      </w:r>
    </w:p>
    <w:p>
      <w:r>
        <w:pict>
          <v:rect style="width:0;height:1.5pt" o:hralign="center" o:hrstd="t" o:hr="t"/>
        </w:pict>
      </w:r>
    </w:p>
    <w:bookmarkEnd w:id="34"/>
    <w:bookmarkStart w:id="35" w:name="X50b085bd2a9f47846cab878290ddba5abe026da"/>
    <w:p>
      <w:pPr>
        <w:pStyle w:val="Heading2"/>
      </w:pPr>
      <w:r>
        <w:t xml:space="preserve">16. Appendix C — Decision Matrix: Timber vs Full RC</w:t>
      </w:r>
    </w:p>
    <w:p>
      <w:pPr>
        <w:pStyle w:val="FirstParagraph"/>
      </w:pPr>
      <w:r>
        <w:t xml:space="preserve">Criteria comparison to help choose primary structure</w:t>
      </w:r>
    </w:p>
    <w:p>
      <w:pPr>
        <w:pStyle w:val="Compact"/>
        <w:numPr>
          <w:ilvl w:val="0"/>
          <w:numId w:val="1003"/>
        </w:numPr>
      </w:pPr>
      <w:r>
        <w:t xml:space="preserve">Carbon footprint:</w:t>
      </w:r>
    </w:p>
    <w:p>
      <w:pPr>
        <w:pStyle w:val="Compact"/>
        <w:numPr>
          <w:ilvl w:val="0"/>
          <w:numId w:val="1003"/>
        </w:numPr>
      </w:pPr>
      <w:r>
        <w:t xml:space="preserve">Timber: lower embodied carbon.</w:t>
      </w:r>
    </w:p>
    <w:p>
      <w:pPr>
        <w:pStyle w:val="Compact"/>
        <w:numPr>
          <w:ilvl w:val="0"/>
          <w:numId w:val="1003"/>
        </w:numPr>
      </w:pPr>
      <w:r>
        <w:t xml:space="preserve">RC: higher embodied carbon (but possibility to use recycled aggregates/cement reduction).</w:t>
      </w:r>
    </w:p>
    <w:p>
      <w:pPr>
        <w:pStyle w:val="Compact"/>
        <w:numPr>
          <w:ilvl w:val="0"/>
          <w:numId w:val="1003"/>
        </w:numPr>
      </w:pPr>
      <w:r>
        <w:t xml:space="preserve">Fire performance:</w:t>
      </w:r>
    </w:p>
    <w:p>
      <w:pPr>
        <w:pStyle w:val="Compact"/>
        <w:numPr>
          <w:ilvl w:val="0"/>
          <w:numId w:val="1003"/>
        </w:numPr>
      </w:pPr>
      <w:r>
        <w:t xml:space="preserve">Timber: requires encapsulation / fire design; sprinklering may be needed/ recommended.</w:t>
      </w:r>
    </w:p>
    <w:p>
      <w:pPr>
        <w:pStyle w:val="Compact"/>
        <w:numPr>
          <w:ilvl w:val="0"/>
          <w:numId w:val="1003"/>
        </w:numPr>
      </w:pPr>
      <w:r>
        <w:t xml:space="preserve">RC: inherent fire resistance; simpler to meet high REI ratings.</w:t>
      </w:r>
    </w:p>
    <w:p>
      <w:pPr>
        <w:pStyle w:val="Compact"/>
        <w:numPr>
          <w:ilvl w:val="0"/>
          <w:numId w:val="1003"/>
        </w:numPr>
      </w:pPr>
      <w:r>
        <w:t xml:space="preserve">Acoustic performance:</w:t>
      </w:r>
    </w:p>
    <w:p>
      <w:pPr>
        <w:pStyle w:val="Compact"/>
        <w:numPr>
          <w:ilvl w:val="0"/>
          <w:numId w:val="1003"/>
        </w:numPr>
      </w:pPr>
      <w:r>
        <w:t xml:space="preserve">Timber modular: extra attention to inter-floor impact sound; additional floating floors required.</w:t>
      </w:r>
    </w:p>
    <w:p>
      <w:pPr>
        <w:pStyle w:val="Compact"/>
        <w:numPr>
          <w:ilvl w:val="0"/>
          <w:numId w:val="1003"/>
        </w:numPr>
      </w:pPr>
      <w:r>
        <w:t xml:space="preserve">RC: typically better baseline acoustic performance.</w:t>
      </w:r>
    </w:p>
    <w:p>
      <w:pPr>
        <w:pStyle w:val="Compact"/>
        <w:numPr>
          <w:ilvl w:val="0"/>
          <w:numId w:val="1003"/>
        </w:numPr>
      </w:pPr>
      <w:r>
        <w:t xml:space="preserve">Programme:</w:t>
      </w:r>
    </w:p>
    <w:p>
      <w:pPr>
        <w:pStyle w:val="Compact"/>
        <w:numPr>
          <w:ilvl w:val="0"/>
          <w:numId w:val="1003"/>
        </w:numPr>
      </w:pPr>
      <w:r>
        <w:t xml:space="preserve">Timber modular: faster onsite erection, shorter program.</w:t>
      </w:r>
    </w:p>
    <w:p>
      <w:pPr>
        <w:pStyle w:val="Compact"/>
        <w:numPr>
          <w:ilvl w:val="0"/>
          <w:numId w:val="1003"/>
        </w:numPr>
      </w:pPr>
      <w:r>
        <w:t xml:space="preserve">RC: longer onsite schedule for cast-in-place operations.</w:t>
      </w:r>
    </w:p>
    <w:p>
      <w:pPr>
        <w:pStyle w:val="Compact"/>
        <w:numPr>
          <w:ilvl w:val="0"/>
          <w:numId w:val="1003"/>
        </w:numPr>
      </w:pPr>
      <w:r>
        <w:t xml:space="preserve">Cost:</w:t>
      </w:r>
    </w:p>
    <w:p>
      <w:pPr>
        <w:pStyle w:val="Compact"/>
        <w:numPr>
          <w:ilvl w:val="0"/>
          <w:numId w:val="1003"/>
        </w:numPr>
      </w:pPr>
      <w:r>
        <w:t xml:space="preserve">Timber modules can be competitively priced but may include premium for on-factory finishes; RC cost varies with complexity and site constraints.</w:t>
      </w:r>
    </w:p>
    <w:p>
      <w:pPr>
        <w:pStyle w:val="FirstParagraph"/>
      </w:pPr>
      <w:r>
        <w:t xml:space="preserve">Recommendation: Hybrid approach (RC core + timber modules) recommended for balance between speed, carbon reduction and risk mitigation.</w:t>
      </w:r>
    </w:p>
    <w:p>
      <w:r>
        <w:pict>
          <v:rect style="width:0;height:1.5pt" o:hralign="center" o:hrstd="t" o:hr="t"/>
        </w:pict>
      </w:r>
    </w:p>
    <w:bookmarkEnd w:id="35"/>
    <w:bookmarkStart w:id="36" w:name="appendix-d-glossary-acronyms"/>
    <w:p>
      <w:pPr>
        <w:pStyle w:val="Heading2"/>
      </w:pPr>
      <w:r>
        <w:t xml:space="preserve">17. Appendix D — Glossary &amp; Acronyms</w:t>
      </w:r>
    </w:p>
    <w:p>
      <w:pPr>
        <w:pStyle w:val="Compact"/>
        <w:numPr>
          <w:ilvl w:val="0"/>
          <w:numId w:val="1004"/>
        </w:numPr>
      </w:pPr>
      <w:r>
        <w:t xml:space="preserve">GFA: Gross Floor Area</w:t>
      </w:r>
    </w:p>
    <w:p>
      <w:pPr>
        <w:pStyle w:val="Compact"/>
        <w:numPr>
          <w:ilvl w:val="0"/>
          <w:numId w:val="1004"/>
        </w:numPr>
      </w:pPr>
      <w:r>
        <w:t xml:space="preserve">CLT: Cross-Laminated Timber</w:t>
      </w:r>
    </w:p>
    <w:p>
      <w:pPr>
        <w:pStyle w:val="Compact"/>
        <w:numPr>
          <w:ilvl w:val="0"/>
          <w:numId w:val="1004"/>
        </w:numPr>
      </w:pPr>
      <w:r>
        <w:t xml:space="preserve">MVHR: Mechanical Ventilation with Heat Recovery</w:t>
      </w:r>
    </w:p>
    <w:p>
      <w:pPr>
        <w:pStyle w:val="Compact"/>
        <w:numPr>
          <w:ilvl w:val="0"/>
          <w:numId w:val="1004"/>
        </w:numPr>
      </w:pPr>
      <w:r>
        <w:t xml:space="preserve">MEP: Mechanical, Electrical &amp; Plumbing</w:t>
      </w:r>
    </w:p>
    <w:p>
      <w:pPr>
        <w:pStyle w:val="Compact"/>
        <w:numPr>
          <w:ilvl w:val="0"/>
          <w:numId w:val="1004"/>
        </w:numPr>
      </w:pPr>
      <w:r>
        <w:t xml:space="preserve">QS: Quantity Surveyor</w:t>
      </w:r>
    </w:p>
    <w:p>
      <w:pPr>
        <w:pStyle w:val="Compact"/>
        <w:numPr>
          <w:ilvl w:val="0"/>
          <w:numId w:val="1004"/>
        </w:numPr>
      </w:pPr>
      <w:r>
        <w:t xml:space="preserve">ECI: Early Contractor Involvement</w:t>
      </w:r>
    </w:p>
    <w:p>
      <w:pPr>
        <w:pStyle w:val="Compact"/>
        <w:numPr>
          <w:ilvl w:val="0"/>
          <w:numId w:val="1004"/>
        </w:numPr>
      </w:pPr>
      <w:r>
        <w:t xml:space="preserve">DGNB: Deutsche Gesellschaft für Nachhaltiges Bauen (German Sustainable Building Council)</w:t>
      </w:r>
    </w:p>
    <w:p>
      <w:pPr>
        <w:pStyle w:val="Compact"/>
        <w:numPr>
          <w:ilvl w:val="0"/>
          <w:numId w:val="1004"/>
        </w:numPr>
      </w:pPr>
      <w:r>
        <w:t xml:space="preserve">REI: Fire resistance classification (Resistance, Integrity, Insulation)</w:t>
      </w:r>
    </w:p>
    <w:p>
      <w:pPr>
        <w:pStyle w:val="Compact"/>
        <w:numPr>
          <w:ilvl w:val="0"/>
          <w:numId w:val="1004"/>
        </w:numPr>
      </w:pPr>
      <w:r>
        <w:t xml:space="preserve">ACH@50Pa: Air Changes per hour at 50 Pascals (airtightness metric)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would like any of the following next steps, I can prepare them (pick one or more):</w:t>
      </w:r>
      <w:r>
        <w:t xml:space="preserve"> </w:t>
      </w:r>
      <w:r>
        <w:t xml:space="preserve">1. Refine the cost and schedule to site-specific parameters — provide plot address, orientation, local planning constraints and geotechnical summary if available.</w:t>
      </w:r>
      <w:r>
        <w:t xml:space="preserve"> </w:t>
      </w:r>
      <w:r>
        <w:t xml:space="preserve">2. Produce unit floorplans and modular connection details in CAD/SKETCHUP (deliverable: DWG/SKP + PDF floorplans and a module catalogue).</w:t>
      </w:r>
      <w:r>
        <w:t xml:space="preserve"> </w:t>
      </w:r>
      <w:r>
        <w:t xml:space="preserve">3. Prepare tender documentation for a QS including an elemental cost breakdown, specification baseline and pre-qualification questionnaire for modular manufacturers.</w:t>
      </w:r>
      <w:r>
        <w:t xml:space="preserve"> </w:t>
      </w:r>
      <w:r>
        <w:t xml:space="preserve">4. Produce a simple lifecycle cost model (capex + 20-year opex) comparing baseline and premium energy options (with sample PV and heat pump sizing).</w:t>
      </w:r>
    </w:p>
    <w:p>
      <w:pPr>
        <w:pStyle w:val="BodyText"/>
      </w:pPr>
      <w:r>
        <w:t xml:space="preserve">Which would you like me to prepare next?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2026-01-26T14:16:45Z</dcterms:created>
  <dcterms:modified xsi:type="dcterms:W3CDTF">2026-01-26T14:16:45Z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