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X58681c201f220096514578c0d811110719961f3"/>
    <w:p>
      <w:pPr>
        <w:pStyle w:val="Heading1"/>
      </w:pPr>
      <w:r>
        <w:t xml:space="preserve">Architectural Proposal for Standard Apartment Building Configuration</w:t>
      </w:r>
    </w:p>
    <w:bookmarkStart w:id="20" w:name="introduction"/>
    <w:p>
      <w:pPr>
        <w:pStyle w:val="Heading2"/>
      </w:pPr>
      <w:r>
        <w:t xml:space="preserve">Introduction</w:t>
      </w:r>
    </w:p>
    <w:p>
      <w:pPr>
        <w:pStyle w:val="FirstParagraph"/>
      </w:pPr>
      <w:r>
        <w:t xml:space="preserve">This architectural proposal presents a comprehensive design framework for a new standard apartment building configuration, developed by Awesome Inc., a company recognized for innovative, sustainable architectural solutions. The proposal aims to provide clients—ranging from real estate developers to urban planners—with pre-defined, modular apartment layouts that optimize space, functionality, and aesthetics while emphasizing environmental sustainability. These configurations are designed to be adaptable to various urban contexts, prioritizing compliance with German local building codes to ensure smooth approval and construction processes.</w:t>
      </w:r>
    </w:p>
    <w:p>
      <w:pPr>
        <w:pStyle w:val="BodyText"/>
      </w:pPr>
      <w:r>
        <w:t xml:space="preserve">The core intent is to craft living environments that harmonize modern urban lifestyles with ecological responsibility. By leveraging cutting-edge materials and smart technologies, these apartment configurations strive to become a benchmark for future multi-residential developments across Germany and similar European markets.</w:t>
      </w:r>
    </w:p>
    <w:p>
      <w:r>
        <w:pict>
          <v:rect style="width:0;height:1.5pt" o:hralign="center" o:hrstd="t" o:hr="t"/>
        </w:pict>
      </w:r>
    </w:p>
    <w:bookmarkEnd w:id="20"/>
    <w:bookmarkStart w:id="21" w:name="design-objectives"/>
    <w:p>
      <w:pPr>
        <w:pStyle w:val="Heading2"/>
      </w:pPr>
      <w:r>
        <w:t xml:space="preserve">Design Objectives</w:t>
      </w:r>
    </w:p>
    <w:p>
      <w:pPr>
        <w:pStyle w:val="FirstParagraph"/>
      </w:pPr>
      <w:r>
        <w:t xml:space="preserve">In developing the standard apartment building configuration, Awesome Inc. has defined the following key objectives:</w:t>
      </w:r>
    </w:p>
    <w:p>
      <w:pPr>
        <w:pStyle w:val="Compact"/>
        <w:numPr>
          <w:ilvl w:val="0"/>
          <w:numId w:val="1001"/>
        </w:numPr>
      </w:pPr>
      <w:r>
        <w:rPr>
          <w:b/>
          <w:bCs/>
        </w:rPr>
        <w:t xml:space="preserve">Modular Flexibility and Adaptability:</w:t>
      </w:r>
    </w:p>
    <w:p>
      <w:pPr>
        <w:pStyle w:val="Compact"/>
        <w:numPr>
          <w:ilvl w:val="0"/>
          <w:numId w:val="1001"/>
        </w:numPr>
      </w:pPr>
      <w:r>
        <w:t xml:space="preserve">Develop housing units based on modular components to allow easy customization and future adaptability.</w:t>
      </w:r>
    </w:p>
    <w:p>
      <w:pPr>
        <w:pStyle w:val="Compact"/>
        <w:numPr>
          <w:ilvl w:val="0"/>
          <w:numId w:val="1001"/>
        </w:numPr>
      </w:pPr>
      <w:r>
        <w:t xml:space="preserve">Facilitate configurations accommodating different family sizes and functional needs—singles, couples, families, and seniors.</w:t>
      </w:r>
    </w:p>
    <w:p>
      <w:pPr>
        <w:numPr>
          <w:ilvl w:val="0"/>
          <w:numId w:val="1001"/>
        </w:numPr>
      </w:pPr>
      <w:r>
        <w:t xml:space="preserve">Encourage adaptability for various site constraints, including plot size, orientation, and urban density.</w:t>
      </w:r>
    </w:p>
    <w:p>
      <w:pPr>
        <w:numPr>
          <w:ilvl w:val="0"/>
          <w:numId w:val="1001"/>
        </w:numPr>
      </w:pPr>
      <w:r>
        <w:rPr>
          <w:b/>
          <w:bCs/>
        </w:rPr>
        <w:t xml:space="preserve">Sustainability and Environmental Responsibility:</w:t>
      </w:r>
    </w:p>
    <w:p>
      <w:pPr>
        <w:pStyle w:val="Compact"/>
        <w:numPr>
          <w:ilvl w:val="0"/>
          <w:numId w:val="1001"/>
        </w:numPr>
      </w:pPr>
      <w:r>
        <w:t xml:space="preserve">Embed eco-friendly design principles throughout the building lifecycle—materials sourcing, construction, operation, and end of life.</w:t>
      </w:r>
    </w:p>
    <w:p>
      <w:pPr>
        <w:pStyle w:val="Compact"/>
        <w:numPr>
          <w:ilvl w:val="0"/>
          <w:numId w:val="1001"/>
        </w:numPr>
      </w:pPr>
      <w:r>
        <w:t xml:space="preserve">Optimize energy consumption through passive design strategies complemented by active renewable systems.</w:t>
      </w:r>
    </w:p>
    <w:p>
      <w:pPr>
        <w:numPr>
          <w:ilvl w:val="0"/>
          <w:numId w:val="1001"/>
        </w:numPr>
      </w:pPr>
      <w:r>
        <w:t xml:space="preserve">Utilize recyclable and low-impact materials to minimize the ecological footprint.</w:t>
      </w:r>
    </w:p>
    <w:p>
      <w:pPr>
        <w:numPr>
          <w:ilvl w:val="0"/>
          <w:numId w:val="1001"/>
        </w:numPr>
      </w:pPr>
      <w:r>
        <w:rPr>
          <w:b/>
          <w:bCs/>
        </w:rPr>
        <w:t xml:space="preserve">Cost-Effective Quality:</w:t>
      </w:r>
    </w:p>
    <w:p>
      <w:pPr>
        <w:pStyle w:val="Compact"/>
        <w:numPr>
          <w:ilvl w:val="0"/>
          <w:numId w:val="1001"/>
        </w:numPr>
      </w:pPr>
      <w:r>
        <w:t xml:space="preserve">Achieve an optimal balance wherein high-quality materials and finishes are selectively used without excessive costs.</w:t>
      </w:r>
    </w:p>
    <w:p>
      <w:pPr>
        <w:pStyle w:val="Compact"/>
        <w:numPr>
          <w:ilvl w:val="0"/>
          <w:numId w:val="1001"/>
        </w:numPr>
      </w:pPr>
      <w:r>
        <w:t xml:space="preserve">Emphasize prefabrication and modular construction to reduce build times and labor expenses.</w:t>
      </w:r>
    </w:p>
    <w:p>
      <w:pPr>
        <w:numPr>
          <w:ilvl w:val="0"/>
          <w:numId w:val="1001"/>
        </w:numPr>
      </w:pPr>
      <w:r>
        <w:t xml:space="preserve">Maintain affordability for end-users or investors by ensuring lifecycle cost savings, including reduced maintenance and utility bills.</w:t>
      </w:r>
    </w:p>
    <w:p>
      <w:pPr>
        <w:numPr>
          <w:ilvl w:val="0"/>
          <w:numId w:val="1001"/>
        </w:numPr>
      </w:pPr>
      <w:r>
        <w:rPr>
          <w:b/>
          <w:bCs/>
        </w:rPr>
        <w:t xml:space="preserve">Community and Well-being:</w:t>
      </w:r>
    </w:p>
    <w:p>
      <w:pPr>
        <w:pStyle w:val="Compact"/>
        <w:numPr>
          <w:ilvl w:val="0"/>
          <w:numId w:val="1001"/>
        </w:numPr>
      </w:pPr>
      <w:r>
        <w:t xml:space="preserve">Integrate communal and interactive spaces to foster social engagement within the apartment complex.</w:t>
      </w:r>
    </w:p>
    <w:p>
      <w:pPr>
        <w:pStyle w:val="Compact"/>
        <w:numPr>
          <w:ilvl w:val="0"/>
          <w:numId w:val="1001"/>
        </w:numPr>
      </w:pPr>
      <w:r>
        <w:t xml:space="preserve">Promote natural light, fresh air circulation, and biophilic design elements to enhance occupant health and comfort.</w:t>
      </w:r>
    </w:p>
    <w:p>
      <w:pPr>
        <w:pStyle w:val="Compact"/>
        <w:numPr>
          <w:ilvl w:val="0"/>
          <w:numId w:val="1001"/>
        </w:numPr>
      </w:pPr>
      <w:r>
        <w:t xml:space="preserve">Include accessibility features to make homes inclusive for people with disabilities or limited mobility.</w:t>
      </w:r>
    </w:p>
    <w:p>
      <w:r>
        <w:pict>
          <v:rect style="width:0;height:1.5pt" o:hralign="center" o:hrstd="t" o:hr="t"/>
        </w:pict>
      </w:r>
    </w:p>
    <w:bookmarkEnd w:id="21"/>
    <w:bookmarkStart w:id="25" w:name="standard-elements-configuration"/>
    <w:p>
      <w:pPr>
        <w:pStyle w:val="Heading2"/>
      </w:pPr>
      <w:r>
        <w:t xml:space="preserve">Standard Elements Configuration</w:t>
      </w:r>
    </w:p>
    <w:p>
      <w:pPr>
        <w:pStyle w:val="FirstParagraph"/>
      </w:pPr>
      <w:r>
        <w:t xml:space="preserve">The recommended standard apartment configurations include several defining architectural and technical features carefully optimized for comfort, sustainability, and cost efficiency. Below is a detailed breakdown of these elements:</w:t>
      </w:r>
    </w:p>
    <w:bookmarkStart w:id="22" w:name="layout-and-space-planning"/>
    <w:p>
      <w:pPr>
        <w:pStyle w:val="Heading3"/>
      </w:pPr>
      <w:r>
        <w:t xml:space="preserve">1. Layout and Space Planning</w:t>
      </w:r>
    </w:p>
    <w:p>
      <w:pPr>
        <w:numPr>
          <w:ilvl w:val="0"/>
          <w:numId w:val="1002"/>
        </w:numPr>
      </w:pPr>
      <w:r>
        <w:rPr>
          <w:b/>
          <w:bCs/>
        </w:rPr>
        <w:t xml:space="preserve">Open-plan Living Areas:</w:t>
      </w:r>
      <w:r>
        <w:br/>
      </w:r>
      <w:r>
        <w:t xml:space="preserve">The apartments feature spacious open-plan living, dining, and kitchen areas which maximize usability and promote social interaction. The flexible layout supports multifunctional furniture setups and future reconfiguration if needed.</w:t>
      </w:r>
    </w:p>
    <w:p>
      <w:pPr>
        <w:numPr>
          <w:ilvl w:val="0"/>
          <w:numId w:val="1002"/>
        </w:numPr>
      </w:pPr>
      <w:r>
        <w:rPr>
          <w:b/>
          <w:bCs/>
        </w:rPr>
        <w:t xml:space="preserve">Bedrooms and Private Spaces:</w:t>
      </w:r>
      <w:r>
        <w:br/>
      </w:r>
      <w:r>
        <w:t xml:space="preserve">Separate sleeping quarters are strategically located to reduce noise interference from communal spaces, with sizes varying from compact studios (25-35 m²) to larger three-bedroom apartments (up to 85 m²).</w:t>
      </w:r>
    </w:p>
    <w:p>
      <w:pPr>
        <w:numPr>
          <w:ilvl w:val="0"/>
          <w:numId w:val="1002"/>
        </w:numPr>
      </w:pPr>
      <w:r>
        <w:rPr>
          <w:b/>
          <w:bCs/>
        </w:rPr>
        <w:t xml:space="preserve">Storage Solutions:</w:t>
      </w:r>
      <w:r>
        <w:br/>
      </w:r>
      <w:r>
        <w:t xml:space="preserve">Integrated closets, under-stair storage, and modular shelving units maximize usable space in all units.</w:t>
      </w:r>
    </w:p>
    <w:bookmarkEnd w:id="22"/>
    <w:bookmarkStart w:id="23" w:name="architectural-features"/>
    <w:p>
      <w:pPr>
        <w:pStyle w:val="Heading3"/>
      </w:pPr>
      <w:r>
        <w:t xml:space="preserve">2. Architectural Features</w:t>
      </w:r>
    </w:p>
    <w:p>
      <w:pPr>
        <w:numPr>
          <w:ilvl w:val="0"/>
          <w:numId w:val="1003"/>
        </w:numPr>
      </w:pPr>
      <w:r>
        <w:rPr>
          <w:b/>
          <w:bCs/>
        </w:rPr>
        <w:t xml:space="preserve">Natural Lighting:</w:t>
      </w:r>
      <w:r>
        <w:br/>
      </w:r>
      <w:r>
        <w:t xml:space="preserve">Large, energy-efficient windows and sliding glass doors with optimized orientation facilitate abundant daylight while reducing heating loads.</w:t>
      </w:r>
    </w:p>
    <w:p>
      <w:pPr>
        <w:numPr>
          <w:ilvl w:val="0"/>
          <w:numId w:val="1003"/>
        </w:numPr>
      </w:pPr>
      <w:r>
        <w:rPr>
          <w:b/>
          <w:bCs/>
        </w:rPr>
        <w:t xml:space="preserve">Nature-Inspired Elements:</w:t>
      </w:r>
      <w:r>
        <w:br/>
      </w:r>
      <w:r>
        <w:t xml:space="preserve">Incorporation of living green walls in balconies and shared corridors, along with natural materials such as untreated timber, cork flooring, and stone finishes lend a calming, organic feel.</w:t>
      </w:r>
    </w:p>
    <w:p>
      <w:pPr>
        <w:numPr>
          <w:ilvl w:val="0"/>
          <w:numId w:val="1003"/>
        </w:numPr>
      </w:pPr>
      <w:r>
        <w:rPr>
          <w:b/>
          <w:bCs/>
        </w:rPr>
        <w:t xml:space="preserve">Modular Walls System:</w:t>
      </w:r>
      <w:r>
        <w:br/>
      </w:r>
      <w:r>
        <w:t xml:space="preserve">Interior walls utilize prefabricated, lightweight, demountable panels enabling quick layout customization and repair, made from recycled wood and gypsum.</w:t>
      </w:r>
    </w:p>
    <w:bookmarkEnd w:id="23"/>
    <w:bookmarkStart w:id="24" w:name="energy-and-environmental-controls"/>
    <w:p>
      <w:pPr>
        <w:pStyle w:val="Heading3"/>
      </w:pPr>
      <w:r>
        <w:t xml:space="preserve">3. Energy and Environmental Controls</w:t>
      </w:r>
    </w:p>
    <w:p>
      <w:pPr>
        <w:numPr>
          <w:ilvl w:val="0"/>
          <w:numId w:val="1004"/>
        </w:numPr>
      </w:pPr>
      <w:r>
        <w:rPr>
          <w:b/>
          <w:bCs/>
        </w:rPr>
        <w:t xml:space="preserve">Windows and Insulation:</w:t>
      </w:r>
      <w:r>
        <w:br/>
      </w:r>
      <w:r>
        <w:t xml:space="preserve">Triple-glazed, low-emissivity windows paired with high-grade thermal insulation meet Germany’s energy conservation standards (Energieeinsparverordnung - EnEV). Structural insulated panels (SIPs) enhance airtightness.</w:t>
      </w:r>
    </w:p>
    <w:p>
      <w:pPr>
        <w:numPr>
          <w:ilvl w:val="0"/>
          <w:numId w:val="1004"/>
        </w:numPr>
      </w:pPr>
      <w:r>
        <w:rPr>
          <w:b/>
          <w:bCs/>
        </w:rPr>
        <w:t xml:space="preserve">Smart Home Integration:</w:t>
      </w:r>
      <w:r>
        <w:br/>
      </w:r>
      <w:r>
        <w:t xml:space="preserve">An embedded IoT system controls lighting, heating, ventilation, and cooling (HVAC), programmed for both comfort and energy optimization. Residents can control settings via smartphone apps or voice commands.</w:t>
      </w:r>
    </w:p>
    <w:p>
      <w:r>
        <w:pict>
          <v:rect style="width:0;height:1.5pt" o:hralign="center" o:hrstd="t" o:hr="t"/>
        </w:pict>
      </w:r>
    </w:p>
    <w:bookmarkEnd w:id="24"/>
    <w:bookmarkEnd w:id="25"/>
    <w:bookmarkStart w:id="29" w:name="sustainability-and-materials"/>
    <w:p>
      <w:pPr>
        <w:pStyle w:val="Heading2"/>
      </w:pPr>
      <w:r>
        <w:t xml:space="preserve">Sustainability and Materials</w:t>
      </w:r>
    </w:p>
    <w:p>
      <w:pPr>
        <w:pStyle w:val="FirstParagraph"/>
      </w:pPr>
      <w:r>
        <w:t xml:space="preserve">Sustainability is a principal directive woven into material selection, construction techniques, and building operations.</w:t>
      </w:r>
    </w:p>
    <w:bookmarkStart w:id="26" w:name="material-selection"/>
    <w:p>
      <w:pPr>
        <w:pStyle w:val="Heading3"/>
      </w:pPr>
      <w:r>
        <w:t xml:space="preserve">Material Selection</w:t>
      </w:r>
    </w:p>
    <w:p>
      <w:pPr>
        <w:pStyle w:val="FirstParagraph"/>
      </w:pPr>
      <w:r>
        <w:t xml:space="preserve">| Material | Purpose | Environmental Benefits | Source |</w:t>
      </w:r>
      <w:r>
        <w:t xml:space="preserve"> </w:t>
      </w:r>
      <w:r>
        <w:t xml:space="preserve">|------------------------|---------------------------------|---------------------------------------|-------------------------|</w:t>
      </w:r>
      <w:r>
        <w:t xml:space="preserve"> </w:t>
      </w:r>
      <w:r>
        <w:t xml:space="preserve">| Engineered Timber | Structural components, floor slabs| Renewable, low embodied energy, carbon sequestering | Certified sustainable forests (FSC or PEFC) |</w:t>
      </w:r>
      <w:r>
        <w:t xml:space="preserve"> </w:t>
      </w:r>
      <w:r>
        <w:t xml:space="preserve">| Recycled Steel | Reinforcement and fixtures | High durability, recycled content | Local suppliers |</w:t>
      </w:r>
      <w:r>
        <w:t xml:space="preserve"> </w:t>
      </w:r>
      <w:r>
        <w:t xml:space="preserve">| Eco-Friendly Insulation (e.g., cellulose, hemp) | Thermal insulation | Biodegradable, non-toxic, recyclable | Regional manufacturers |</w:t>
      </w:r>
      <w:r>
        <w:t xml:space="preserve"> </w:t>
      </w:r>
      <w:r>
        <w:t xml:space="preserve">| Low-VOC Paints and Finishes | Interior surfaces | Improves indoor air quality | Certified eco-products |</w:t>
      </w:r>
      <w:r>
        <w:t xml:space="preserve"> </w:t>
      </w:r>
      <w:r>
        <w:t xml:space="preserve">| Solar Photovoltaic Panels | Roof-mounted energy generation | Reduces reliance on grid electricity | Certified suppliers |</w:t>
      </w:r>
      <w:r>
        <w:t xml:space="preserve"> </w:t>
      </w:r>
      <w:r>
        <w:t xml:space="preserve">| Timber Composite Cladding | External façade finishes | Durable, weather-resistant, sustainable | Local/regional sources |</w:t>
      </w:r>
    </w:p>
    <w:bookmarkEnd w:id="26"/>
    <w:bookmarkStart w:id="27" w:name="renewable-energy-and-water-efficiency"/>
    <w:p>
      <w:pPr>
        <w:pStyle w:val="Heading3"/>
      </w:pPr>
      <w:r>
        <w:t xml:space="preserve">Renewable Energy and Water Efficiency</w:t>
      </w:r>
    </w:p>
    <w:p>
      <w:pPr>
        <w:numPr>
          <w:ilvl w:val="0"/>
          <w:numId w:val="1005"/>
        </w:numPr>
      </w:pPr>
      <w:r>
        <w:rPr>
          <w:b/>
          <w:bCs/>
        </w:rPr>
        <w:t xml:space="preserve">Solar Energy Harvesting:</w:t>
      </w:r>
      <w:r>
        <w:br/>
      </w:r>
      <w:r>
        <w:t xml:space="preserve">Flat or pitched roofs are designed for optimal solar panel orientation and mounting. Panels are integrated aesthetically into the roofline with microinverters for maximum energy yield.</w:t>
      </w:r>
    </w:p>
    <w:p>
      <w:pPr>
        <w:numPr>
          <w:ilvl w:val="0"/>
          <w:numId w:val="1005"/>
        </w:numPr>
      </w:pPr>
      <w:r>
        <w:rPr>
          <w:b/>
          <w:bCs/>
        </w:rPr>
        <w:t xml:space="preserve">Rainwater Harvesting Systems:</w:t>
      </w:r>
      <w:r>
        <w:br/>
      </w:r>
      <w:r>
        <w:t xml:space="preserve">Rainwater is collected, filtered, and reused for non-potable purposes such as irrigation and toilet flushing. Storage tanks concealed to preserve aesthetics.</w:t>
      </w:r>
    </w:p>
    <w:p>
      <w:pPr>
        <w:numPr>
          <w:ilvl w:val="0"/>
          <w:numId w:val="1005"/>
        </w:numPr>
      </w:pPr>
      <w:r>
        <w:rPr>
          <w:b/>
          <w:bCs/>
        </w:rPr>
        <w:t xml:space="preserve">Water-Efficient Fixtures:</w:t>
      </w:r>
      <w:r>
        <w:br/>
      </w:r>
      <w:r>
        <w:t xml:space="preserve">Low-flow taps, dual-flush toilets, and water-saving showers reduce potable water demand up to 40%.</w:t>
      </w:r>
    </w:p>
    <w:bookmarkEnd w:id="27"/>
    <w:bookmarkStart w:id="28" w:name="waste-reduction-and-prefabrication"/>
    <w:p>
      <w:pPr>
        <w:pStyle w:val="Heading3"/>
      </w:pPr>
      <w:r>
        <w:t xml:space="preserve">Waste Reduction and Prefabrication</w:t>
      </w:r>
    </w:p>
    <w:p>
      <w:pPr>
        <w:pStyle w:val="Compact"/>
        <w:numPr>
          <w:ilvl w:val="0"/>
          <w:numId w:val="1006"/>
        </w:numPr>
      </w:pPr>
      <w:r>
        <w:t xml:space="preserve">Prefabricated modules manufactured off-site reduce construction waste and minimize environmental disruption.</w:t>
      </w:r>
    </w:p>
    <w:p>
      <w:pPr>
        <w:pStyle w:val="Compact"/>
        <w:numPr>
          <w:ilvl w:val="0"/>
          <w:numId w:val="1006"/>
        </w:numPr>
      </w:pPr>
      <w:r>
        <w:t xml:space="preserve">Strict waste sorting and recycling policies during construction phase, achieving targets above 85% waste diversion from landfill.</w:t>
      </w:r>
    </w:p>
    <w:p>
      <w:r>
        <w:pict>
          <v:rect style="width:0;height:1.5pt" o:hralign="center" o:hrstd="t" o:hr="t"/>
        </w:pict>
      </w:r>
    </w:p>
    <w:bookmarkEnd w:id="28"/>
    <w:bookmarkEnd w:id="29"/>
    <w:bookmarkStart w:id="32" w:name="cost-estimation-and-analysis"/>
    <w:p>
      <w:pPr>
        <w:pStyle w:val="Heading2"/>
      </w:pPr>
      <w:r>
        <w:t xml:space="preserve">Cost Estimation and Analysis</w:t>
      </w:r>
    </w:p>
    <w:p>
      <w:pPr>
        <w:pStyle w:val="FirstParagraph"/>
      </w:pPr>
      <w:r>
        <w:t xml:space="preserve">The cost structure reflects a balance between premium sustainable materials, advanced technologies, and efficient construction methods, ensuring the project is economically viable.</w:t>
      </w:r>
    </w:p>
    <w:p>
      <w:pPr>
        <w:pStyle w:val="BodyText"/>
      </w:pPr>
      <w:r>
        <w:t xml:space="preserve">| Cost Component | Estimated Cost (€) | Remarks |</w:t>
      </w:r>
      <w:r>
        <w:t xml:space="preserve"> </w:t>
      </w:r>
      <w:r>
        <w:t xml:space="preserve">|----------------------------|--------------------|------------------------------------------------|</w:t>
      </w:r>
      <w:r>
        <w:t xml:space="preserve"> </w:t>
      </w:r>
      <w:r>
        <w:t xml:space="preserve">| Structural Works | 800 €/m² | Engineered timber frame, foundation, walls |</w:t>
      </w:r>
      <w:r>
        <w:t xml:space="preserve"> </w:t>
      </w:r>
      <w:r>
        <w:t xml:space="preserve">| Exterior Cladding and Roofing | 250 €/m² | Timber composite cladding with integrated solar PV |</w:t>
      </w:r>
      <w:r>
        <w:t xml:space="preserve"> </w:t>
      </w:r>
      <w:r>
        <w:t xml:space="preserve">| Interior Finishes | 300 €/m² | Flooring, painting, cabinetry |</w:t>
      </w:r>
      <w:r>
        <w:t xml:space="preserve"> </w:t>
      </w:r>
      <w:r>
        <w:t xml:space="preserve">| Mechanical, Electrical &amp; Plumbing (MEP) | 250 €/m² | Includes smart systems, HVAC, water fixtures |</w:t>
      </w:r>
      <w:r>
        <w:t xml:space="preserve"> </w:t>
      </w:r>
      <w:r>
        <w:t xml:space="preserve">| Prefabrication and Assembly | 150 €/m² | Off-site module fabrication and onsite assembly|</w:t>
      </w:r>
      <w:r>
        <w:t xml:space="preserve"> </w:t>
      </w:r>
      <w:r>
        <w:t xml:space="preserve">| Landscaping and Communal Areas | 50 €/m² | Green walls, terraces, communal gardens |</w:t>
      </w:r>
      <w:r>
        <w:t xml:space="preserve"> </w:t>
      </w:r>
      <w:r>
        <w:t xml:space="preserve">|</w:t>
      </w:r>
      <w:r>
        <w:t xml:space="preserve"> </w:t>
      </w:r>
      <w:r>
        <w:rPr>
          <w:b/>
          <w:bCs/>
        </w:rPr>
        <w:t xml:space="preserve">Total Estimated Cost</w:t>
      </w:r>
      <w:r>
        <w:t xml:space="preserve"> </w:t>
      </w:r>
      <w:r>
        <w:t xml:space="preserve">|</w:t>
      </w:r>
      <w:r>
        <w:t xml:space="preserve"> </w:t>
      </w:r>
      <w:r>
        <w:rPr>
          <w:b/>
          <w:bCs/>
        </w:rPr>
        <w:t xml:space="preserve">1,800 €/m²</w:t>
      </w:r>
      <w:r>
        <w:t xml:space="preserve"> </w:t>
      </w:r>
      <w:r>
        <w:t xml:space="preserve">| Reflects high sustainability and quality standards|</w:t>
      </w:r>
    </w:p>
    <w:bookmarkStart w:id="30" w:name="cost-saving-strategies"/>
    <w:p>
      <w:pPr>
        <w:pStyle w:val="Heading3"/>
      </w:pPr>
      <w:r>
        <w:t xml:space="preserve">Cost-Saving Strategies</w:t>
      </w:r>
    </w:p>
    <w:p>
      <w:pPr>
        <w:numPr>
          <w:ilvl w:val="0"/>
          <w:numId w:val="1007"/>
        </w:numPr>
      </w:pPr>
      <w:r>
        <w:rPr>
          <w:b/>
          <w:bCs/>
        </w:rPr>
        <w:t xml:space="preserve">Modular Construction:</w:t>
      </w:r>
      <w:r>
        <w:br/>
      </w:r>
      <w:r>
        <w:t xml:space="preserve">Significantly reduces on-site labor and build time, lowering associated costs by approximately 20-25%.</w:t>
      </w:r>
    </w:p>
    <w:p>
      <w:pPr>
        <w:numPr>
          <w:ilvl w:val="0"/>
          <w:numId w:val="1007"/>
        </w:numPr>
      </w:pPr>
      <w:r>
        <w:rPr>
          <w:b/>
          <w:bCs/>
        </w:rPr>
        <w:t xml:space="preserve">Material Optimization:</w:t>
      </w:r>
      <w:r>
        <w:br/>
      </w:r>
      <w:r>
        <w:t xml:space="preserve">By substituting some premium materials with equally durable but more cost-effective alternatives, materials cost can be further controlled without compromising quality.</w:t>
      </w:r>
    </w:p>
    <w:p>
      <w:pPr>
        <w:numPr>
          <w:ilvl w:val="0"/>
          <w:numId w:val="1007"/>
        </w:numPr>
      </w:pPr>
      <w:r>
        <w:rPr>
          <w:b/>
          <w:bCs/>
        </w:rPr>
        <w:t xml:space="preserve">Energy Savings:</w:t>
      </w:r>
      <w:r>
        <w:br/>
      </w:r>
      <w:r>
        <w:t xml:space="preserve">Smart controls and insulation reduce annual energy costs by an estimated 30%, yielding long-term operational savings for residents.</w:t>
      </w:r>
    </w:p>
    <w:bookmarkEnd w:id="30"/>
    <w:bookmarkStart w:id="31" w:name="trade-off-analysis"/>
    <w:p>
      <w:pPr>
        <w:pStyle w:val="Heading3"/>
      </w:pPr>
      <w:r>
        <w:t xml:space="preserve">Trade-Off Analysis</w:t>
      </w:r>
    </w:p>
    <w:p>
      <w:pPr>
        <w:pStyle w:val="Compact"/>
        <w:numPr>
          <w:ilvl w:val="0"/>
          <w:numId w:val="1008"/>
        </w:numPr>
      </w:pPr>
      <w:r>
        <w:t xml:space="preserve">Premium engineered timber is selected over concrete for environmental benefits but requires careful moisture management.</w:t>
      </w:r>
    </w:p>
    <w:p>
      <w:pPr>
        <w:pStyle w:val="Compact"/>
        <w:numPr>
          <w:ilvl w:val="0"/>
          <w:numId w:val="1008"/>
        </w:numPr>
      </w:pPr>
      <w:r>
        <w:t xml:space="preserve">Smart home systems add upfront cost but are justified by improved energy efficiency and tenant satisfaction.</w:t>
      </w:r>
    </w:p>
    <w:p>
      <w:pPr>
        <w:pStyle w:val="Compact"/>
        <w:numPr>
          <w:ilvl w:val="0"/>
          <w:numId w:val="1008"/>
        </w:numPr>
      </w:pPr>
      <w:r>
        <w:t xml:space="preserve">Larger window areas improve quality of life but necessitate advanced glazing to maintain heat retention.</w:t>
      </w:r>
    </w:p>
    <w:p>
      <w:r>
        <w:pict>
          <v:rect style="width:0;height:1.5pt" o:hralign="center" o:hrstd="t" o:hr="t"/>
        </w:pict>
      </w:r>
    </w:p>
    <w:bookmarkEnd w:id="31"/>
    <w:bookmarkEnd w:id="32"/>
    <w:bookmarkStart w:id="33" w:name="compliance-and-regulation"/>
    <w:p>
      <w:pPr>
        <w:pStyle w:val="Heading2"/>
      </w:pPr>
      <w:r>
        <w:t xml:space="preserve">Compliance and Regulation</w:t>
      </w:r>
    </w:p>
    <w:p>
      <w:pPr>
        <w:pStyle w:val="FirstParagraph"/>
      </w:pPr>
      <w:r>
        <w:t xml:space="preserve">The design strictly adheres to all relevant German regulations and standards:</w:t>
      </w:r>
    </w:p>
    <w:p>
      <w:pPr>
        <w:numPr>
          <w:ilvl w:val="0"/>
          <w:numId w:val="1009"/>
        </w:numPr>
      </w:pPr>
      <w:r>
        <w:rPr>
          <w:b/>
          <w:bCs/>
        </w:rPr>
        <w:t xml:space="preserve">Building Codes:</w:t>
      </w:r>
      <w:r>
        <w:br/>
      </w:r>
      <w:r>
        <w:t xml:space="preserve">Compliance with the German Model Building Code (Musterbauordnung - MBO) and local municipal regulations.</w:t>
      </w:r>
    </w:p>
    <w:p>
      <w:pPr>
        <w:numPr>
          <w:ilvl w:val="0"/>
          <w:numId w:val="1009"/>
        </w:numPr>
      </w:pPr>
      <w:r>
        <w:rPr>
          <w:b/>
          <w:bCs/>
        </w:rPr>
        <w:t xml:space="preserve">Energy Efficiency:</w:t>
      </w:r>
      <w:r>
        <w:br/>
      </w:r>
      <w:r>
        <w:t xml:space="preserve">Conforms to the latest Energieeinsparverordnung (EnEV) and the EU’s Nearly Zero-Energy Buildings (NZEB) directives.</w:t>
      </w:r>
    </w:p>
    <w:p>
      <w:pPr>
        <w:numPr>
          <w:ilvl w:val="0"/>
          <w:numId w:val="1009"/>
        </w:numPr>
      </w:pPr>
      <w:r>
        <w:rPr>
          <w:b/>
          <w:bCs/>
        </w:rPr>
        <w:t xml:space="preserve">Accessibility:</w:t>
      </w:r>
      <w:r>
        <w:br/>
      </w:r>
      <w:r>
        <w:t xml:space="preserve">Apartments and common areas meet barrier-free design guidelines (DIN 18040), including wheelchair accessibility, tactile signage, and safety features for senior residents.</w:t>
      </w:r>
    </w:p>
    <w:p>
      <w:pPr>
        <w:numPr>
          <w:ilvl w:val="0"/>
          <w:numId w:val="1009"/>
        </w:numPr>
      </w:pPr>
      <w:r>
        <w:rPr>
          <w:b/>
          <w:bCs/>
        </w:rPr>
        <w:t xml:space="preserve">Fire Safety:</w:t>
      </w:r>
      <w:r>
        <w:br/>
      </w:r>
      <w:r>
        <w:t xml:space="preserve">Incorporates fire-resistant materials, smoke detectors, and multiple evacuation routes per local fire safety regulations.</w:t>
      </w:r>
    </w:p>
    <w:p>
      <w:pPr>
        <w:numPr>
          <w:ilvl w:val="0"/>
          <w:numId w:val="1009"/>
        </w:numPr>
      </w:pPr>
      <w:r>
        <w:rPr>
          <w:b/>
          <w:bCs/>
        </w:rPr>
        <w:t xml:space="preserve">Environmental Impact:</w:t>
      </w:r>
      <w:r>
        <w:br/>
      </w:r>
      <w:r>
        <w:t xml:space="preserve">Environmental impact assessments have been accounted for, including noise, air quality, and green space preservation.</w:t>
      </w:r>
    </w:p>
    <w:p>
      <w:r>
        <w:pict>
          <v:rect style="width:0;height:1.5pt" o:hralign="center" o:hrstd="t" o:hr="t"/>
        </w:pict>
      </w:r>
    </w:p>
    <w:bookmarkEnd w:id="33"/>
    <w:bookmarkStart w:id="34" w:name="timeline-and-next-steps"/>
    <w:p>
      <w:pPr>
        <w:pStyle w:val="Heading2"/>
      </w:pPr>
      <w:r>
        <w:t xml:space="preserve">Timeline and Next Steps</w:t>
      </w:r>
    </w:p>
    <w:p>
      <w:pPr>
        <w:pStyle w:val="FirstParagraph"/>
      </w:pPr>
      <w:r>
        <w:t xml:space="preserve">The project roadmap outlines critical milestones with assigned leadership to ensure timely delivery and stakeholder engagement:</w:t>
      </w:r>
    </w:p>
    <w:p>
      <w:pPr>
        <w:pStyle w:val="BodyText"/>
      </w:pPr>
      <w:r>
        <w:t xml:space="preserve">| Phase | Activities | Lead / Team | Deadline |</w:t>
      </w:r>
      <w:r>
        <w:t xml:space="preserve"> </w:t>
      </w:r>
      <w:r>
        <w:t xml:space="preserve">|----------------------------|---------------------------------------------------------|----------------------|--------------------|</w:t>
      </w:r>
      <w:r>
        <w:t xml:space="preserve"> </w:t>
      </w:r>
      <w:r>
        <w:t xml:space="preserve">| Design Finalization | Refine architectural elements, structural engineering review, sustainability validation | Oscar (Architect), Engineering Team | End of next month |</w:t>
      </w:r>
      <w:r>
        <w:t xml:space="preserve"> </w:t>
      </w:r>
      <w:r>
        <w:t xml:space="preserve">| Internal Approvals | Management review and sign-off on finalized designs | Awesome Inc. Executive Board | 1st week of next quarter |</w:t>
      </w:r>
      <w:r>
        <w:t xml:space="preserve"> </w:t>
      </w:r>
      <w:r>
        <w:t xml:space="preserve">| Cost Estimation Refinement | Detailed supplier consultation and cost verification | Procurement Team, Contractors | 2nd week of next quarter |</w:t>
      </w:r>
      <w:r>
        <w:t xml:space="preserve"> </w:t>
      </w:r>
      <w:r>
        <w:t xml:space="preserve">| Marketing Preparation | Development of client brochures, 3D visualizations, and presentations | Marketing Department | Within 2 months |</w:t>
      </w:r>
      <w:r>
        <w:t xml:space="preserve"> </w:t>
      </w:r>
      <w:r>
        <w:t xml:space="preserve">| Construction Tendering | Issue tenders for subcontractors and prefabrication units | Project Management | Month 3 |</w:t>
      </w:r>
      <w:r>
        <w:t xml:space="preserve"> </w:t>
      </w:r>
      <w:r>
        <w:t xml:space="preserve">| Pilot Construction Phase | Construct pilot units for testing modular systems and user feedback | Construction Team | Month 5 - Month 7 |</w:t>
      </w:r>
    </w:p>
    <w:p>
      <w:r>
        <w:pict>
          <v:rect style="width:0;height:1.5pt" o:hralign="center" o:hrstd="t" o:hr="t"/>
        </w:pict>
      </w:r>
    </w:p>
    <w:bookmarkEnd w:id="34"/>
    <w:bookmarkStart w:id="35" w:name="conclusion"/>
    <w:p>
      <w:pPr>
        <w:pStyle w:val="Heading2"/>
      </w:pPr>
      <w:r>
        <w:t xml:space="preserve">Conclusion</w:t>
      </w:r>
    </w:p>
    <w:p>
      <w:pPr>
        <w:pStyle w:val="FirstParagraph"/>
      </w:pPr>
      <w:r>
        <w:t xml:space="preserve">This architectural proposal sets a new standard for apartment building configurations that reflect Awesome Inc.’s commitment to innovative, sustainable, and practical design solutions. The combination of modular construction, cutting-edge sustainable materials, smart technologies, and community-centered planning offers a versatile housing model ready to meet diverse urban demands.</w:t>
      </w:r>
    </w:p>
    <w:p>
      <w:pPr>
        <w:pStyle w:val="BodyText"/>
      </w:pPr>
      <w:r>
        <w:t xml:space="preserve">By adopting this design, clients can expect efficient permit approvals, reduced construction timelines, lower environmental impact, and an attractive living environment fostering occupant well-being. The proposed configurations position Awesome Inc. as a leading innovator in Germany’s housing market, fulfilling both contemporary lifestyle needs and ecological stewardship responsibilities.</w:t>
      </w:r>
    </w:p>
    <w:p>
      <w:r>
        <w:pict>
          <v:rect style="width:0;height:1.5pt" o:hralign="center" o:hrstd="t" o:hr="t"/>
        </w:pict>
      </w:r>
    </w:p>
    <w:p>
      <w:pPr>
        <w:pStyle w:val="FirstParagraph"/>
      </w:pPr>
      <w:r>
        <w:rPr>
          <w:b/>
          <w:bCs/>
        </w:rPr>
        <w:t xml:space="preserve">Prepared by:</w:t>
      </w:r>
      <w:r>
        <w:br/>
      </w:r>
      <w:r>
        <w:t xml:space="preserve">Oscar Müller, Lead Architect</w:t>
      </w:r>
      <w:r>
        <w:br/>
      </w:r>
      <w:r>
        <w:t xml:space="preserve">Awesome Inc.</w:t>
      </w:r>
      <w:r>
        <w:br/>
      </w:r>
      <w:r>
        <w:t xml:space="preserve">Email: oscar.muller@awesomeinc.de</w:t>
      </w:r>
      <w:r>
        <w:br/>
      </w:r>
      <w:r>
        <w:t xml:space="preserve">Phone: +49 30 1234 5678</w:t>
      </w:r>
    </w:p>
    <w:bookmarkEnd w:id="35"/>
    <w:bookmarkEnd w:id="3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Normal"/>
    <w:next w:val="BodyText"/>
    <w:link w:val="SubtitleChar"/>
    <w:uiPriority w:val="11"/>
    <w:qFormat/>
    <w:rsid w:val="00A10FD9"/>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2025-08-15T20:10:51Z</dcterms:created>
  <dcterms:modified xsi:type="dcterms:W3CDTF">2025-08-15T20:10:51Z</dcterms:modified>
</cp:coreProperties>
</file>

<file path=docProps/custom.xml><?xml version="1.0" encoding="utf-8"?>
<Properties xmlns="http://schemas.openxmlformats.org/officeDocument/2006/custom-properties" xmlns:vt="http://schemas.openxmlformats.org/officeDocument/2006/docPropsVTypes"/>
</file>