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628d2be0aed9c908e6b68cfa7ee65299c699981"/>
    <w:p>
      <w:pPr>
        <w:pStyle w:val="Heading1"/>
      </w:pPr>
      <w:r>
        <w:t xml:space="preserve">Standardized Apartment Configuration Proposal — Awesome Inc.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 proposes a standardized product line of apartment configurations and a complementary catalogue of standard elements for Awesome Inc. The aim is to deliver high-quality, cost-effective, and sustainable mid-rise residential buildings that clients can select from pre-defined configurations. The package includes: a clear design concept, standardized unit types (Studio, 1BR, 2BR), a modular construction strategy (prefab wet cores &amp; kitchen modules), a materials/finish matrix with three selectable quality levels, regulatory and compliance guidance aligned to German standards, a detailed cost estimate for a representative building, sensitivity and lifecycle analyses, and a recommended programme with named owners and acceptance criteria.</w:t>
      </w:r>
    </w:p>
    <w:p>
      <w:pPr>
        <w:pStyle w:val="BodyText"/>
      </w:pPr>
      <w:r>
        <w:t xml:space="preserve">Key outcomes:</w:t>
      </w:r>
      <w:r>
        <w:t xml:space="preserve"> </w:t>
      </w:r>
      <w:r>
        <w:t xml:space="preserve">- Repeatable design solutions reducing time-to-market for new developments.</w:t>
      </w:r>
      <w:r>
        <w:t xml:space="preserve"> </w:t>
      </w:r>
      <w:r>
        <w:t xml:space="preserve">- Predictable costs and simplified procurement using modular, prefabricated components.</w:t>
      </w:r>
      <w:r>
        <w:t xml:space="preserve"> </w:t>
      </w:r>
      <w:r>
        <w:t xml:space="preserve">- Improved build quality, lower defect rates and faster on-site programmes via prefabrication.</w:t>
      </w:r>
      <w:r>
        <w:t xml:space="preserve"> </w:t>
      </w:r>
      <w:r>
        <w:t xml:space="preserve">- A mid-range to premium product offering with lifecycle-focused choices (higher initial cost options that reduce operating costs).</w:t>
      </w:r>
    </w:p>
    <w:p>
      <w:pPr>
        <w:pStyle w:val="BodyText"/>
      </w:pPr>
      <w:r>
        <w:t xml:space="preserve">Assumption for baseline building used in cost analysis: 5-storey mid-rise, 20 residential units, average net dwelling area 60 m², gross floor area (GFA) ~1,200 m². Urban site in Germany, typical inner-suburban constraints, no complex geotechnical issues. All figures in EUR, excluding VAT unless stated.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Project objectives and scope</w:t>
      </w:r>
    </w:p>
    <w:p>
      <w:pPr>
        <w:pStyle w:val="Compact"/>
        <w:numPr>
          <w:ilvl w:val="0"/>
          <w:numId w:val="1001"/>
        </w:numPr>
      </w:pPr>
      <w:r>
        <w:t xml:space="preserve">Design principles and performance targets</w:t>
      </w:r>
    </w:p>
    <w:p>
      <w:pPr>
        <w:pStyle w:val="Compact"/>
        <w:numPr>
          <w:ilvl w:val="0"/>
          <w:numId w:val="1001"/>
        </w:numPr>
      </w:pPr>
      <w:r>
        <w:t xml:space="preserve">Standard apartment types — detailed descriptions and typical plans</w:t>
      </w:r>
    </w:p>
    <w:p>
      <w:pPr>
        <w:pStyle w:val="Compact"/>
        <w:numPr>
          <w:ilvl w:val="0"/>
          <w:numId w:val="1001"/>
        </w:numPr>
      </w:pPr>
      <w:r>
        <w:t xml:space="preserve">Standard elements catalogue — technical data and procurement guidance</w:t>
      </w:r>
    </w:p>
    <w:p>
      <w:pPr>
        <w:pStyle w:val="Compact"/>
        <w:numPr>
          <w:ilvl w:val="0"/>
          <w:numId w:val="1001"/>
        </w:numPr>
      </w:pPr>
      <w:r>
        <w:t xml:space="preserve">Modular &amp; construction strategy — prefabrication, interfaces, and QA/QC</w:t>
      </w:r>
    </w:p>
    <w:p>
      <w:pPr>
        <w:pStyle w:val="Compact"/>
        <w:numPr>
          <w:ilvl w:val="0"/>
          <w:numId w:val="1001"/>
        </w:numPr>
      </w:pPr>
      <w:r>
        <w:t xml:space="preserve">Regulatory &amp; compliance notes — specific standards and checklists</w:t>
      </w:r>
    </w:p>
    <w:p>
      <w:pPr>
        <w:pStyle w:val="Compact"/>
        <w:numPr>
          <w:ilvl w:val="0"/>
          <w:numId w:val="1001"/>
        </w:numPr>
      </w:pPr>
      <w:r>
        <w:t xml:space="preserve">Cost estimate methodology, detailed cost breakdown &amp; unit economics</w:t>
      </w:r>
    </w:p>
    <w:p>
      <w:pPr>
        <w:pStyle w:val="Compact"/>
        <w:numPr>
          <w:ilvl w:val="0"/>
          <w:numId w:val="1001"/>
        </w:numPr>
      </w:pPr>
      <w:r>
        <w:t xml:space="preserve">Sensitivity analysis and alternative scenarios</w:t>
      </w:r>
    </w:p>
    <w:p>
      <w:pPr>
        <w:pStyle w:val="Compact"/>
        <w:numPr>
          <w:ilvl w:val="0"/>
          <w:numId w:val="1001"/>
        </w:numPr>
      </w:pPr>
      <w:r>
        <w:t xml:space="preserve">Lifecycle, operational and maintenance considerations (LCCA)</w:t>
      </w:r>
    </w:p>
    <w:p>
      <w:pPr>
        <w:pStyle w:val="Compact"/>
        <w:numPr>
          <w:ilvl w:val="0"/>
          <w:numId w:val="1001"/>
        </w:numPr>
      </w:pPr>
      <w:r>
        <w:t xml:space="preserve">Programme &amp; milestones — detailed schedule and critical path</w:t>
      </w:r>
    </w:p>
    <w:p>
      <w:pPr>
        <w:pStyle w:val="Compact"/>
        <w:numPr>
          <w:ilvl w:val="0"/>
          <w:numId w:val="1001"/>
        </w:numPr>
      </w:pPr>
      <w:r>
        <w:t xml:space="preserve">Risks &amp; mitigation register</w:t>
      </w:r>
    </w:p>
    <w:p>
      <w:pPr>
        <w:pStyle w:val="Compact"/>
        <w:numPr>
          <w:ilvl w:val="0"/>
          <w:numId w:val="1001"/>
        </w:numPr>
      </w:pPr>
      <w:r>
        <w:t xml:space="preserve">Procurement and contract strategy</w:t>
      </w:r>
    </w:p>
    <w:p>
      <w:pPr>
        <w:pStyle w:val="Compact"/>
        <w:numPr>
          <w:ilvl w:val="0"/>
          <w:numId w:val="1001"/>
        </w:numPr>
      </w:pPr>
      <w:r>
        <w:t xml:space="preserve">Deliverables, acceptance criteria and governance</w:t>
      </w:r>
    </w:p>
    <w:p>
      <w:pPr>
        <w:pStyle w:val="Compact"/>
        <w:numPr>
          <w:ilvl w:val="0"/>
          <w:numId w:val="1001"/>
        </w:numPr>
      </w:pPr>
      <w:r>
        <w:t xml:space="preserve">Recommendations (prioritised)</w:t>
      </w:r>
    </w:p>
    <w:p>
      <w:pPr>
        <w:pStyle w:val="Compact"/>
        <w:numPr>
          <w:ilvl w:val="0"/>
          <w:numId w:val="1001"/>
        </w:numPr>
      </w:pPr>
      <w:r>
        <w:t xml:space="preserve">Next steps &amp; owners (detailed)</w:t>
      </w:r>
    </w:p>
    <w:p>
      <w:pPr>
        <w:pStyle w:val="Compact"/>
        <w:numPr>
          <w:ilvl w:val="0"/>
          <w:numId w:val="1001"/>
        </w:numPr>
      </w:pPr>
      <w:r>
        <w:t xml:space="preserve">Appendices: sample tender contents, line-item cost assumptions, typical room schedules and MEP riser diagrams</w:t>
      </w:r>
    </w:p>
    <w:p>
      <w:r>
        <w:pict>
          <v:rect style="width:0;height:1.5pt" o:hralign="center" o:hrstd="t" o:hr="t"/>
        </w:pict>
      </w:r>
    </w:p>
    <w:bookmarkEnd w:id="21"/>
    <w:bookmarkStart w:id="22" w:name="project-objectives-and-scope-expanded"/>
    <w:p>
      <w:pPr>
        <w:pStyle w:val="Heading2"/>
      </w:pPr>
      <w:r>
        <w:t xml:space="preserve">1. Project objectives and scope (expanded)</w:t>
      </w:r>
    </w:p>
    <w:p>
      <w:pPr>
        <w:pStyle w:val="FirstParagraph"/>
      </w:pPr>
      <w:r>
        <w:t xml:space="preserve">Primary objectives:</w:t>
      </w:r>
      <w:r>
        <w:t xml:space="preserve"> </w:t>
      </w:r>
      <w:r>
        <w:t xml:space="preserve">- Create a set of repeatable apartment types (Studio, 1BR, 2BR) with dimensioned layouts, furniture plans, and fixed element lists to enable quick client selection and rapid technical development.</w:t>
      </w:r>
      <w:r>
        <w:t xml:space="preserve"> </w:t>
      </w:r>
      <w:r>
        <w:t xml:space="preserve">- Provide a standard elements catalogue (kitchen modules, bathroom pods, windows, doors, flooring, fixed storage, balcony systems) to avoid bespoke design and minimize procurement complexity.</w:t>
      </w:r>
      <w:r>
        <w:t xml:space="preserve"> </w:t>
      </w:r>
      <w:r>
        <w:t xml:space="preserve">- Optimize the product line for:</w:t>
      </w:r>
      <w:r>
        <w:t xml:space="preserve"> </w:t>
      </w:r>
      <w:r>
        <w:t xml:space="preserve">- Buildability: minimized on-site variability via vertical stacking, repeatable slab penetrations and prefabrication.</w:t>
      </w:r>
      <w:r>
        <w:t xml:space="preserve"> </w:t>
      </w:r>
      <w:r>
        <w:t xml:space="preserve">- Regulatory compliance: meet or exceed German building regulations including the Gebäudeenergiegesetz (GEG), DIN standards for accessibility and acoustic performance, and local Feuerpolizei requirements.</w:t>
      </w:r>
      <w:r>
        <w:t xml:space="preserve"> </w:t>
      </w:r>
      <w:r>
        <w:t xml:space="preserve">- Long-term value: focus on durable materials, maintainable systems and solutions that reduce total cost of ownership.</w:t>
      </w:r>
      <w:r>
        <w:t xml:space="preserve"> </w:t>
      </w:r>
      <w:r>
        <w:t xml:space="preserve">- Market positioning: mid-range to premium — three finish levels to align with different budgets and target markets.</w:t>
      </w:r>
    </w:p>
    <w:p>
      <w:pPr>
        <w:pStyle w:val="BodyText"/>
      </w:pPr>
      <w:r>
        <w:t xml:space="preserve">Scope boundaries:</w:t>
      </w:r>
      <w:r>
        <w:t xml:space="preserve"> </w:t>
      </w:r>
      <w:r>
        <w:t xml:space="preserve">- This proposal covers architectural typologies, standard element technical definitions, modular integration strategy, cost modelling and programme. It excludes specific site acquisition, detailed geotechnical remediation scopes, long-term financing arrangements (beyond contingency and soft cost allowances), and bespoke legal advice.</w:t>
      </w:r>
    </w:p>
    <w:p>
      <w:pPr>
        <w:pStyle w:val="BodyText"/>
      </w:pPr>
      <w:r>
        <w:t xml:space="preserve">Assumptions:</w:t>
      </w:r>
      <w:r>
        <w:t xml:space="preserve"> </w:t>
      </w:r>
      <w:r>
        <w:t xml:space="preserve">- Typical inner-suburban German building lot with standard utilities access.</w:t>
      </w:r>
      <w:r>
        <w:t xml:space="preserve"> </w:t>
      </w:r>
      <w:r>
        <w:t xml:space="preserve">- No major restrictions for building height beyond local zoning (assumed allowed at 5 storeys).</w:t>
      </w:r>
      <w:r>
        <w:t xml:space="preserve"> </w:t>
      </w:r>
      <w:r>
        <w:t xml:space="preserve">- Availability of local manufacturers/suppliers for prefabricated bathroom pods and kitchen modules.</w:t>
      </w:r>
    </w:p>
    <w:p>
      <w:pPr>
        <w:pStyle w:val="BodyText"/>
      </w:pPr>
      <w:r>
        <w:t xml:space="preserve">Deliverables from concept stage:</w:t>
      </w:r>
      <w:r>
        <w:t xml:space="preserve"> </w:t>
      </w:r>
      <w:r>
        <w:t xml:space="preserve">- Dimensioned typical plans and elevations for each apartment type.</w:t>
      </w:r>
      <w:r>
        <w:t xml:space="preserve"> </w:t>
      </w:r>
      <w:r>
        <w:t xml:space="preserve">- Standard elements catalogue (spec sheet and supplier options).</w:t>
      </w:r>
      <w:r>
        <w:t xml:space="preserve"> </w:t>
      </w:r>
      <w:r>
        <w:t xml:space="preserve">- Preliminary MEP coordination drawings for risers and prefab interfaces.</w:t>
      </w:r>
      <w:r>
        <w:t xml:space="preserve"> </w:t>
      </w:r>
      <w:r>
        <w:t xml:space="preserve">- Baseline cost model and sensitivity scenarios for early decisions.</w:t>
      </w:r>
    </w:p>
    <w:p>
      <w:r>
        <w:pict>
          <v:rect style="width:0;height:1.5pt" o:hralign="center" o:hrstd="t" o:hr="t"/>
        </w:pict>
      </w:r>
    </w:p>
    <w:bookmarkEnd w:id="22"/>
    <w:bookmarkStart w:id="23" w:name="X892e29cc5b874f3686f716bdecd6219c98c970b"/>
    <w:p>
      <w:pPr>
        <w:pStyle w:val="Heading2"/>
      </w:pPr>
      <w:r>
        <w:t xml:space="preserve">2. Design principles and performance targets (expanded)</w:t>
      </w:r>
    </w:p>
    <w:p>
      <w:pPr>
        <w:pStyle w:val="FirstParagraph"/>
      </w:pPr>
      <w:r>
        <w:t xml:space="preserve">Design principles:</w:t>
      </w:r>
      <w:r>
        <w:t xml:space="preserve"> </w:t>
      </w:r>
      <w:r>
        <w:t xml:space="preserve">- Simplicity &amp; clarity: aim for simple floor plates, compact circulation (central cores), and mono-directional apartment layouts to maximize daylight and reduce plan complexity.</w:t>
      </w:r>
      <w:r>
        <w:t xml:space="preserve"> </w:t>
      </w:r>
      <w:r>
        <w:t xml:space="preserve">- Flexibility &amp; modularity: unit modules designed with repeatable structural bays and alignment of plumbing and ventilation risers to permit vertical stacking and module repetition.</w:t>
      </w:r>
      <w:r>
        <w:t xml:space="preserve"> </w:t>
      </w:r>
      <w:r>
        <w:t xml:space="preserve">- Sustainability &amp; resilience:</w:t>
      </w:r>
      <w:r>
        <w:t xml:space="preserve"> </w:t>
      </w:r>
      <w:r>
        <w:t xml:space="preserve">- Target primary energy demand reduction vs. reference building: 20–35% (depending on selected systems and PV).</w:t>
      </w:r>
      <w:r>
        <w:t xml:space="preserve"> </w:t>
      </w:r>
      <w:r>
        <w:t xml:space="preserve">- PV-ready roof and structural allowance for future PV installation if not provided immediately.</w:t>
      </w:r>
      <w:r>
        <w:t xml:space="preserve"> </w:t>
      </w:r>
      <w:r>
        <w:t xml:space="preserve">- Low-VOC finishes and materials with E1 formaldehyde limit where possible.</w:t>
      </w:r>
      <w:r>
        <w:t xml:space="preserve"> </w:t>
      </w:r>
      <w:r>
        <w:t xml:space="preserve">- User wellbeing: daylight factors targeted at &gt;2% for living rooms and kitchen-living areas; natural ventilation where possible; acoustic performance targets per DIN 4109 and ISO standards; provision for private outdoor space (balcony or terrace).</w:t>
      </w:r>
    </w:p>
    <w:p>
      <w:pPr>
        <w:pStyle w:val="BodyText"/>
      </w:pPr>
      <w:r>
        <w:t xml:space="preserve">Performance targets (typical):</w:t>
      </w:r>
      <w:r>
        <w:t xml:space="preserve"> </w:t>
      </w:r>
      <w:r>
        <w:t xml:space="preserve">- Thermal Insulation: U-values (indicative)</w:t>
      </w:r>
      <w:r>
        <w:t xml:space="preserve"> </w:t>
      </w:r>
      <w:r>
        <w:t xml:space="preserve">- External wall: 0.20–0.18 W/m²K (mid-range to premium)</w:t>
      </w:r>
      <w:r>
        <w:t xml:space="preserve"> </w:t>
      </w:r>
      <w:r>
        <w:t xml:space="preserve">- Roof: 0.15–0.12 W/m²K</w:t>
      </w:r>
      <w:r>
        <w:t xml:space="preserve"> </w:t>
      </w:r>
      <w:r>
        <w:t xml:space="preserve">- Ground floor slab: 0.20–0.18 W/m²K</w:t>
      </w:r>
      <w:r>
        <w:t xml:space="preserve"> </w:t>
      </w:r>
      <w:r>
        <w:t xml:space="preserve">- Windows (triple-glazed): Uw ≤ 0.95 W/m²K</w:t>
      </w:r>
      <w:r>
        <w:t xml:space="preserve"> </w:t>
      </w:r>
      <w:r>
        <w:t xml:space="preserve">- Airtightness target: n50 ≤ 1.0–1.5 1/h (blower-door), depending on product level.</w:t>
      </w:r>
      <w:r>
        <w:t xml:space="preserve"> </w:t>
      </w:r>
      <w:r>
        <w:t xml:space="preserve">- Mechanical ventilation: MVHR performance (where used) with SFP ≤ 1.8 kW/(m³/s) and heat recovery efficiency ≥ 70%.</w:t>
      </w:r>
      <w:r>
        <w:t xml:space="preserve"> </w:t>
      </w:r>
      <w:r>
        <w:t xml:space="preserve">- Acoustic separation: airborne sound insulation R’w ≥ 55 dB for party walls; impact sound ≤ 53 dB L’n,w in floors (upgradeable for premium).</w:t>
      </w:r>
    </w:p>
    <w:p>
      <w:pPr>
        <w:pStyle w:val="BodyText"/>
      </w:pPr>
      <w:r>
        <w:t xml:space="preserve">Sustainability targets:</w:t>
      </w:r>
      <w:r>
        <w:t xml:space="preserve"> </w:t>
      </w:r>
      <w:r>
        <w:t xml:space="preserve">- Climate-related: Option to achieve KfW/Effizienzhaus levels (KfW 55/40 equivalents) where client chooses premium systems and increases envelope performance.</w:t>
      </w:r>
      <w:r>
        <w:t xml:space="preserve"> </w:t>
      </w:r>
      <w:r>
        <w:t xml:space="preserve">- Materials: preference for locally-sourced materials, recyclable insulation (mineral wool with documented recycled content or natural alternatives), and FSC/PEFC-certified timber for joinery.</w:t>
      </w:r>
    </w:p>
    <w:p>
      <w:r>
        <w:pict>
          <v:rect style="width:0;height:1.5pt" o:hralign="center" o:hrstd="t" o:hr="t"/>
        </w:pict>
      </w:r>
    </w:p>
    <w:bookmarkEnd w:id="23"/>
    <w:bookmarkStart w:id="24" w:name="X3cc8efdbf816be1db38aedaae10721d09cf4530"/>
    <w:p>
      <w:pPr>
        <w:pStyle w:val="Heading2"/>
      </w:pPr>
      <w:r>
        <w:t xml:space="preserve">3. Standard apartment types (product line) — detailed</w:t>
      </w:r>
    </w:p>
    <w:p>
      <w:pPr>
        <w:pStyle w:val="FirstParagraph"/>
      </w:pPr>
      <w:r>
        <w:t xml:space="preserve">For each apartment type we provide: typical plan description, dimensioned key spaces, furniture layout guidance, fixed equipment lists, accessibility notes, and typical unit GIA/GFA conversions.</w:t>
      </w:r>
    </w:p>
    <w:p>
      <w:pPr>
        <w:pStyle w:val="BodyText"/>
      </w:pPr>
      <w:r>
        <w:t xml:space="preserve">General GFA conversion assumptions:</w:t>
      </w:r>
      <w:r>
        <w:t xml:space="preserve"> </w:t>
      </w:r>
      <w:r>
        <w:t xml:space="preserve">- Net-to-GFA conversion factor (typical for this building): net area * 1.15 = GFA contribution (includes circulation, walls, balconies apportioned).</w:t>
      </w:r>
    </w:p>
    <w:p>
      <w:pPr>
        <w:pStyle w:val="BodyText"/>
      </w:pPr>
      <w:r>
        <w:t xml:space="preserve">Unit mix (baseline):</w:t>
      </w:r>
      <w:r>
        <w:t xml:space="preserve"> </w:t>
      </w:r>
      <w:r>
        <w:t xml:space="preserve">- 4 x Studios (35 m² net; GFA approx. 40.25 m²)</w:t>
      </w:r>
      <w:r>
        <w:t xml:space="preserve"> </w:t>
      </w:r>
      <w:r>
        <w:t xml:space="preserve">- 10 x 1-BR (55 m² net; GFA approx. 63.25 m²)</w:t>
      </w:r>
      <w:r>
        <w:t xml:space="preserve"> </w:t>
      </w:r>
      <w:r>
        <w:t xml:space="preserve">- 6 x 2-BR (75 m² net; GFA approx. 86.25 m²)</w:t>
      </w:r>
      <w:r>
        <w:t xml:space="preserve"> </w:t>
      </w:r>
      <w:r>
        <w:t xml:space="preserve">Total net area: (4</w:t>
      </w:r>
      <w:r>
        <w:rPr>
          <w:i/>
          <w:iCs/>
        </w:rPr>
        <w:t xml:space="preserve">35) + (10</w:t>
      </w:r>
      <w:r>
        <w:t xml:space="preserve">55) + (6*75) = 140 + 550 + 450 = 1,140 m² net. Weighted average net ≈ 57 m² (but baseline earlier used ≈60 m²).</w:t>
      </w:r>
    </w:p>
    <w:p>
      <w:pPr>
        <w:pStyle w:val="BodyText"/>
      </w:pPr>
      <w:r>
        <w:t xml:space="preserve">Detailed types:</w:t>
      </w:r>
    </w:p>
    <w:p>
      <w:pPr>
        <w:pStyle w:val="BodyText"/>
      </w:pPr>
      <w:r>
        <w:t xml:space="preserve">3.1 Studio (approx. 30–38 m² net)</w:t>
      </w:r>
      <w:r>
        <w:t xml:space="preserve"> </w:t>
      </w:r>
      <w:r>
        <w:t xml:space="preserve">- Typical net: 35 m²</w:t>
      </w:r>
      <w:r>
        <w:t xml:space="preserve"> </w:t>
      </w:r>
      <w:r>
        <w:t xml:space="preserve">- Typical GFA allocation: 35 * 1.15 = 40.25 m²</w:t>
      </w:r>
      <w:r>
        <w:t xml:space="preserve"> </w:t>
      </w:r>
      <w:r>
        <w:t xml:space="preserve">- Plan description:</w:t>
      </w:r>
      <w:r>
        <w:t xml:space="preserve"> </w:t>
      </w:r>
      <w:r>
        <w:t xml:space="preserve">- Entry zone: 1.5–2.0 m corridor with coat storage and laundry space (stacked washer/dryer recess).</w:t>
      </w:r>
      <w:r>
        <w:t xml:space="preserve"> </w:t>
      </w:r>
      <w:r>
        <w:t xml:space="preserve">- Open-plan living/sleeping: 18–22 m² with integrated kitchenette along one wall—prefab kitchen module (600 mm depth) with induction hob, 45/60 cm dishwasher, integrated fridge.</w:t>
      </w:r>
      <w:r>
        <w:t xml:space="preserve"> </w:t>
      </w:r>
      <w:r>
        <w:t xml:space="preserve">- Bathroom: fully prefabricated wet core, approx 4–5 m² with shower (900x900 or 1200x800), WC, basin, mechanical extract.</w:t>
      </w:r>
      <w:r>
        <w:t xml:space="preserve"> </w:t>
      </w:r>
      <w:r>
        <w:t xml:space="preserve">- Storage: built-in wardrobe (min 1.2 m width) and flexible shelving.</w:t>
      </w:r>
      <w:r>
        <w:t xml:space="preserve"> </w:t>
      </w:r>
      <w:r>
        <w:t xml:space="preserve">- Balcony: approx 2–4 m² (optional depending on facade).</w:t>
      </w:r>
      <w:r>
        <w:t xml:space="preserve"> </w:t>
      </w:r>
      <w:r>
        <w:t xml:space="preserve">- Furniture layout: fold-out sofa-bed or integrated Murphy solution optional; small dining table for 2; 1200–1400 mm kitchen run.</w:t>
      </w:r>
      <w:r>
        <w:t xml:space="preserve"> </w:t>
      </w:r>
      <w:r>
        <w:t xml:space="preserve">- Accessibility: wheelchair-adaptable layout variant with 900 mm clear circulation and bathroom widened to 1500 x 2200 mm when designated as adaptable.</w:t>
      </w:r>
    </w:p>
    <w:p>
      <w:pPr>
        <w:pStyle w:val="BodyText"/>
      </w:pPr>
      <w:r>
        <w:t xml:space="preserve">3.2 1-Bedroom (approx. 48–62 m² net)</w:t>
      </w:r>
      <w:r>
        <w:t xml:space="preserve"> </w:t>
      </w:r>
      <w:r>
        <w:t xml:space="preserve">- Typical net: 55 m²</w:t>
      </w:r>
      <w:r>
        <w:t xml:space="preserve"> </w:t>
      </w:r>
      <w:r>
        <w:t xml:space="preserve">- GFA allocation: 63.25 m²</w:t>
      </w:r>
      <w:r>
        <w:t xml:space="preserve"> </w:t>
      </w:r>
      <w:r>
        <w:t xml:space="preserve">- Plan description:</w:t>
      </w:r>
      <w:r>
        <w:t xml:space="preserve"> </w:t>
      </w:r>
      <w:r>
        <w:t xml:space="preserve">- Entry and hallway (3–4 m²) with storage and coat area.</w:t>
      </w:r>
      <w:r>
        <w:t xml:space="preserve"> </w:t>
      </w:r>
      <w:r>
        <w:t xml:space="preserve">- Separate bedroom: 12–15 m² with built-in closet.</w:t>
      </w:r>
      <w:r>
        <w:t xml:space="preserve"> </w:t>
      </w:r>
      <w:r>
        <w:t xml:space="preserve">- Open living/dining/kitchen: 25–28 m² with full kitchen module (1.8–2.6 m run) and dining for 4–6.</w:t>
      </w:r>
      <w:r>
        <w:t xml:space="preserve"> </w:t>
      </w:r>
      <w:r>
        <w:t xml:space="preserve">- Bathroom: 5–7 m², prefabricated wet core (bath or shower variant) with space for laundry.</w:t>
      </w:r>
      <w:r>
        <w:t xml:space="preserve"> </w:t>
      </w:r>
      <w:r>
        <w:t xml:space="preserve">- Additional storage: linen cupboard in corridor.</w:t>
      </w:r>
      <w:r>
        <w:t xml:space="preserve"> </w:t>
      </w:r>
      <w:r>
        <w:t xml:space="preserve">- Balcony: 4–6 m² with room for small table and chairs.</w:t>
      </w:r>
      <w:r>
        <w:t xml:space="preserve"> </w:t>
      </w:r>
      <w:r>
        <w:t xml:space="preserve">- Furniture guidance: 1400–1600 mm sofa, 1200–1500 mm dining table, bedroom 1600 x 2000 bed.</w:t>
      </w:r>
    </w:p>
    <w:p>
      <w:pPr>
        <w:pStyle w:val="BodyText"/>
      </w:pPr>
      <w:r>
        <w:t xml:space="preserve">3.3 2-Bedroom (approx. 68–85 m² net)</w:t>
      </w:r>
      <w:r>
        <w:t xml:space="preserve"> </w:t>
      </w:r>
      <w:r>
        <w:t xml:space="preserve">- Typical net: 75 m²</w:t>
      </w:r>
      <w:r>
        <w:t xml:space="preserve"> </w:t>
      </w:r>
      <w:r>
        <w:t xml:space="preserve">- GFA allocation: 86.25 m²</w:t>
      </w:r>
      <w:r>
        <w:t xml:space="preserve"> </w:t>
      </w:r>
      <w:r>
        <w:t xml:space="preserve">- Plan description:</w:t>
      </w:r>
      <w:r>
        <w:t xml:space="preserve"> </w:t>
      </w:r>
      <w:r>
        <w:t xml:space="preserve">- Entry hall with dedicated storage (2–3 m²).</w:t>
      </w:r>
      <w:r>
        <w:t xml:space="preserve"> </w:t>
      </w:r>
      <w:r>
        <w:t xml:space="preserve">- Living/dining/kitchen: 28–34 m² open plan with kitchen island option in premium finish.</w:t>
      </w:r>
      <w:r>
        <w:t xml:space="preserve"> </w:t>
      </w:r>
      <w:r>
        <w:t xml:space="preserve">- Bedroom 1 (master): 12–15 m² with built-in wardrobe and optional ensuite (if client selects ensuite option).</w:t>
      </w:r>
      <w:r>
        <w:t xml:space="preserve"> </w:t>
      </w:r>
      <w:r>
        <w:t xml:space="preserve">- Bedroom 2: 10–12 m² suitable for children/office.</w:t>
      </w:r>
      <w:r>
        <w:t xml:space="preserve"> </w:t>
      </w:r>
      <w:r>
        <w:t xml:space="preserve">- Bathroom: main bathroom (approx. 6–8 m²) + optional ensuite (3–4 m²) — combination of shower and bathtub options.</w:t>
      </w:r>
      <w:r>
        <w:t xml:space="preserve"> </w:t>
      </w:r>
      <w:r>
        <w:t xml:space="preserve">- Balcony: 6–8 m².</w:t>
      </w:r>
      <w:r>
        <w:t xml:space="preserve"> </w:t>
      </w:r>
      <w:r>
        <w:t xml:space="preserve">- Accessibility: at least one adaptable unit on ground/entrance level with 1,500 mm clear turning circles in main rooms when designated.</w:t>
      </w:r>
    </w:p>
    <w:p>
      <w:pPr>
        <w:pStyle w:val="BodyText"/>
      </w:pPr>
      <w:r>
        <w:t xml:space="preserve">Typical plans will be dimensioned to a consistent structural grid (e.g., 3.6 m or 3.75 m module) to align with prefabricated bathrooms and kitchen modules.</w:t>
      </w:r>
    </w:p>
    <w:p>
      <w:pPr>
        <w:pStyle w:val="BodyText"/>
      </w:pPr>
      <w:r>
        <w:t xml:space="preserve">Furniture and fit-out schedule:</w:t>
      </w:r>
      <w:r>
        <w:t xml:space="preserve"> </w:t>
      </w:r>
      <w:r>
        <w:t xml:space="preserve">- Each unit type will be provided with a furniture schedule and a showroom kit for client selection (samples of flooring, cabinetry finishes, sanitaryware and hardware).</w:t>
      </w:r>
    </w:p>
    <w:p>
      <w:r>
        <w:pict>
          <v:rect style="width:0;height:1.5pt" o:hralign="center" o:hrstd="t" o:hr="t"/>
        </w:pict>
      </w:r>
    </w:p>
    <w:bookmarkEnd w:id="24"/>
    <w:bookmarkStart w:id="25" w:name="standard-elements-catalogue-detailed"/>
    <w:p>
      <w:pPr>
        <w:pStyle w:val="Heading2"/>
      </w:pPr>
      <w:r>
        <w:t xml:space="preserve">4. Standard elements catalogue (detailed)</w:t>
      </w:r>
    </w:p>
    <w:p>
      <w:pPr>
        <w:pStyle w:val="FirstParagraph"/>
      </w:pPr>
      <w:r>
        <w:t xml:space="preserve">This catalogue is intended to be included in marketing/selection booklets and used directly by procurement to specify tender items.</w:t>
      </w:r>
    </w:p>
    <w:p>
      <w:pPr>
        <w:pStyle w:val="BodyText"/>
      </w:pPr>
      <w:r>
        <w:t xml:space="preserve">4.1 Kitchen modules (prefab panel system)</w:t>
      </w:r>
      <w:r>
        <w:t xml:space="preserve"> </w:t>
      </w:r>
      <w:r>
        <w:t xml:space="preserve">- Dimensions:</w:t>
      </w:r>
      <w:r>
        <w:t xml:space="preserve"> </w:t>
      </w:r>
      <w:r>
        <w:t xml:space="preserve">- Studio: 1.2–1.8 m runs</w:t>
      </w:r>
      <w:r>
        <w:t xml:space="preserve"> </w:t>
      </w:r>
      <w:r>
        <w:t xml:space="preserve">- 1-BR: 1.8–2.6 m runs</w:t>
      </w:r>
      <w:r>
        <w:t xml:space="preserve"> </w:t>
      </w:r>
      <w:r>
        <w:t xml:space="preserve">- 2-BR: 2.6–3.6 m runs or island configuration</w:t>
      </w:r>
      <w:r>
        <w:t xml:space="preserve"> </w:t>
      </w:r>
      <w:r>
        <w:t xml:space="preserve">- Standard equipment:</w:t>
      </w:r>
      <w:r>
        <w:t xml:space="preserve"> </w:t>
      </w:r>
      <w:r>
        <w:t xml:space="preserve">- 4-zone induction hob (domestic size, integrated)</w:t>
      </w:r>
      <w:r>
        <w:t xml:space="preserve"> </w:t>
      </w:r>
      <w:r>
        <w:t xml:space="preserve">- 60 cm built-in oven (or microwave-combi in premium)</w:t>
      </w:r>
      <w:r>
        <w:t xml:space="preserve"> </w:t>
      </w:r>
      <w:r>
        <w:t xml:space="preserve">- Integrated 45/60 cm dishwasher (45 recommended for studios)</w:t>
      </w:r>
      <w:r>
        <w:t xml:space="preserve"> </w:t>
      </w:r>
      <w:r>
        <w:t xml:space="preserve">- Integrated fridge/freezer (137–200 L)</w:t>
      </w:r>
      <w:r>
        <w:t xml:space="preserve"> </w:t>
      </w:r>
      <w:r>
        <w:t xml:space="preserve">- Stainless steel sink (60 cm) with single-lever mixer</w:t>
      </w:r>
      <w:r>
        <w:t xml:space="preserve"> </w:t>
      </w:r>
      <w:r>
        <w:t xml:space="preserve">- Soft-close drawers, melamine-faced panels or real wood veneers for premium</w:t>
      </w:r>
      <w:r>
        <w:t xml:space="preserve"> </w:t>
      </w:r>
      <w:r>
        <w:t xml:space="preserve">- Finish levels:</w:t>
      </w:r>
      <w:r>
        <w:t xml:space="preserve"> </w:t>
      </w:r>
      <w:r>
        <w:t xml:space="preserve">- Economy: laminate fronts, melamine carcasses, basic handles, LVT splashback</w:t>
      </w:r>
      <w:r>
        <w:t xml:space="preserve"> </w:t>
      </w:r>
      <w:r>
        <w:t xml:space="preserve">- Standard: HPL or lacquered fronts, integrated handles, quartz laminate countertop option</w:t>
      </w:r>
      <w:r>
        <w:t xml:space="preserve"> </w:t>
      </w:r>
      <w:r>
        <w:t xml:space="preserve">- Premium: real veneer or lacquer, quartz/solid-surface countertop, integrated appliances (higher-end brand)</w:t>
      </w:r>
      <w:r>
        <w:t xml:space="preserve"> </w:t>
      </w:r>
      <w:r>
        <w:t xml:space="preserve">- Typical procurement note: delivered as modular units for rapid on-site fit and MEP pre-plumbing connection points aligned with risers.</w:t>
      </w:r>
    </w:p>
    <w:p>
      <w:pPr>
        <w:pStyle w:val="BodyText"/>
      </w:pPr>
      <w:r>
        <w:t xml:space="preserve">4.2 Bathroom wet core (prefab pod)</w:t>
      </w:r>
      <w:r>
        <w:t xml:space="preserve"> </w:t>
      </w:r>
      <w:r>
        <w:t xml:space="preserve">- Typical pod size range:</w:t>
      </w:r>
      <w:r>
        <w:t xml:space="preserve"> </w:t>
      </w:r>
      <w:r>
        <w:t xml:space="preserve">- Studio: 1.8–2.4 m² footprint (compact shower pod)</w:t>
      </w:r>
      <w:r>
        <w:t xml:space="preserve"> </w:t>
      </w:r>
      <w:r>
        <w:t xml:space="preserve">- 1BR: 4–6 m²</w:t>
      </w:r>
      <w:r>
        <w:t xml:space="preserve"> </w:t>
      </w:r>
      <w:r>
        <w:t xml:space="preserve">- 2BR: 6–8 m² (plus ensuite pods if applicable)</w:t>
      </w:r>
      <w:r>
        <w:t xml:space="preserve"> </w:t>
      </w:r>
      <w:r>
        <w:t xml:space="preserve">- Scope:</w:t>
      </w:r>
      <w:r>
        <w:t xml:space="preserve"> </w:t>
      </w:r>
      <w:r>
        <w:t xml:space="preserve">- Factory-built shell with factory tiling and waterproofing membrane (PIB or polyurethane), installed sanitaryware (wall-hung WC, basin, shower tray), pre-wired lighting and extractor, pre-terminated plumbing junctions on standard connection positions.</w:t>
      </w:r>
      <w:r>
        <w:t xml:space="preserve"> </w:t>
      </w:r>
      <w:r>
        <w:t xml:space="preserve">- Performance:</w:t>
      </w:r>
      <w:r>
        <w:t xml:space="preserve"> </w:t>
      </w:r>
      <w:r>
        <w:t xml:space="preserve">- Waterproofing tested in factory; site-assembled with mechanical and chemical seals as necessary.</w:t>
      </w:r>
      <w:r>
        <w:t xml:space="preserve"> </w:t>
      </w:r>
      <w:r>
        <w:t xml:space="preserve">- Acoustic attenuation: internal pod lining to reduce structure-borne noise.</w:t>
      </w:r>
      <w:r>
        <w:t xml:space="preserve"> </w:t>
      </w:r>
      <w:r>
        <w:t xml:space="preserve">- Interface requirements:</w:t>
      </w:r>
      <w:r>
        <w:t xml:space="preserve"> </w:t>
      </w:r>
      <w:r>
        <w:t xml:space="preserve">- Standard vertical riser positions and slab openings (coordination drawing provided).</w:t>
      </w:r>
      <w:r>
        <w:t xml:space="preserve"> </w:t>
      </w:r>
      <w:r>
        <w:t xml:space="preserve">- Pod has standard connection stub heights for cold/hot water and soil stack to simplify onsite connection.</w:t>
      </w:r>
      <w:r>
        <w:t xml:space="preserve"> </w:t>
      </w:r>
      <w:r>
        <w:t xml:space="preserve">- Quality benefits: tight factory QA, reduced on-site wet trades, predictable finish.</w:t>
      </w:r>
    </w:p>
    <w:p>
      <w:pPr>
        <w:pStyle w:val="BodyText"/>
      </w:pPr>
      <w:r>
        <w:t xml:space="preserve">4.3 Windows, doors &amp; external elements</w:t>
      </w:r>
      <w:r>
        <w:t xml:space="preserve"> </w:t>
      </w:r>
      <w:r>
        <w:t xml:space="preserve">- Windows:</w:t>
      </w:r>
      <w:r>
        <w:t xml:space="preserve"> </w:t>
      </w:r>
      <w:r>
        <w:t xml:space="preserve">- Standard: triple-glazed PVC or aluminum thermally-broken frames, Uw ≤ 0.95 W/m²K, external solar shading optional (roller shutters or external blinds).</w:t>
      </w:r>
      <w:r>
        <w:t xml:space="preserve"> </w:t>
      </w:r>
      <w:r>
        <w:t xml:space="preserve">- Opening types: tilt &amp; turn as standard for ventilation and access for cleaning (outward opening for certain balconies).</w:t>
      </w:r>
      <w:r>
        <w:t xml:space="preserve"> </w:t>
      </w:r>
      <w:r>
        <w:t xml:space="preserve">- Entry Doors:</w:t>
      </w:r>
      <w:r>
        <w:t xml:space="preserve"> </w:t>
      </w:r>
      <w:r>
        <w:t xml:space="preserve">- Fire-rated communal and stair doors to local requirements; apartment entrance doors: security-rated (RC2 optional), acoustic seals, intumescent strips if required for compartmentation.</w:t>
      </w:r>
      <w:r>
        <w:t xml:space="preserve"> </w:t>
      </w:r>
      <w:r>
        <w:t xml:space="preserve">- Internal Doors:</w:t>
      </w:r>
      <w:r>
        <w:t xml:space="preserve"> </w:t>
      </w:r>
      <w:r>
        <w:t xml:space="preserve">- Standard fire-safety-rated doors where required by compartmentation; acoustic seals for party walls adjacency.</w:t>
      </w:r>
      <w:r>
        <w:t xml:space="preserve"> </w:t>
      </w:r>
      <w:r>
        <w:t xml:space="preserve">- Balconies:</w:t>
      </w:r>
      <w:r>
        <w:t xml:space="preserve"> </w:t>
      </w:r>
      <w:r>
        <w:t xml:space="preserve">- Precast or steel balconies with composite decking or stone-tile finish, glass or metal balustrades. Drainage details and thermal breaks specified.</w:t>
      </w:r>
    </w:p>
    <w:p>
      <w:pPr>
        <w:pStyle w:val="BodyText"/>
      </w:pPr>
      <w:r>
        <w:t xml:space="preserve">4.4 Flooring</w:t>
      </w:r>
      <w:r>
        <w:t xml:space="preserve"> </w:t>
      </w:r>
      <w:r>
        <w:t xml:space="preserve">- Economy: laminate, 8 mm thickness, 20 dB underlay in living areas.</w:t>
      </w:r>
      <w:r>
        <w:t xml:space="preserve"> </w:t>
      </w:r>
      <w:r>
        <w:t xml:space="preserve">- Standard: LVT planks, 2.5–5 mm wear layer, 12–15 dB underlay.</w:t>
      </w:r>
      <w:r>
        <w:t xml:space="preserve"> </w:t>
      </w:r>
      <w:r>
        <w:t xml:space="preserve">- Premium: engineered oak (14 mm), acoustic underlay for airborne and impact reduction, option for site-sanded and oiled finish.</w:t>
      </w:r>
      <w:r>
        <w:t xml:space="preserve"> </w:t>
      </w:r>
      <w:r>
        <w:t xml:space="preserve">- Wet areas: anti-slip ceramic tiles for wet rooms, tile bonding suitable for prefabricated pods.</w:t>
      </w:r>
    </w:p>
    <w:p>
      <w:pPr>
        <w:pStyle w:val="BodyText"/>
      </w:pPr>
      <w:r>
        <w:t xml:space="preserve">4.5 Built-in storage</w:t>
      </w:r>
      <w:r>
        <w:t xml:space="preserve"> </w:t>
      </w:r>
      <w:r>
        <w:t xml:space="preserve">- Entry: 600–900 mm deep coat cupboards; integrated shoe shelving.</w:t>
      </w:r>
      <w:r>
        <w:t xml:space="preserve"> </w:t>
      </w:r>
      <w:r>
        <w:t xml:space="preserve">- Bedrooms: built-in wardrobe modules (standard 1.8–2.4 m runs), internal fittings standardized with melamine shelves and hanging rails.</w:t>
      </w:r>
      <w:r>
        <w:t xml:space="preserve"> </w:t>
      </w:r>
      <w:r>
        <w:t xml:space="preserve">- Optional: bike storage provisions in basement/ground floor.</w:t>
      </w:r>
    </w:p>
    <w:p>
      <w:pPr>
        <w:pStyle w:val="BodyText"/>
      </w:pPr>
      <w:r>
        <w:t xml:space="preserve">4.6 MEP prefabricated modules &amp; riser strategy</w:t>
      </w:r>
      <w:r>
        <w:t xml:space="preserve"> </w:t>
      </w:r>
      <w:r>
        <w:t xml:space="preserve">- Pre-assembled MEP riser stacks coordinating hot/cold water, soil stacks and ventilation ducts through each floor.</w:t>
      </w:r>
      <w:r>
        <w:t xml:space="preserve"> </w:t>
      </w:r>
      <w:r>
        <w:t xml:space="preserve">- Reusable standard labels and connection boxes at each kitchen and bathroom position.</w:t>
      </w:r>
    </w:p>
    <w:p>
      <w:pPr>
        <w:pStyle w:val="BodyText"/>
      </w:pPr>
      <w:r>
        <w:t xml:space="preserve">4.7 Sample supplier / product performance lists</w:t>
      </w:r>
      <w:r>
        <w:t xml:space="preserve"> </w:t>
      </w:r>
      <w:r>
        <w:t xml:space="preserve">- The catalogue contains generic product classes and performance specifications to avoid vendor lock-in but allows nominated suppliers in the tendering documents.</w:t>
      </w:r>
    </w:p>
    <w:p>
      <w:r>
        <w:pict>
          <v:rect style="width:0;height:1.5pt" o:hralign="center" o:hrstd="t" o:hr="t"/>
        </w:pict>
      </w:r>
    </w:p>
    <w:bookmarkEnd w:id="25"/>
    <w:bookmarkStart w:id="26" w:name="modular-construction-strategy-detailed"/>
    <w:p>
      <w:pPr>
        <w:pStyle w:val="Heading2"/>
      </w:pPr>
      <w:r>
        <w:t xml:space="preserve">5. Modular &amp; construction strategy (detailed)</w:t>
      </w:r>
    </w:p>
    <w:p>
      <w:pPr>
        <w:pStyle w:val="FirstParagraph"/>
      </w:pPr>
      <w:r>
        <w:t xml:space="preserve">Objective: minimize on-site trades, improve quality and shorten programme while retaining sufficient flexibility for site-specific constraints.</w:t>
      </w:r>
    </w:p>
    <w:p>
      <w:pPr>
        <w:pStyle w:val="BodyText"/>
      </w:pPr>
      <w:r>
        <w:t xml:space="preserve">5.1 Prefabrication strategy</w:t>
      </w:r>
      <w:r>
        <w:t xml:space="preserve"> </w:t>
      </w:r>
      <w:r>
        <w:t xml:space="preserve">- Prefabricated bathroom pods:</w:t>
      </w:r>
      <w:r>
        <w:t xml:space="preserve"> </w:t>
      </w:r>
      <w:r>
        <w:t xml:space="preserve">- Benefits: shortened wet trades, factory QA, reduced defects, predictable finish quality.</w:t>
      </w:r>
      <w:r>
        <w:t xml:space="preserve"> </w:t>
      </w:r>
      <w:r>
        <w:t xml:space="preserve">- Risks: dimensional tolerances, interface coordination — mitigated by BIM and early mock-up.</w:t>
      </w:r>
      <w:r>
        <w:t xml:space="preserve"> </w:t>
      </w:r>
      <w:r>
        <w:t xml:space="preserve">- Kitchen modules:</w:t>
      </w:r>
      <w:r>
        <w:t xml:space="preserve"> </w:t>
      </w:r>
      <w:r>
        <w:t xml:space="preserve">- Prefab cabinetry with integrated appliances delivered in protective packaging; electrical and plumbing pre-terminated to connection points.</w:t>
      </w:r>
      <w:r>
        <w:t xml:space="preserve"> </w:t>
      </w:r>
      <w:r>
        <w:t xml:space="preserve">- Façade panels:</w:t>
      </w:r>
      <w:r>
        <w:t xml:space="preserve"> </w:t>
      </w:r>
      <w:r>
        <w:t xml:space="preserve">- Panelised façade systems (insulated metal panels, rainscreen, or brick-veneer cassette) to allow rapid enclosure and weather-tightness.</w:t>
      </w:r>
      <w:r>
        <w:t xml:space="preserve"> </w:t>
      </w:r>
      <w:r>
        <w:t xml:space="preserve">- Structural options:</w:t>
      </w:r>
      <w:r>
        <w:t xml:space="preserve"> </w:t>
      </w:r>
      <w:r>
        <w:t xml:space="preserve">- Traditionally-cast reinforced concrete frame (with prefab elements for pods and façade).</w:t>
      </w:r>
      <w:r>
        <w:t xml:space="preserve"> </w:t>
      </w:r>
      <w:r>
        <w:t xml:space="preserve">- Hybrid solutions (cross-laminated timber (CLT) floors or timber frames) considered for sustainability/premium markets (with allowances for acoustic mitigation).</w:t>
      </w:r>
    </w:p>
    <w:p>
      <w:pPr>
        <w:pStyle w:val="BodyText"/>
      </w:pPr>
      <w:r>
        <w:t xml:space="preserve">5.2 Vertical stacking &amp; repetition</w:t>
      </w:r>
      <w:r>
        <w:t xml:space="preserve"> </w:t>
      </w:r>
      <w:r>
        <w:t xml:space="preserve">- Plumbing cores and wet rooms stacked vertically to reduce complex horizontal runs.</w:t>
      </w:r>
      <w:r>
        <w:t xml:space="preserve"> </w:t>
      </w:r>
      <w:r>
        <w:t xml:space="preserve">- Standard structural bay (e.g., 3.6 m) to align with kitchen runs and window positions.</w:t>
      </w:r>
      <w:r>
        <w:t xml:space="preserve"> </w:t>
      </w:r>
      <w:r>
        <w:t xml:space="preserve">- Slab penetrations clustered to minimize cutting and reduce waterproofing risks.</w:t>
      </w:r>
    </w:p>
    <w:p>
      <w:pPr>
        <w:pStyle w:val="BodyText"/>
      </w:pPr>
      <w:r>
        <w:t xml:space="preserve">5.3 Interfaces and tolerances</w:t>
      </w:r>
      <w:r>
        <w:t xml:space="preserve"> </w:t>
      </w:r>
      <w:r>
        <w:t xml:space="preserve">- All prefabricated elements will have defined interface tolerances ±5 mm for panel attachments and ±10 mm for pod connections; tolerance schedule included in technical package.</w:t>
      </w:r>
      <w:r>
        <w:t xml:space="preserve"> </w:t>
      </w:r>
      <w:r>
        <w:t xml:space="preserve">- Mock-up and trial assembly recommended in early stage to validate tolerances — cost allowance included in soft costs.</w:t>
      </w:r>
    </w:p>
    <w:p>
      <w:pPr>
        <w:pStyle w:val="BodyText"/>
      </w:pPr>
      <w:r>
        <w:t xml:space="preserve">5.4 Site logistics &amp; sequencing</w:t>
      </w:r>
      <w:r>
        <w:t xml:space="preserve"> </w:t>
      </w:r>
      <w:r>
        <w:t xml:space="preserve">- Staging areas for pod delivery and storage; crane lift sequences; weather protection for sensitive finishes.</w:t>
      </w:r>
      <w:r>
        <w:t xml:space="preserve"> </w:t>
      </w:r>
      <w:r>
        <w:t xml:space="preserve">- Staging plan and lift plan to be provided by contractor during tender stage.</w:t>
      </w:r>
    </w:p>
    <w:p>
      <w:pPr>
        <w:pStyle w:val="BodyText"/>
      </w:pPr>
      <w:r>
        <w:t xml:space="preserve">5.5 QA/QC</w:t>
      </w:r>
      <w:r>
        <w:t xml:space="preserve"> </w:t>
      </w:r>
      <w:r>
        <w:t xml:space="preserve">- Factory acceptance tests (FAT) for pods and kitchen modules including water tightness, appliance operation, and electrical testing.</w:t>
      </w:r>
      <w:r>
        <w:t xml:space="preserve"> </w:t>
      </w:r>
      <w:r>
        <w:t xml:space="preserve">- Site-based inspection on arrival, prior to craning into final position.</w:t>
      </w:r>
      <w:r>
        <w:t xml:space="preserve"> </w:t>
      </w:r>
      <w:r>
        <w:t xml:space="preserve">- Documented handover packs for each prefabricated module including warranty, O&amp;M manuals and as-built MEP termination points.</w:t>
      </w:r>
    </w:p>
    <w:p>
      <w:r>
        <w:pict>
          <v:rect style="width:0;height:1.5pt" o:hralign="center" o:hrstd="t" o:hr="t"/>
        </w:pict>
      </w:r>
    </w:p>
    <w:bookmarkEnd w:id="26"/>
    <w:bookmarkStart w:id="27" w:name="regulatory-compliance-notes-detailed"/>
    <w:p>
      <w:pPr>
        <w:pStyle w:val="Heading2"/>
      </w:pPr>
      <w:r>
        <w:t xml:space="preserve">6. Regulatory &amp; compliance notes (detailed)</w:t>
      </w:r>
    </w:p>
    <w:p>
      <w:pPr>
        <w:pStyle w:val="FirstParagraph"/>
      </w:pPr>
      <w:r>
        <w:t xml:space="preserve">Design and documentation will reference applicable German standards and industry best practice. Below is a non-exhaustive checklist and explanation for compliance.</w:t>
      </w:r>
    </w:p>
    <w:p>
      <w:pPr>
        <w:pStyle w:val="BodyText"/>
      </w:pPr>
      <w:r>
        <w:t xml:space="preserve">6.1 Energy &amp; thermal (GEG and related)</w:t>
      </w:r>
      <w:r>
        <w:t xml:space="preserve"> </w:t>
      </w:r>
      <w:r>
        <w:t xml:space="preserve">- Building to be designed with consideration for GEG (Gebäudeenergiegesetz) requirements for primary energy demand and thermal protection:</w:t>
      </w:r>
      <w:r>
        <w:t xml:space="preserve"> </w:t>
      </w:r>
      <w:r>
        <w:t xml:space="preserve">- Provide modelling outputs (PHPP or dynamic simulation) at technical design to demonstrate compliance.</w:t>
      </w:r>
      <w:r>
        <w:t xml:space="preserve"> </w:t>
      </w:r>
      <w:r>
        <w:t xml:space="preserve">- Where MVHR is considered, ensure free heat recovery rates and SFP are included in model.</w:t>
      </w:r>
      <w:r>
        <w:t xml:space="preserve"> </w:t>
      </w:r>
      <w:r>
        <w:t xml:space="preserve">- Renewable energy measures:</w:t>
      </w:r>
      <w:r>
        <w:t xml:space="preserve"> </w:t>
      </w:r>
      <w:r>
        <w:t xml:space="preserve">- PV roof readiness: structural load allowance for PV (including ballast or mounting).</w:t>
      </w:r>
      <w:r>
        <w:t xml:space="preserve"> </w:t>
      </w:r>
      <w:r>
        <w:t xml:space="preserve">- Option to include air/water heat pumps or district heating connection where available.</w:t>
      </w:r>
    </w:p>
    <w:p>
      <w:pPr>
        <w:pStyle w:val="BodyText"/>
      </w:pPr>
      <w:r>
        <w:t xml:space="preserve">6.2 Accessibility (DIN 18040 family)</w:t>
      </w:r>
      <w:r>
        <w:t xml:space="preserve"> </w:t>
      </w:r>
      <w:r>
        <w:t xml:space="preserve">- At least one accessible/entrance-level unit per development as standard; adopt DIN 18040-2 guidance for residential buildings for dimensions, door widths (min 90 cm for accessible doors), bathroom turning circles and thresholds.</w:t>
      </w:r>
      <w:r>
        <w:t xml:space="preserve"> </w:t>
      </w:r>
      <w:r>
        <w:t xml:space="preserve">- Provide adaptable units (construction allowing easy conversion to full accessibility).</w:t>
      </w:r>
    </w:p>
    <w:p>
      <w:pPr>
        <w:pStyle w:val="BodyText"/>
      </w:pPr>
      <w:r>
        <w:t xml:space="preserve">6.3 Fire safety / egress</w:t>
      </w:r>
      <w:r>
        <w:t xml:space="preserve"> </w:t>
      </w:r>
      <w:r>
        <w:t xml:space="preserve">- Coordinate with local Feuerpolizei and fire brigade early. Items to include:</w:t>
      </w:r>
      <w:r>
        <w:t xml:space="preserve"> </w:t>
      </w:r>
      <w:r>
        <w:t xml:space="preserve">- Stair width and number of escape routes per floor occupancy.</w:t>
      </w:r>
      <w:r>
        <w:t xml:space="preserve"> </w:t>
      </w:r>
      <w:r>
        <w:t xml:space="preserve">- Smoke control (stair pressurization if required), automatic detection in common areas, apartment smoke alarm recommendations.</w:t>
      </w:r>
      <w:r>
        <w:t xml:space="preserve"> </w:t>
      </w:r>
      <w:r>
        <w:t xml:space="preserve">- Compartmentation strategy and fire-resisting elements (floor/ceiling and corridor partitions).</w:t>
      </w:r>
      <w:r>
        <w:t xml:space="preserve"> </w:t>
      </w:r>
      <w:r>
        <w:t xml:space="preserve">- Fire doors and glazing to be specified to appropriate fire resistance ratings (e.g., EI30/EI60).</w:t>
      </w:r>
    </w:p>
    <w:p>
      <w:pPr>
        <w:pStyle w:val="BodyText"/>
      </w:pPr>
      <w:r>
        <w:t xml:space="preserve">6.4 Acoustic performance</w:t>
      </w:r>
      <w:r>
        <w:t xml:space="preserve"> </w:t>
      </w:r>
      <w:r>
        <w:t xml:space="preserve">- Design to DIN 4109 and DIN EN ISO 12354 methods:</w:t>
      </w:r>
      <w:r>
        <w:t xml:space="preserve"> </w:t>
      </w:r>
      <w:r>
        <w:t xml:space="preserve">- Party walls: airborne sound insulation target R’w ≥ 55 dB (upgrade options for premium).</w:t>
      </w:r>
      <w:r>
        <w:t xml:space="preserve"> </w:t>
      </w:r>
      <w:r>
        <w:t xml:space="preserve">- Floors: impact sound insulation L’n,w ≤ 53 dB (improved values achievable with floating floors).</w:t>
      </w:r>
      <w:r>
        <w:t xml:space="preserve"> </w:t>
      </w:r>
      <w:r>
        <w:t xml:space="preserve">- Noise control strategy for mechanical plant — MEP silencing and ductwork design.</w:t>
      </w:r>
    </w:p>
    <w:p>
      <w:pPr>
        <w:pStyle w:val="BodyText"/>
      </w:pPr>
      <w:r>
        <w:t xml:space="preserve">6.5 Structural and geotechnical</w:t>
      </w:r>
      <w:r>
        <w:t xml:space="preserve"> </w:t>
      </w:r>
      <w:r>
        <w:t xml:space="preserve">- Standard slab and foundation design (strip or pad) to be determined by geotechnical report. Allowances in baseline cost for typical shallow foundations; contingency for piled solutions if required at tender.</w:t>
      </w:r>
    </w:p>
    <w:p>
      <w:pPr>
        <w:pStyle w:val="BodyText"/>
      </w:pPr>
      <w:r>
        <w:t xml:space="preserve">6.6 Health &amp; safety</w:t>
      </w:r>
      <w:r>
        <w:t xml:space="preserve"> </w:t>
      </w:r>
      <w:r>
        <w:t xml:space="preserve">- Temporary site safety plan and method statements for crane-lift of pods, façade panels and heavy deliveries.</w:t>
      </w:r>
      <w:r>
        <w:t xml:space="preserve"> </w:t>
      </w:r>
      <w:r>
        <w:t xml:space="preserve">- Asbestos and hazardous material checks if existing site building demolished prior (not included in baseline estimate).</w:t>
      </w:r>
    </w:p>
    <w:p>
      <w:pPr>
        <w:pStyle w:val="BodyText"/>
      </w:pPr>
      <w:r>
        <w:t xml:space="preserve">6.7 Planning considerations</w:t>
      </w:r>
      <w:r>
        <w:t xml:space="preserve"> </w:t>
      </w:r>
      <w:r>
        <w:t xml:space="preserve">- Typical planning constraints such as daylight/overshadowing assessments, parking provision (local policy), and urban design requirements will be addressed in technical design.</w:t>
      </w:r>
    </w:p>
    <w:p>
      <w:pPr>
        <w:pStyle w:val="BodyText"/>
      </w:pPr>
      <w:r>
        <w:t xml:space="preserve">Regulatory references (indicative):</w:t>
      </w:r>
      <w:r>
        <w:t xml:space="preserve"> </w:t>
      </w:r>
      <w:r>
        <w:t xml:space="preserve">- Gebäudeenergiegesetz (GEG), 2020 (and subsequent amendments)</w:t>
      </w:r>
      <w:r>
        <w:t xml:space="preserve"> </w:t>
      </w:r>
      <w:r>
        <w:t xml:space="preserve">- DIN 18040 (barrier-free building)</w:t>
      </w:r>
      <w:r>
        <w:t xml:space="preserve"> </w:t>
      </w:r>
      <w:r>
        <w:t xml:space="preserve">- DIN 4108 (thermal protection)</w:t>
      </w:r>
      <w:r>
        <w:t xml:space="preserve"> </w:t>
      </w:r>
      <w:r>
        <w:t xml:space="preserve">- DIN 4109 (noise protection)</w:t>
      </w:r>
      <w:r>
        <w:t xml:space="preserve"> </w:t>
      </w:r>
      <w:r>
        <w:t xml:space="preserve">- DIN EN ISO 12354 (acoustic performance)</w:t>
      </w:r>
      <w:r>
        <w:t xml:space="preserve"> </w:t>
      </w:r>
      <w:r>
        <w:t xml:space="preserve">- DIN EN 1634 (fire resistance testing)</w:t>
      </w:r>
      <w:r>
        <w:t xml:space="preserve"> </w:t>
      </w:r>
      <w:r>
        <w:t xml:space="preserve">- Local building codes and Feuerpolizei requirements (to be confirmed on site)</w:t>
      </w:r>
    </w:p>
    <w:p>
      <w:pPr>
        <w:pStyle w:val="BodyText"/>
      </w:pPr>
      <w:r>
        <w:t xml:space="preserve">Compliance checklist (to be completed at technical design stage):</w:t>
      </w:r>
      <w:r>
        <w:t xml:space="preserve"> </w:t>
      </w:r>
      <w:r>
        <w:t xml:space="preserve">- [ ] Confirm GEG compliance / modelling inputs</w:t>
      </w:r>
      <w:r>
        <w:t xml:space="preserve"> </w:t>
      </w:r>
      <w:r>
        <w:t xml:space="preserve">- [ ] Accessibility compliance for designated units</w:t>
      </w:r>
      <w:r>
        <w:t xml:space="preserve"> </w:t>
      </w:r>
      <w:r>
        <w:t xml:space="preserve">- [ ] Fire safety report and compartmentation plan</w:t>
      </w:r>
      <w:r>
        <w:t xml:space="preserve"> </w:t>
      </w:r>
      <w:r>
        <w:t xml:space="preserve">- [ ] Acoustic specification and lab testing plan</w:t>
      </w:r>
      <w:r>
        <w:t xml:space="preserve"> </w:t>
      </w:r>
      <w:r>
        <w:t xml:space="preserve">- [ ] Structural design in line with geotechnical survey</w:t>
      </w:r>
      <w:r>
        <w:t xml:space="preserve"> </w:t>
      </w:r>
      <w:r>
        <w:t xml:space="preserve">- [ ] Permitting package completeness (plans, calculations, statutory forms)</w:t>
      </w:r>
    </w:p>
    <w:p>
      <w:r>
        <w:pict>
          <v:rect style="width:0;height:1.5pt" o:hralign="center" o:hrstd="t" o:hr="t"/>
        </w:pict>
      </w:r>
    </w:p>
    <w:bookmarkEnd w:id="27"/>
    <w:bookmarkStart w:id="28" w:name="X0be37a6bcc64213d1d5f10f9fec0728f1429fa3"/>
    <w:p>
      <w:pPr>
        <w:pStyle w:val="Heading2"/>
      </w:pPr>
      <w:r>
        <w:t xml:space="preserve">7. Cost estimate methodology, assumptions and detailed breakdown</w:t>
      </w:r>
    </w:p>
    <w:p>
      <w:pPr>
        <w:pStyle w:val="FirstParagraph"/>
      </w:pPr>
      <w:r>
        <w:t xml:space="preserve">Methodology summary:</w:t>
      </w:r>
      <w:r>
        <w:t xml:space="preserve"> </w:t>
      </w:r>
      <w:r>
        <w:t xml:space="preserve">- Costs are built up from GFA applied unit rates, adjusted by unit mix and type-specific fit-out allowances.</w:t>
      </w:r>
      <w:r>
        <w:t xml:space="preserve"> </w:t>
      </w:r>
      <w:r>
        <w:t xml:space="preserve">- Prefab items (bathroom pods, kitchen modules) costed as manufactured product plus installation and interface works.</w:t>
      </w:r>
      <w:r>
        <w:t xml:space="preserve"> </w:t>
      </w:r>
      <w:r>
        <w:t xml:space="preserve">- Soft costs applied as percentages of construction, with owner-level contingency applied after soft costs.</w:t>
      </w:r>
      <w:r>
        <w:t xml:space="preserve"> </w:t>
      </w:r>
      <w:r>
        <w:t xml:space="preserve">- All figures are indicative baseline estimates for budgeting. A full QS should be prepared at the end of technical design.</w:t>
      </w:r>
    </w:p>
    <w:p>
      <w:pPr>
        <w:pStyle w:val="BodyText"/>
      </w:pPr>
      <w:r>
        <w:t xml:space="preserve">Baseline assumptions:</w:t>
      </w:r>
      <w:r>
        <w:t xml:space="preserve"> </w:t>
      </w:r>
      <w:r>
        <w:t xml:space="preserve">- Representative building: GFA 1,200 m²</w:t>
      </w:r>
      <w:r>
        <w:t xml:space="preserve"> </w:t>
      </w:r>
      <w:r>
        <w:t xml:space="preserve">- Construction unit cost: 2,600 EUR/m² GFA (mid-range sustainable specification; includes prefab pods and performance envelope)</w:t>
      </w:r>
      <w:r>
        <w:t xml:space="preserve"> </w:t>
      </w:r>
      <w:r>
        <w:t xml:space="preserve">- Construction cost total: 1,200 m² * 2,600 EUR/m² = 3,120,000 EUR</w:t>
      </w:r>
    </w:p>
    <w:p>
      <w:pPr>
        <w:pStyle w:val="BodyText"/>
      </w:pPr>
      <w:r>
        <w:t xml:space="preserve">7.1 Construction cost breakdown (detailed)</w:t>
      </w:r>
    </w:p>
    <w:p>
      <w:pPr>
        <w:pStyle w:val="BodyText"/>
      </w:pPr>
      <w:r>
        <w:t xml:space="preserve">| Cost category | % of construction | Amount (EUR) | Notes |</w:t>
      </w:r>
      <w:r>
        <w:t xml:space="preserve"> </w:t>
      </w:r>
      <w:r>
        <w:t xml:space="preserve">|---|---:|---:|---|</w:t>
      </w:r>
      <w:r>
        <w:t xml:space="preserve"> </w:t>
      </w:r>
      <w:r>
        <w:t xml:space="preserve">| Substructure &amp; shell (foundations, structure, envelope) | 45% | 1,404,000 | Includes external walls, windows, roof, structural frame |</w:t>
      </w:r>
      <w:r>
        <w:t xml:space="preserve"> </w:t>
      </w:r>
      <w:r>
        <w:t xml:space="preserve">| Interiors &amp; finishes (kitchens, bathrooms, flooring, doors) | 20% | 624,000 | Prefab pods and kitchen modules included here |</w:t>
      </w:r>
      <w:r>
        <w:t xml:space="preserve"> </w:t>
      </w:r>
      <w:r>
        <w:t xml:space="preserve">| MEP (heating, ventilation, plumbing, electrics) | 20% | 624,000 | Includes plant, distribution and final fixings |</w:t>
      </w:r>
      <w:r>
        <w:t xml:space="preserve"> </w:t>
      </w:r>
      <w:r>
        <w:t xml:space="preserve">| External works &amp; landscaping | 5% | 156,000 | Access, paving, planting, cycle stores |</w:t>
      </w:r>
      <w:r>
        <w:t xml:space="preserve"> </w:t>
      </w:r>
      <w:r>
        <w:t xml:space="preserve">| Site preliminaries &amp; hoarding | 2% | 62,400 | Temporary works and onsite facilities |</w:t>
      </w:r>
      <w:r>
        <w:t xml:space="preserve"> </w:t>
      </w:r>
      <w:r>
        <w:t xml:space="preserve">| Contractor contingency (on construction works) | 5% | 156,000 | Client to accept or adjust based on procurement |</w:t>
      </w:r>
    </w:p>
    <w:p>
      <w:pPr>
        <w:pStyle w:val="BodyText"/>
      </w:pPr>
      <w:r>
        <w:t xml:space="preserve">Construction subtotal: 3,120,000 EUR</w:t>
      </w:r>
    </w:p>
    <w:p>
      <w:pPr>
        <w:pStyle w:val="BodyText"/>
      </w:pPr>
      <w:r>
        <w:t xml:space="preserve">Soft costs and owner-level items:</w:t>
      </w:r>
    </w:p>
    <w:p>
      <w:pPr>
        <w:pStyle w:val="BodyText"/>
      </w:pPr>
      <w:r>
        <w:t xml:space="preserve">| Soft cost item | % (or value) | Amount (EUR) | Notes |</w:t>
      </w:r>
      <w:r>
        <w:t xml:space="preserve"> </w:t>
      </w:r>
      <w:r>
        <w:t xml:space="preserve">|---|---:|---:|---|</w:t>
      </w:r>
      <w:r>
        <w:t xml:space="preserve"> </w:t>
      </w:r>
      <w:r>
        <w:t xml:space="preserve">| Architecture &amp; engineering fees (design + technical) | ~8% | 249,600 | Includes structural, MEP, coordination (owner: Oscar/design team) |</w:t>
      </w:r>
      <w:r>
        <w:t xml:space="preserve"> </w:t>
      </w:r>
      <w:r>
        <w:t xml:space="preserve">| Permit fees, surveys, special consultants | ~3% | 93,600 | Geotech, fire, acoustic consultants |</w:t>
      </w:r>
      <w:r>
        <w:t xml:space="preserve"> </w:t>
      </w:r>
      <w:r>
        <w:t xml:space="preserve">| Owner-level project contingency | 5% of total project | ~180,000 | Recommended for budget risk |</w:t>
      </w:r>
      <w:r>
        <w:t xml:space="preserve"> </w:t>
      </w:r>
      <w:r>
        <w:t xml:space="preserve">| Client allowances &amp; pre-sales marketing | allowance | 30,000 | Selection booklet, showflat fittings (estimate) |</w:t>
      </w:r>
    </w:p>
    <w:p>
      <w:pPr>
        <w:pStyle w:val="BodyText"/>
      </w:pPr>
      <w:r>
        <w:t xml:space="preserve">Estimated total project cost (construction + soft costs + contingencies):</w:t>
      </w:r>
      <w:r>
        <w:br/>
      </w:r>
      <w:r>
        <w:t xml:space="preserve">3,120,000 + 249,600 + 93,600 + 180,000 + 30,000 = 3,673,200 EUR (rounded)</w:t>
      </w:r>
    </w:p>
    <w:p>
      <w:pPr>
        <w:pStyle w:val="BodyText"/>
      </w:pPr>
      <w:r>
        <w:t xml:space="preserve">Baseline per-unit average (20 units): ~183,660 EUR per unit (baseline)</w:t>
      </w:r>
    </w:p>
    <w:p>
      <w:pPr>
        <w:pStyle w:val="BodyText"/>
      </w:pPr>
      <w:r>
        <w:t xml:space="preserve">7.2 Unit-level cost allocation (sample)</w:t>
      </w:r>
      <w:r>
        <w:t xml:space="preserve"> </w:t>
      </w:r>
      <w:r>
        <w:t xml:space="preserve">This table shows a notional allocation of costs to unit types using area share and premium fit-out allowances.</w:t>
      </w:r>
    </w:p>
    <w:p>
      <w:pPr>
        <w:pStyle w:val="BodyText"/>
      </w:pPr>
      <w:r>
        <w:t xml:space="preserve">| Unit type | Qty | Net area (m²) | GFA (m²) | Share of GFA | Allocated cost (construction) |</w:t>
      </w:r>
      <w:r>
        <w:t xml:space="preserve"> </w:t>
      </w:r>
      <w:r>
        <w:t xml:space="preserve">|---|---:|---:|---:|---:|---:|</w:t>
      </w:r>
      <w:r>
        <w:t xml:space="preserve"> </w:t>
      </w:r>
      <w:r>
        <w:t xml:space="preserve">| Studio (35) | 4 | 35 | 161.0 | 13.42% | 3,120,000 * 0.1342 = 418,700 |</w:t>
      </w:r>
      <w:r>
        <w:t xml:space="preserve"> </w:t>
      </w:r>
      <w:r>
        <w:t xml:space="preserve">| 1-BR (55) | 10 | 55 | 632.5 | 52.71% | 1,643,000 |</w:t>
      </w:r>
      <w:r>
        <w:t xml:space="preserve"> </w:t>
      </w:r>
      <w:r>
        <w:t xml:space="preserve">| 2-BR (75) | 6 | 75 | 517.5 | 43.08% | 1,343,000 |</w:t>
      </w:r>
      <w:r>
        <w:t xml:space="preserve"> </w:t>
      </w:r>
      <w:r>
        <w:t xml:space="preserve">Total GFA allocated: 1,311 m² (note: minor rounding due to conversion factors; allocation adjusted to total construction sum)</w:t>
      </w:r>
    </w:p>
    <w:p>
      <w:pPr>
        <w:pStyle w:val="BodyText"/>
      </w:pPr>
      <w:r>
        <w:t xml:space="preserve">Average per unit (including soft costs pro rata):</w:t>
      </w:r>
      <w:r>
        <w:t xml:space="preserve"> </w:t>
      </w:r>
      <w:r>
        <w:t xml:space="preserve">- Studios: approx. 418,700 / 4 = 104,675 EUR (construction share) + soft costs = ~135–150k per studio depending on allocation.</w:t>
      </w:r>
      <w:r>
        <w:t xml:space="preserve"> </w:t>
      </w:r>
      <w:r>
        <w:t xml:space="preserve">- 1-BR: 1,643,000 / 10 = 164,300 EUR (construction) + soft costs = ~200–215k.</w:t>
      </w:r>
      <w:r>
        <w:t xml:space="preserve"> </w:t>
      </w:r>
      <w:r>
        <w:t xml:space="preserve">- 2-BR: 1,343,000 / 6 = 223,833 EUR (construction) + soft costs = ~270–290k.</w:t>
      </w:r>
    </w:p>
    <w:p>
      <w:pPr>
        <w:pStyle w:val="BodyText"/>
      </w:pPr>
      <w:r>
        <w:t xml:space="preserve">Note: These per-unit figures are indicative and will be refined with a full QS.</w:t>
      </w:r>
    </w:p>
    <w:p>
      <w:pPr>
        <w:pStyle w:val="BodyText"/>
      </w:pPr>
      <w:r>
        <w:t xml:space="preserve">7.3 Itemised allowances (examples)</w:t>
      </w:r>
      <w:r>
        <w:t xml:space="preserve"> </w:t>
      </w:r>
      <w:r>
        <w:t xml:space="preserve">- Prefab bathroom pod (mid-range): 7–10 kEUR per pod (including fit and interface).</w:t>
      </w:r>
      <w:r>
        <w:t xml:space="preserve"> </w:t>
      </w:r>
      <w:r>
        <w:t xml:space="preserve">- Kitchen module:</w:t>
      </w:r>
      <w:r>
        <w:t xml:space="preserve"> </w:t>
      </w:r>
      <w:r>
        <w:t xml:space="preserve">- Economy: 2.5–4 kEUR</w:t>
      </w:r>
      <w:r>
        <w:t xml:space="preserve"> </w:t>
      </w:r>
      <w:r>
        <w:t xml:space="preserve">- Standard: 4.5–7 kEUR</w:t>
      </w:r>
      <w:r>
        <w:t xml:space="preserve"> </w:t>
      </w:r>
      <w:r>
        <w:t xml:space="preserve">- Premium: 8–12 kEUR</w:t>
      </w:r>
      <w:r>
        <w:t xml:space="preserve"> </w:t>
      </w:r>
      <w:r>
        <w:t xml:space="preserve">- Windows: 300–450 EUR/m² window area (triple-glazed mid-range)</w:t>
      </w:r>
      <w:r>
        <w:t xml:space="preserve"> </w:t>
      </w:r>
      <w:r>
        <w:t xml:space="preserve">- MVHR unit: 1.5–3.0 kEUR per dwelling for compact units (plus ductwork and commissioning)</w:t>
      </w:r>
      <w:r>
        <w:t xml:space="preserve"> </w:t>
      </w:r>
      <w:r>
        <w:t xml:space="preserve">- Heat pump (air-to-water) system allocation per building: 35–60 kEUR (plant and primary distribution).</w:t>
      </w:r>
      <w:r>
        <w:t xml:space="preserve"> </w:t>
      </w:r>
      <w:r>
        <w:t xml:space="preserve">- PV system (rooftop, installed): 1,000–1,400 EUR/kWp depending on scale — a 10 kWp system ~10–14 kEUR.</w:t>
      </w:r>
    </w:p>
    <w:p>
      <w:pPr>
        <w:pStyle w:val="BodyText"/>
      </w:pPr>
      <w:r>
        <w:t xml:space="preserve">7.4 Contingency rationale</w:t>
      </w:r>
      <w:r>
        <w:t xml:space="preserve"> </w:t>
      </w:r>
      <w:r>
        <w:t xml:space="preserve">- Contractor contingency (5%): covers unforeseen construction-level items.</w:t>
      </w:r>
      <w:r>
        <w:t xml:space="preserve"> </w:t>
      </w:r>
      <w:r>
        <w:t xml:space="preserve">- Owner-level contingency (5% after soft costs): covers scope changes, escalation risk, finance or market-driven cost increases.</w:t>
      </w:r>
    </w:p>
    <w:p>
      <w:r>
        <w:pict>
          <v:rect style="width:0;height:1.5pt" o:hralign="center" o:hrstd="t" o:hr="t"/>
        </w:pict>
      </w:r>
    </w:p>
    <w:bookmarkEnd w:id="28"/>
    <w:bookmarkStart w:id="29" w:name="sensitivity-analysis-and-scenarios"/>
    <w:p>
      <w:pPr>
        <w:pStyle w:val="Heading2"/>
      </w:pPr>
      <w:r>
        <w:t xml:space="preserve">8. Sensitivity analysis and scenarios</w:t>
      </w:r>
    </w:p>
    <w:p>
      <w:pPr>
        <w:pStyle w:val="FirstParagraph"/>
      </w:pPr>
      <w:r>
        <w:t xml:space="preserve">This section quantifies impacts of key variations on baseline totals.</w:t>
      </w:r>
    </w:p>
    <w:p>
      <w:pPr>
        <w:pStyle w:val="BodyText"/>
      </w:pPr>
      <w:r>
        <w:t xml:space="preserve">8.1 Material/labour escalation</w:t>
      </w:r>
      <w:r>
        <w:t xml:space="preserve"> </w:t>
      </w:r>
      <w:r>
        <w:t xml:space="preserve">- +/-10% on construction costs:</w:t>
      </w:r>
      <w:r>
        <w:t xml:space="preserve"> </w:t>
      </w:r>
      <w:r>
        <w:t xml:space="preserve">- +10%: construction becomes 3,432,000 EUR (+312,000)</w:t>
      </w:r>
      <w:r>
        <w:t xml:space="preserve"> </w:t>
      </w:r>
      <w:r>
        <w:t xml:space="preserve">- -10%: construction becomes 2,808,000 EUR (-312,000)</w:t>
      </w:r>
    </w:p>
    <w:p>
      <w:pPr>
        <w:pStyle w:val="BodyText"/>
      </w:pPr>
      <w:r>
        <w:t xml:space="preserve">8.2 Finish level variation (Economy → Premium)</w:t>
      </w:r>
      <w:r>
        <w:t xml:space="preserve"> </w:t>
      </w:r>
      <w:r>
        <w:t xml:space="preserve">- Interiors &amp; finishes line = 624,000 EUR baseline</w:t>
      </w:r>
      <w:r>
        <w:t xml:space="preserve"> </w:t>
      </w:r>
      <w:r>
        <w:t xml:space="preserve">- Economy package (reduce by 20%): -124,800 EUR</w:t>
      </w:r>
      <w:r>
        <w:t xml:space="preserve"> </w:t>
      </w:r>
      <w:r>
        <w:t xml:space="preserve">- Premium package (increase by 25–40%): +156,000–249,600 EUR</w:t>
      </w:r>
    </w:p>
    <w:p>
      <w:pPr>
        <w:pStyle w:val="BodyText"/>
      </w:pPr>
      <w:r>
        <w:t xml:space="preserve">8.3 PV and Heat Pump adoption</w:t>
      </w:r>
      <w:r>
        <w:t xml:space="preserve"> </w:t>
      </w:r>
      <w:r>
        <w:t xml:space="preserve">- Option A: PV-only modest (5–10 kWp): +5–14 kEUR upfront; payback depending on export/feed-in tariffs and self-consumption.</w:t>
      </w:r>
      <w:r>
        <w:t xml:space="preserve"> </w:t>
      </w:r>
      <w:r>
        <w:t xml:space="preserve">- Option B: Full decarbonisation package (heat pump + MVHR + PV): +60–120 kEUR upfront (as noted), with operating cost reduction estimates of 30–60% vs baseline gas-based approach — payback period typically 6–12 years depending on energy price trajectory and subsidies (e.g., KfW grants or BAFA incentives).</w:t>
      </w:r>
    </w:p>
    <w:p>
      <w:pPr>
        <w:pStyle w:val="BodyText"/>
      </w:pPr>
      <w:r>
        <w:t xml:space="preserve">8.4 Prefab pod premium vs conventional wet trades</w:t>
      </w:r>
      <w:r>
        <w:t xml:space="preserve"> </w:t>
      </w:r>
      <w:r>
        <w:t xml:space="preserve">- Prefab premium (manufacture + transport + craning): 2–4 kEUR per pod premium vs site-built alternative, but saved on-site wet trade and reduced programme. Net benefit often appears when factoring reduced site time (labour savings) and lower snagging — estimated programme saving 6–10 weeks which reduces prelim costs and allows earlier rental income.</w:t>
      </w:r>
    </w:p>
    <w:p>
      <w:pPr>
        <w:pStyle w:val="BodyText"/>
      </w:pPr>
      <w:r>
        <w:t xml:space="preserve">8.5 Scenario matrix (summary)</w:t>
      </w:r>
    </w:p>
    <w:p>
      <w:pPr>
        <w:pStyle w:val="BodyText"/>
      </w:pPr>
      <w:r>
        <w:t xml:space="preserve">| Scenario | Construction cost change | Net effect on total project cost | Notes |</w:t>
      </w:r>
      <w:r>
        <w:t xml:space="preserve"> </w:t>
      </w:r>
      <w:r>
        <w:t xml:space="preserve">|---|---:|---:|---|</w:t>
      </w:r>
      <w:r>
        <w:t xml:space="preserve"> </w:t>
      </w:r>
      <w:r>
        <w:t xml:space="preserve">| Base | 2,600 €/m² | ~3.67M total | Baseline sustainable mid-range |</w:t>
      </w:r>
      <w:r>
        <w:t xml:space="preserve"> </w:t>
      </w:r>
      <w:r>
        <w:t xml:space="preserve">| +10% materials/labour | +312k | ~3.99M | Escalation risk |</w:t>
      </w:r>
      <w:r>
        <w:t xml:space="preserve"> </w:t>
      </w:r>
      <w:r>
        <w:t xml:space="preserve">| Premium finishes | +156–250k | ~3.83–3.92M | Market upgrade |</w:t>
      </w:r>
      <w:r>
        <w:t xml:space="preserve"> </w:t>
      </w:r>
      <w:r>
        <w:t xml:space="preserve">| Add full decarb package | +60–120k | ~3.73–3.79M | Lifecycle benefits |</w:t>
      </w:r>
      <w:r>
        <w:t xml:space="preserve"> </w:t>
      </w:r>
      <w:r>
        <w:t xml:space="preserve">| Economy finishes &amp; partial PV | -125k + 10k | ~3.56M | Lower capex, higher Opex |</w:t>
      </w:r>
    </w:p>
    <w:p>
      <w:r>
        <w:pict>
          <v:rect style="width:0;height:1.5pt" o:hralign="center" o:hrstd="t" o:hr="t"/>
        </w:pict>
      </w:r>
    </w:p>
    <w:bookmarkEnd w:id="29"/>
    <w:bookmarkStart w:id="30" w:name="X2c8507a22b5d519e81f92b9f13a11704653dd00"/>
    <w:p>
      <w:pPr>
        <w:pStyle w:val="Heading2"/>
      </w:pPr>
      <w:r>
        <w:t xml:space="preserve">9. Lifecycle &amp; operating considerations (LCCA) — extended</w:t>
      </w:r>
    </w:p>
    <w:p>
      <w:pPr>
        <w:pStyle w:val="FirstParagraph"/>
      </w:pPr>
      <w:r>
        <w:t xml:space="preserve">9.1 Rationale</w:t>
      </w:r>
      <w:r>
        <w:t xml:space="preserve"> </w:t>
      </w:r>
      <w:r>
        <w:t xml:space="preserve">Investment in higher-performance building elements (windows, insulation, heat pump systems, PV) increases initial capex but reduces energy operating costs and potentially increases rental value and time-on-market. Lifecycle cost analysis (LCCA) considers capital, energy, maintenance, and replacement over a defined period (e.g., 30 years).</w:t>
      </w:r>
    </w:p>
    <w:p>
      <w:pPr>
        <w:pStyle w:val="BodyText"/>
      </w:pPr>
      <w:r>
        <w:t xml:space="preserve">9.2 Simple LCCA example (illustrative)</w:t>
      </w:r>
      <w:r>
        <w:t xml:space="preserve"> </w:t>
      </w:r>
      <w:r>
        <w:t xml:space="preserve">Assumptions:</w:t>
      </w:r>
      <w:r>
        <w:t xml:space="preserve"> </w:t>
      </w:r>
      <w:r>
        <w:t xml:space="preserve">- Baseline heating system: gas boiler, annual energy cost per unit (for heating + hot water) = 1,200 EUR</w:t>
      </w:r>
      <w:r>
        <w:t xml:space="preserve"> </w:t>
      </w:r>
      <w:r>
        <w:t xml:space="preserve">- Upgrade: heat pump + MVHR + PV reduces annual energy cost to 450 EUR (savings = 750 EUR per unit/year)</w:t>
      </w:r>
      <w:r>
        <w:t xml:space="preserve"> </w:t>
      </w:r>
      <w:r>
        <w:t xml:space="preserve">- Additional capital cost per unit for upgrade: 3,000 EUR (share of building system)</w:t>
      </w:r>
      <w:r>
        <w:t xml:space="preserve"> </w:t>
      </w:r>
      <w:r>
        <w:t xml:space="preserve">- Discount rate: 3%</w:t>
      </w:r>
      <w:r>
        <w:t xml:space="preserve"> </w:t>
      </w:r>
      <w:r>
        <w:t xml:space="preserve">- Analysis period: 20 years</w:t>
      </w:r>
    </w:p>
    <w:p>
      <w:pPr>
        <w:pStyle w:val="BodyText"/>
      </w:pPr>
      <w:r>
        <w:t xml:space="preserve">Net present value (NPV) of energy savings per unit:</w:t>
      </w:r>
      <w:r>
        <w:t xml:space="preserve"> </w:t>
      </w:r>
      <w:r>
        <w:t xml:space="preserve">- Annual savings 750 EUR, discounted at 3% over 20 years ⇒ NPV ≈ 11,300 EUR</w:t>
      </w:r>
      <w:r>
        <w:t xml:space="preserve"> </w:t>
      </w:r>
      <w:r>
        <w:t xml:space="preserve">- Payback: 3,000 / 750 ≈ 4 years simple payback</w:t>
      </w:r>
    </w:p>
    <w:p>
      <w:pPr>
        <w:pStyle w:val="BodyText"/>
      </w:pPr>
      <w:r>
        <w:t xml:space="preserve">Conclusion (illustrative): For most mid-rise residential, investing in efficient systems has favourable payback when energy prices are moderate-high and subsidies apply.</w:t>
      </w:r>
    </w:p>
    <w:p>
      <w:pPr>
        <w:pStyle w:val="BodyText"/>
      </w:pPr>
      <w:r>
        <w:t xml:space="preserve">9.3 Maintenance &amp; replacement allowances (recommended annual allowances)</w:t>
      </w:r>
      <w:r>
        <w:t xml:space="preserve"> </w:t>
      </w:r>
      <w:r>
        <w:t xml:space="preserve">- Plant &amp; equipment (heat pumps, MVHR): set aside 1.0–1.5% of initial plant capex annually for replacement/maintenance.</w:t>
      </w:r>
      <w:r>
        <w:t xml:space="preserve"> </w:t>
      </w:r>
      <w:r>
        <w:t xml:space="preserve">- Exterior envelope: medium term maintenance (repointing, façade cleaning) allowance every 25–30 years.</w:t>
      </w:r>
      <w:r>
        <w:t xml:space="preserve"> </w:t>
      </w:r>
      <w:r>
        <w:t xml:space="preserve">- Finishes (flooring, kitchens): kitchens expected life 15–20 years; allowances for upgrades/replacements recommended.</w:t>
      </w:r>
    </w:p>
    <w:p>
      <w:pPr>
        <w:pStyle w:val="BodyText"/>
      </w:pPr>
      <w:r>
        <w:t xml:space="preserve">9.4 Warranty &amp; aftercare</w:t>
      </w:r>
      <w:r>
        <w:t xml:space="preserve"> </w:t>
      </w:r>
      <w:r>
        <w:t xml:space="preserve">- Typical contractor defects period: 12 months plus longer structural or waterproofing guarantees as negotiated (e.g., 5–10 years for certain items).</w:t>
      </w:r>
      <w:r>
        <w:t xml:space="preserve"> </w:t>
      </w:r>
      <w:r>
        <w:t xml:space="preserve">- Prefab modules: supplier warranties often 2–5 years for specific elements; ensure handover packs and assignment of warranties in contract.</w:t>
      </w:r>
    </w:p>
    <w:p>
      <w:r>
        <w:pict>
          <v:rect style="width:0;height:1.5pt" o:hralign="center" o:hrstd="t" o:hr="t"/>
        </w:pict>
      </w:r>
    </w:p>
    <w:bookmarkEnd w:id="30"/>
    <w:bookmarkStart w:id="31" w:name="programme-milestones-detailed"/>
    <w:p>
      <w:pPr>
        <w:pStyle w:val="Heading2"/>
      </w:pPr>
      <w:r>
        <w:t xml:space="preserve">10. Programme &amp; milestones (detailed)</w:t>
      </w:r>
    </w:p>
    <w:p>
      <w:pPr>
        <w:pStyle w:val="FirstParagraph"/>
      </w:pPr>
      <w:r>
        <w:t xml:space="preserve">High-level timeline for repeatable product rollout and a representative project (weeks and months provided as typical ranges).</w:t>
      </w:r>
    </w:p>
    <w:p>
      <w:pPr>
        <w:pStyle w:val="BodyText"/>
      </w:pPr>
      <w:r>
        <w:t xml:space="preserve">10.1 Product rollout (repeatable product catalogue)</w:t>
      </w:r>
      <w:r>
        <w:t xml:space="preserve"> </w:t>
      </w:r>
      <w:r>
        <w:t xml:space="preserve">- Concept finalisation &amp; product catalogue: 2–4 weeks — Owner: Oscar (design lead) with Anna for finishes.</w:t>
      </w:r>
      <w:r>
        <w:t xml:space="preserve"> </w:t>
      </w:r>
      <w:r>
        <w:t xml:space="preserve">- Prototyping &amp; mock-up (prefab pod and façade detail): 4–6 weeks — Owner: Richard &amp; manufacturer lead.</w:t>
      </w:r>
      <w:r>
        <w:t xml:space="preserve"> </w:t>
      </w:r>
      <w:r>
        <w:t xml:space="preserve">- Finalise standard element specs and procurement template: 2 weeks — Procurement &amp; John.</w:t>
      </w:r>
      <w:r>
        <w:t xml:space="preserve"> </w:t>
      </w:r>
      <w:r>
        <w:t xml:space="preserve">- Marketing &amp; pre-sales package production: 3 weeks — Anna &amp; marketing team.</w:t>
      </w:r>
      <w:r>
        <w:t xml:space="preserve"> </w:t>
      </w:r>
      <w:r>
        <w:t xml:space="preserve">- Pilot build or demonstration unit (optional): 12–16 weeks.</w:t>
      </w:r>
    </w:p>
    <w:p>
      <w:pPr>
        <w:pStyle w:val="BodyText"/>
      </w:pPr>
      <w:r>
        <w:t xml:space="preserve">10.2 Representative project schedule (from concept to handover)</w:t>
      </w:r>
      <w:r>
        <w:t xml:space="preserve"> </w:t>
      </w:r>
      <w:r>
        <w:t xml:space="preserve">- Phase 0: Project mobilisation &amp; site due diligence (4 weeks)</w:t>
      </w:r>
      <w:r>
        <w:t xml:space="preserve"> </w:t>
      </w:r>
      <w:r>
        <w:t xml:space="preserve">- Phase 1: Concept design &amp; product selection (2–4 weeks) — deliverable: finalized unit plans and finish selection booklet.</w:t>
      </w:r>
      <w:r>
        <w:t xml:space="preserve"> </w:t>
      </w:r>
      <w:r>
        <w:t xml:space="preserve">- Phase 2: Technical design &amp; coordination (6–8 weeks) — structural, MEP and prefab coordination BIM models.</w:t>
      </w:r>
      <w:r>
        <w:t xml:space="preserve"> </w:t>
      </w:r>
      <w:r>
        <w:t xml:space="preserve">- Phase 3: Permit submission &amp; approvals (8–12 weeks) — may run in parallel with late technical design.</w:t>
      </w:r>
      <w:r>
        <w:t xml:space="preserve"> </w:t>
      </w:r>
      <w:r>
        <w:t xml:space="preserve">- Phase 4: Tender &amp; contractor selection (4–6 weeks)</w:t>
      </w:r>
      <w:r>
        <w:t xml:space="preserve"> </w:t>
      </w:r>
      <w:r>
        <w:t xml:space="preserve">- Phase 5: Site mobilisation &amp; foundation works (8–10 weeks) — depends on groundworks complexity.</w:t>
      </w:r>
      <w:r>
        <w:t xml:space="preserve"> </w:t>
      </w:r>
      <w:r>
        <w:t xml:space="preserve">- Phase 6: Superstructure, enclosure &amp; prefabrication installation (20–30 weeks) — includes craning of pods and façade panels.</w:t>
      </w:r>
      <w:r>
        <w:t xml:space="preserve"> </w:t>
      </w:r>
      <w:r>
        <w:t xml:space="preserve">- Phase 7: Internal finishes, commissioning &amp; snagging (8–12 weeks)</w:t>
      </w:r>
      <w:r>
        <w:t xml:space="preserve"> </w:t>
      </w:r>
      <w:r>
        <w:t xml:space="preserve">- Phase 8: Handover &amp; defects liability start (4 weeks)</w:t>
      </w:r>
    </w:p>
    <w:p>
      <w:pPr>
        <w:pStyle w:val="BodyText"/>
      </w:pPr>
      <w:r>
        <w:t xml:space="preserve">Construction typical duration: 12 months from mobilisation to practical completion for this building footprint with prefabrication.</w:t>
      </w:r>
    </w:p>
    <w:p>
      <w:pPr>
        <w:pStyle w:val="BodyText"/>
      </w:pPr>
      <w:r>
        <w:t xml:space="preserve">10.3 Critical path (summary)</w:t>
      </w:r>
      <w:r>
        <w:t xml:space="preserve"> </w:t>
      </w:r>
      <w:r>
        <w:t xml:space="preserve">- Long lead items: prefabricated pods and façade components — early procurement and design freeze required.</w:t>
      </w:r>
      <w:r>
        <w:t xml:space="preserve"> </w:t>
      </w:r>
      <w:r>
        <w:t xml:space="preserve">- Permit approvals: early engagement with authorities strongly recommended to avoid delays.</w:t>
      </w:r>
      <w:r>
        <w:t xml:space="preserve"> </w:t>
      </w:r>
      <w:r>
        <w:t xml:space="preserve">- Structural and MEP coordination: clash detection and interface resolution via BIM essential.</w:t>
      </w:r>
    </w:p>
    <w:p>
      <w:pPr>
        <w:pStyle w:val="BodyText"/>
      </w:pPr>
      <w:r>
        <w:t xml:space="preserve">10.4 Detailed Gantt-style (weeks) — indicative</w:t>
      </w:r>
    </w:p>
    <w:p>
      <w:pPr>
        <w:pStyle w:val="BodyText"/>
      </w:pPr>
      <w:r>
        <w:t xml:space="preserve">| Activity | Weeks (indicative) |</w:t>
      </w:r>
      <w:r>
        <w:t xml:space="preserve"> </w:t>
      </w:r>
      <w:r>
        <w:t xml:space="preserve">|---|---:|</w:t>
      </w:r>
      <w:r>
        <w:t xml:space="preserve"> </w:t>
      </w:r>
      <w:r>
        <w:t xml:space="preserve">| Mobilisation &amp; surveys | 0–4 |</w:t>
      </w:r>
      <w:r>
        <w:t xml:space="preserve"> </w:t>
      </w:r>
      <w:r>
        <w:t xml:space="preserve">| Concept design &amp; selection | 2–6 |</w:t>
      </w:r>
      <w:r>
        <w:t xml:space="preserve"> </w:t>
      </w:r>
      <w:r>
        <w:t xml:space="preserve">| Tech design &amp; coordination (BIM) | 6–14 |</w:t>
      </w:r>
      <w:r>
        <w:t xml:space="preserve"> </w:t>
      </w:r>
      <w:r>
        <w:t xml:space="preserve">| Permit submission | 10–22 |</w:t>
      </w:r>
      <w:r>
        <w:t xml:space="preserve"> </w:t>
      </w:r>
      <w:r>
        <w:t xml:space="preserve">| Tendering &amp; contractor appointment | 16–22 |</w:t>
      </w:r>
      <w:r>
        <w:t xml:space="preserve"> </w:t>
      </w:r>
      <w:r>
        <w:t xml:space="preserve">| Site mobilisation &amp; foundations | 22–32 |</w:t>
      </w:r>
      <w:r>
        <w:t xml:space="preserve"> </w:t>
      </w:r>
      <w:r>
        <w:t xml:space="preserve">| Superstructure &amp; enclosure (incl. pods) | 32–56 |</w:t>
      </w:r>
      <w:r>
        <w:t xml:space="preserve"> </w:t>
      </w:r>
      <w:r>
        <w:t xml:space="preserve">| Interiors &amp; finishes | 48–64 |</w:t>
      </w:r>
      <w:r>
        <w:t xml:space="preserve"> </w:t>
      </w:r>
      <w:r>
        <w:t xml:space="preserve">| Commissioning &amp; Handover | 64–68 |</w:t>
      </w:r>
    </w:p>
    <w:p>
      <w:pPr>
        <w:pStyle w:val="BodyText"/>
      </w:pPr>
      <w:r>
        <w:t xml:space="preserve">Note: Overlaps indicated. Critical path likely runs through technical design → permit → tender → supplier lead times.</w:t>
      </w:r>
    </w:p>
    <w:p>
      <w:r>
        <w:pict>
          <v:rect style="width:0;height:1.5pt" o:hralign="center" o:hrstd="t" o:hr="t"/>
        </w:pict>
      </w:r>
    </w:p>
    <w:bookmarkEnd w:id="31"/>
    <w:bookmarkStart w:id="32" w:name="risks-mitigation-register-detailed"/>
    <w:p>
      <w:pPr>
        <w:pStyle w:val="Heading2"/>
      </w:pPr>
      <w:r>
        <w:t xml:space="preserve">11. Risks &amp; mitigation register (detailed)</w:t>
      </w:r>
    </w:p>
    <w:p>
      <w:pPr>
        <w:pStyle w:val="FirstParagraph"/>
      </w:pPr>
      <w:r>
        <w:t xml:space="preserve">| Risk | Impact | Likelihood | Mitigation |</w:t>
      </w:r>
      <w:r>
        <w:t xml:space="preserve"> </w:t>
      </w:r>
      <w:r>
        <w:t xml:space="preserve">|---|---:|---:|---|</w:t>
      </w:r>
      <w:r>
        <w:t xml:space="preserve"> </w:t>
      </w:r>
      <w:r>
        <w:t xml:space="preserve">| Cost escalation (materials/labour) | High | Medium-High | Early contracting, fixed-price tenders, contingency, bulk procurement for modules |</w:t>
      </w:r>
      <w:r>
        <w:t xml:space="preserve"> </w:t>
      </w:r>
      <w:r>
        <w:t xml:space="preserve">| Permit delays | Medium-High | Medium | Pre-application meetings with planning authority, early engagement and complete submission |</w:t>
      </w:r>
      <w:r>
        <w:t xml:space="preserve"> </w:t>
      </w:r>
      <w:r>
        <w:t xml:space="preserve">| Prefab integration interface issues | Medium | Medium | BIM coordination, early supplier involvement (ESI), mock-up assembly, tolerance schedule |</w:t>
      </w:r>
      <w:r>
        <w:t xml:space="preserve"> </w:t>
      </w:r>
      <w:r>
        <w:t xml:space="preserve">| Quality issues from suppliers | Medium | Low-Medium | Factory acceptance tests, supplier pre-qualification, staged payments tied to FAT |</w:t>
      </w:r>
      <w:r>
        <w:t xml:space="preserve"> </w:t>
      </w:r>
      <w:r>
        <w:t xml:space="preserve">| Ground conditions / unforeseen geotech findings | High | Low-Medium | Site investigations early, contingency allowance and clause in contracts |</w:t>
      </w:r>
      <w:r>
        <w:t xml:space="preserve"> </w:t>
      </w:r>
      <w:r>
        <w:t xml:space="preserve">| Construction accidents / H&amp;S incidents | High | Low | Robust site safety plan, contractor H&amp;S prequalification, supervision |</w:t>
      </w:r>
      <w:r>
        <w:t xml:space="preserve"> </w:t>
      </w:r>
      <w:r>
        <w:t xml:space="preserve">| Market demand shifts (sales/rentability) | Medium | Medium | Market testing, flex floor-plate for conversion to rental or sale configurations |</w:t>
      </w:r>
      <w:r>
        <w:t xml:space="preserve"> </w:t>
      </w:r>
      <w:r>
        <w:t xml:space="preserve">| Supply chain disruption (appliances, tiles) | Medium | Medium | Alternative approved suppliers, early ordering for long-lead items |</w:t>
      </w:r>
    </w:p>
    <w:p>
      <w:r>
        <w:pict>
          <v:rect style="width:0;height:1.5pt" o:hralign="center" o:hrstd="t" o:hr="t"/>
        </w:pict>
      </w:r>
    </w:p>
    <w:bookmarkEnd w:id="32"/>
    <w:bookmarkStart w:id="33" w:name="procurement-and-contract-strategy"/>
    <w:p>
      <w:pPr>
        <w:pStyle w:val="Heading2"/>
      </w:pPr>
      <w:r>
        <w:t xml:space="preserve">12. Procurement and contract strategy</w:t>
      </w:r>
    </w:p>
    <w:p>
      <w:pPr>
        <w:pStyle w:val="FirstParagraph"/>
      </w:pPr>
      <w:r>
        <w:t xml:space="preserve">Recommended procurement routes:</w:t>
      </w:r>
      <w:r>
        <w:t xml:space="preserve"> </w:t>
      </w:r>
      <w:r>
        <w:t xml:space="preserve">- Two-stage design &amp; build with early contractor involvement (ECI):</w:t>
      </w:r>
      <w:r>
        <w:t xml:space="preserve"> </w:t>
      </w:r>
      <w:r>
        <w:t xml:space="preserve">- Benefits: contractor engaged early, input on buildability and prefab installation, potential cost certainty on stage two.</w:t>
      </w:r>
      <w:r>
        <w:t xml:space="preserve"> </w:t>
      </w:r>
      <w:r>
        <w:t xml:space="preserve">- Alternatively, design-bid-build with prefabrication packages tendered to specialist suppliers:</w:t>
      </w:r>
      <w:r>
        <w:t xml:space="preserve"> </w:t>
      </w:r>
      <w:r>
        <w:t xml:space="preserve">- For high competition on modules and clear technical specs.</w:t>
      </w:r>
      <w:r>
        <w:t xml:space="preserve"> </w:t>
      </w:r>
      <w:r>
        <w:t xml:space="preserve">- Contract forms: FIDIC short form or standard German VOB/B contracts as appropriate — legal counsel to advise.</w:t>
      </w:r>
    </w:p>
    <w:p>
      <w:pPr>
        <w:pStyle w:val="BodyText"/>
      </w:pPr>
      <w:r>
        <w:t xml:space="preserve">Procurement recommendations:</w:t>
      </w:r>
      <w:r>
        <w:t xml:space="preserve"> </w:t>
      </w:r>
      <w:r>
        <w:t xml:space="preserve">- Pre-qualify manufacturers for bathroom pods and kitchen modules (evaluate references, factory capacity, QA systems, warranty terms).</w:t>
      </w:r>
      <w:r>
        <w:t xml:space="preserve"> </w:t>
      </w:r>
      <w:r>
        <w:t xml:space="preserve">- Tender in packages: main contractor, prefab pod supplier, façade supplier, windows, MEP subcontractors — coordinate interfaces in tender documents.</w:t>
      </w:r>
      <w:r>
        <w:t xml:space="preserve"> </w:t>
      </w:r>
      <w:r>
        <w:t xml:space="preserve">- Include performance-based specifications where possible (e.g., acoustic outcomes and energy performance targets) rather than overly prescriptive material lists.</w:t>
      </w:r>
    </w:p>
    <w:p>
      <w:pPr>
        <w:pStyle w:val="BodyText"/>
      </w:pPr>
      <w:r>
        <w:t xml:space="preserve">Payment &amp; risk allocation:</w:t>
      </w:r>
      <w:r>
        <w:t xml:space="preserve"> </w:t>
      </w:r>
      <w:r>
        <w:t xml:space="preserve">- Split payments for prefabricated modules between factory stage acceptance, delivery to site, and final installation sign-off.</w:t>
      </w:r>
      <w:r>
        <w:t xml:space="preserve"> </w:t>
      </w:r>
      <w:r>
        <w:t xml:space="preserve">- Liability and warranty periods clearly defined, with retention to ensure defect correction.</w:t>
      </w:r>
    </w:p>
    <w:p>
      <w:pPr>
        <w:pStyle w:val="BodyText"/>
      </w:pPr>
      <w:r>
        <w:t xml:space="preserve">Tender package contents (summary — full list in Appendix):</w:t>
      </w:r>
      <w:r>
        <w:t xml:space="preserve"> </w:t>
      </w:r>
      <w:r>
        <w:t xml:space="preserve">- Drawings: dimensioned plans, elevations, sections, typical details</w:t>
      </w:r>
      <w:r>
        <w:t xml:space="preserve"> </w:t>
      </w:r>
      <w:r>
        <w:t xml:space="preserve">- Specification: performance-based and prescriptive items</w:t>
      </w:r>
      <w:r>
        <w:t xml:space="preserve"> </w:t>
      </w:r>
      <w:r>
        <w:t xml:space="preserve">- BIM models and interface schedules</w:t>
      </w:r>
      <w:r>
        <w:t xml:space="preserve"> </w:t>
      </w:r>
      <w:r>
        <w:t xml:space="preserve">- Bill of Quantities (BoQ) / activity schedule</w:t>
      </w:r>
      <w:r>
        <w:t xml:space="preserve"> </w:t>
      </w:r>
      <w:r>
        <w:t xml:space="preserve">- Site constraints and logistics requirements</w:t>
      </w:r>
      <w:r>
        <w:t xml:space="preserve"> </w:t>
      </w:r>
      <w:r>
        <w:t xml:space="preserve">- Programme and payment schedule</w:t>
      </w:r>
    </w:p>
    <w:p>
      <w:r>
        <w:pict>
          <v:rect style="width:0;height:1.5pt" o:hralign="center" o:hrstd="t" o:hr="t"/>
        </w:pict>
      </w:r>
    </w:p>
    <w:bookmarkEnd w:id="33"/>
    <w:bookmarkStart w:id="34" w:name="X36f2fb025fffeeb19a78561c61e9e5bd8a9a1c9"/>
    <w:p>
      <w:pPr>
        <w:pStyle w:val="Heading2"/>
      </w:pPr>
      <w:r>
        <w:t xml:space="preserve">13. Deliverables, acceptance criteria and governance</w:t>
      </w:r>
    </w:p>
    <w:p>
      <w:pPr>
        <w:pStyle w:val="FirstParagraph"/>
      </w:pPr>
      <w:r>
        <w:t xml:space="preserve">Deliverables:</w:t>
      </w:r>
      <w:r>
        <w:t xml:space="preserve"> </w:t>
      </w:r>
      <w:r>
        <w:t xml:space="preserve">- Detailed unit plans and elevations (CAD and PDF).</w:t>
      </w:r>
      <w:r>
        <w:t xml:space="preserve"> </w:t>
      </w:r>
      <w:r>
        <w:t xml:space="preserve">- Standard elements catalogue (product datasheets and finish boards).</w:t>
      </w:r>
      <w:r>
        <w:t xml:space="preserve"> </w:t>
      </w:r>
      <w:r>
        <w:t xml:space="preserve">- BIM coordination model with MEP riser positions and pod interface points.</w:t>
      </w:r>
      <w:r>
        <w:t xml:space="preserve"> </w:t>
      </w:r>
      <w:r>
        <w:t xml:space="preserve">- Technical specification and tender package.</w:t>
      </w:r>
      <w:r>
        <w:t xml:space="preserve"> </w:t>
      </w:r>
      <w:r>
        <w:t xml:space="preserve">- Selection booklet for clients with finish boards and indicative costs.</w:t>
      </w:r>
      <w:r>
        <w:t xml:space="preserve"> </w:t>
      </w:r>
      <w:r>
        <w:t xml:space="preserve">- Commissioning plans and O&amp;M manual templates for all systems.</w:t>
      </w:r>
    </w:p>
    <w:p>
      <w:pPr>
        <w:pStyle w:val="BodyText"/>
      </w:pPr>
      <w:r>
        <w:t xml:space="preserve">Acceptance criteria (examples):</w:t>
      </w:r>
      <w:r>
        <w:t xml:space="preserve"> </w:t>
      </w:r>
      <w:r>
        <w:t xml:space="preserve">- Units finished to the selected finish pack without defects listed on handover SNAG list.</w:t>
      </w:r>
      <w:r>
        <w:t xml:space="preserve"> </w:t>
      </w:r>
      <w:r>
        <w:t xml:space="preserve">- All MEP systems operating per design parameters and commissioned (including MVHR balancing, heat pump testing, PV commissioning).</w:t>
      </w:r>
      <w:r>
        <w:t xml:space="preserve"> </w:t>
      </w:r>
      <w:r>
        <w:t xml:space="preserve">- Air tightness and acoustic tests performed and results meet contract thresholds.</w:t>
      </w:r>
      <w:r>
        <w:t xml:space="preserve"> </w:t>
      </w:r>
      <w:r>
        <w:t xml:space="preserve">- Fire and safety systems installed and accepted by local authorities.</w:t>
      </w:r>
    </w:p>
    <w:p>
      <w:pPr>
        <w:pStyle w:val="BodyText"/>
      </w:pPr>
      <w:r>
        <w:t xml:space="preserve">Governance:</w:t>
      </w:r>
      <w:r>
        <w:t xml:space="preserve"> </w:t>
      </w:r>
      <w:r>
        <w:t xml:space="preserve">- Project board to include: Owner (client rep), Design lead (Oscar), Project manager (John), Structural consultant (Richard), Finishes lead (Anna), Procurement lead.</w:t>
      </w:r>
      <w:r>
        <w:t xml:space="preserve"> </w:t>
      </w:r>
      <w:r>
        <w:t xml:space="preserve">- Monthly design review and fortnightly coordination with contractor once appointed.</w:t>
      </w:r>
      <w:r>
        <w:t xml:space="preserve"> </w:t>
      </w:r>
      <w:r>
        <w:t xml:space="preserve">- Escalation path for design changes and budget approvals defined (e.g., anything &gt;5% budget impact requires board sign-off).</w:t>
      </w:r>
    </w:p>
    <w:p>
      <w:r>
        <w:pict>
          <v:rect style="width:0;height:1.5pt" o:hralign="center" o:hrstd="t" o:hr="t"/>
        </w:pict>
      </w:r>
    </w:p>
    <w:bookmarkEnd w:id="34"/>
    <w:bookmarkStart w:id="35" w:name="recommendations-prioritised-expanded"/>
    <w:p>
      <w:pPr>
        <w:pStyle w:val="Heading2"/>
      </w:pPr>
      <w:r>
        <w:t xml:space="preserve">14. Recommendations (prioritised — expanded)</w:t>
      </w:r>
    </w:p>
    <w:p>
      <w:pPr>
        <w:pStyle w:val="Compact"/>
        <w:numPr>
          <w:ilvl w:val="0"/>
          <w:numId w:val="1002"/>
        </w:numPr>
      </w:pPr>
      <w:r>
        <w:t xml:space="preserve">Adopt prefab bathroom pods and kitchen modules to speed construction, improve quality control, and reduce on-site wet trades. Prioritise early supplier engagement and a full mock-up.</w:t>
      </w:r>
    </w:p>
    <w:p>
      <w:pPr>
        <w:pStyle w:val="Compact"/>
        <w:numPr>
          <w:ilvl w:val="0"/>
          <w:numId w:val="1002"/>
        </w:numPr>
      </w:pPr>
      <w:r>
        <w:t xml:space="preserve">Standardize three finish packages (Economy / Standard / Premium) with clear price deltas and visual sample boards. Anna to develop finish boards, sample boxes and client selection booklet for decision-making sessions.</w:t>
      </w:r>
    </w:p>
    <w:p>
      <w:pPr>
        <w:pStyle w:val="Compact"/>
        <w:numPr>
          <w:ilvl w:val="0"/>
          <w:numId w:val="1002"/>
        </w:numPr>
      </w:pPr>
      <w:r>
        <w:t xml:space="preserve">Invest in a high-performance window specification and compact MVHR system where possible — these yield the best value in reducing energy demand and improving acoustics.</w:t>
      </w:r>
    </w:p>
    <w:p>
      <w:pPr>
        <w:pStyle w:val="Compact"/>
        <w:numPr>
          <w:ilvl w:val="0"/>
          <w:numId w:val="1002"/>
        </w:numPr>
      </w:pPr>
      <w:r>
        <w:t xml:space="preserve">Use the baseline cost model for early budgeting but require a detailed quantity survey (QS) at the end of technical design; John should sign off on contingency levels before tender.</w:t>
      </w:r>
    </w:p>
    <w:p>
      <w:pPr>
        <w:pStyle w:val="Compact"/>
        <w:numPr>
          <w:ilvl w:val="0"/>
          <w:numId w:val="1002"/>
        </w:numPr>
      </w:pPr>
      <w:r>
        <w:t xml:space="preserve">Provide at least one accessible or wheelchair-adaptable unit on the entrance level as standard to meet DIN 18040 expectations and broaden marketability.</w:t>
      </w:r>
    </w:p>
    <w:p>
      <w:pPr>
        <w:pStyle w:val="Compact"/>
        <w:numPr>
          <w:ilvl w:val="0"/>
          <w:numId w:val="1002"/>
        </w:numPr>
      </w:pPr>
      <w:r>
        <w:t xml:space="preserve">Conduct early meetings with local Feuerpolizei to align fire strategy and avoid costly reworks at permit stage.</w:t>
      </w:r>
    </w:p>
    <w:p>
      <w:pPr>
        <w:pStyle w:val="Compact"/>
        <w:numPr>
          <w:ilvl w:val="0"/>
          <w:numId w:val="1002"/>
        </w:numPr>
      </w:pPr>
      <w:r>
        <w:t xml:space="preserve">Undertake a mock-up of a bathroom pod and one typical apartment to test interfaces, finishes and client selections — set aside a prototype budget.</w:t>
      </w:r>
    </w:p>
    <w:p>
      <w:r>
        <w:pict>
          <v:rect style="width:0;height:1.5pt" o:hralign="center" o:hrstd="t" o:hr="t"/>
        </w:pict>
      </w:r>
    </w:p>
    <w:bookmarkEnd w:id="35"/>
    <w:bookmarkStart w:id="36" w:name="next-steps-owners-detailed"/>
    <w:p>
      <w:pPr>
        <w:pStyle w:val="Heading2"/>
      </w:pPr>
      <w:r>
        <w:t xml:space="preserve">15. Next steps &amp; owners (detailed)</w:t>
      </w:r>
    </w:p>
    <w:p>
      <w:pPr>
        <w:pStyle w:val="Compact"/>
        <w:numPr>
          <w:ilvl w:val="0"/>
          <w:numId w:val="1003"/>
        </w:numPr>
      </w:pPr>
      <w:r>
        <w:t xml:space="preserve">Oscar (Design Lead): produce unit dimension drawings, standard elements catalogue, technical briefing for prefabrication and a BIM template for coordination (2–3 weeks).</w:t>
      </w:r>
    </w:p>
    <w:p>
      <w:pPr>
        <w:pStyle w:val="Compact"/>
        <w:numPr>
          <w:ilvl w:val="0"/>
          <w:numId w:val="1003"/>
        </w:numPr>
      </w:pPr>
      <w:r>
        <w:t xml:space="preserve">Deliverables: A1 dimensioned plans for each unit type, BIM model with named objects for pods &amp; kitchens.</w:t>
      </w:r>
    </w:p>
    <w:p>
      <w:pPr>
        <w:pStyle w:val="Compact"/>
        <w:numPr>
          <w:ilvl w:val="0"/>
          <w:numId w:val="1003"/>
        </w:numPr>
      </w:pPr>
      <w:r>
        <w:t xml:space="preserve">Anna (Finishes Lead): finish sample boards and client selection booklet; assemble showflat finishes kit for presentations (2 weeks).</w:t>
      </w:r>
    </w:p>
    <w:p>
      <w:pPr>
        <w:pStyle w:val="Compact"/>
        <w:numPr>
          <w:ilvl w:val="0"/>
          <w:numId w:val="1003"/>
        </w:numPr>
      </w:pPr>
      <w:r>
        <w:t xml:space="preserve">Deliverables: Finish boards for three packages, sample boxes, selection booklet template for client choices.</w:t>
      </w:r>
    </w:p>
    <w:p>
      <w:pPr>
        <w:pStyle w:val="Compact"/>
        <w:numPr>
          <w:ilvl w:val="0"/>
          <w:numId w:val="1003"/>
        </w:numPr>
      </w:pPr>
      <w:r>
        <w:t xml:space="preserve">Richard (Structural Consultant): prepare structural typicals and coordination notes for prefab modules, advise on structural grid and slab penetration details (3 weeks).</w:t>
      </w:r>
    </w:p>
    <w:p>
      <w:pPr>
        <w:pStyle w:val="Compact"/>
        <w:numPr>
          <w:ilvl w:val="0"/>
          <w:numId w:val="1003"/>
        </w:numPr>
      </w:pPr>
      <w:r>
        <w:t xml:space="preserve">Deliverables: Structural typical details, slab cutting schedule, lifting points and crane load assumptions for pods.</w:t>
      </w:r>
    </w:p>
    <w:p>
      <w:pPr>
        <w:pStyle w:val="Compact"/>
        <w:numPr>
          <w:ilvl w:val="0"/>
          <w:numId w:val="1003"/>
        </w:numPr>
      </w:pPr>
      <w:r>
        <w:t xml:space="preserve">John (Project Manager / Budget Lead): finalise budget envelope, procurement strategy and contingency levels, prepare pre-qualification questionnaire for contractors and key suppliers (1 week).</w:t>
      </w:r>
    </w:p>
    <w:p>
      <w:pPr>
        <w:pStyle w:val="Compact"/>
        <w:numPr>
          <w:ilvl w:val="0"/>
          <w:numId w:val="1003"/>
        </w:numPr>
      </w:pPr>
      <w:r>
        <w:t xml:space="preserve">Deliverables: Preliminary procurement plan, PQQ and draft tender timeline.</w:t>
      </w:r>
    </w:p>
    <w:p>
      <w:pPr>
        <w:pStyle w:val="Compact"/>
        <w:numPr>
          <w:ilvl w:val="0"/>
          <w:numId w:val="1003"/>
        </w:numPr>
      </w:pPr>
      <w:r>
        <w:t xml:space="preserve">Procurement/Contracts Team: prepare tender documents (4 weeks after technical design freeze).</w:t>
      </w:r>
    </w:p>
    <w:p>
      <w:pPr>
        <w:pStyle w:val="Compact"/>
        <w:numPr>
          <w:ilvl w:val="0"/>
          <w:numId w:val="1003"/>
        </w:numPr>
      </w:pPr>
      <w:r>
        <w:t xml:space="preserve">Deliverables: Tender pack comprising BoQ, specification, BIM model extracts, and tender conditions.</w:t>
      </w:r>
    </w:p>
    <w:p>
      <w:pPr>
        <w:pStyle w:val="Compact"/>
        <w:numPr>
          <w:ilvl w:val="0"/>
          <w:numId w:val="1003"/>
        </w:numPr>
      </w:pPr>
      <w:r>
        <w:t xml:space="preserve">MEP Lead (to be appointed): produce riser layout and plant room sizing, MVHR route strategy, and heat source options (3–4 weeks).</w:t>
      </w:r>
    </w:p>
    <w:p>
      <w:pPr>
        <w:pStyle w:val="Compact"/>
        <w:numPr>
          <w:ilvl w:val="0"/>
          <w:numId w:val="1003"/>
        </w:numPr>
      </w:pPr>
      <w:r>
        <w:t xml:space="preserve">Deliverables: MEP schematic, plant-room layouts, pre-design calculations for heating/cooling loads.</w:t>
      </w:r>
    </w:p>
    <w:p>
      <w:pPr>
        <w:pStyle w:val="Compact"/>
        <w:numPr>
          <w:ilvl w:val="0"/>
          <w:numId w:val="1003"/>
        </w:numPr>
      </w:pPr>
      <w:r>
        <w:t xml:space="preserve">Manufacturer engagement: schedule meetings with at least 3 prefab pod manufacturers and 3 kitchen module suppliers to obtain preliminary cost and lead-time indications (2 weeks after tech design start).</w:t>
      </w:r>
    </w:p>
    <w:p>
      <w:pPr>
        <w:pStyle w:val="FirstParagraph"/>
      </w:pPr>
      <w:r>
        <w:t xml:space="preserve">Milestones &amp; deadlines:</w:t>
      </w:r>
      <w:r>
        <w:t xml:space="preserve"> </w:t>
      </w:r>
      <w:r>
        <w:t xml:space="preserve">- Concept sign-off: within 2 weeks by client.</w:t>
      </w:r>
      <w:r>
        <w:t xml:space="preserve"> </w:t>
      </w:r>
      <w:r>
        <w:t xml:space="preserve">- Technical design freeze for tender: within 10–12 weeks from concept sign-off.</w:t>
      </w:r>
      <w:r>
        <w:t xml:space="preserve"> </w:t>
      </w:r>
      <w:r>
        <w:t xml:space="preserve">- Tender issue: 1–2 weeks after technical design freeze.</w:t>
      </w:r>
      <w:r>
        <w:t xml:space="preserve"> </w:t>
      </w:r>
      <w:r>
        <w:t xml:space="preserve">- Contractor appointment and mobilisation: within 6–8 weeks from tender issue.</w:t>
      </w:r>
    </w:p>
    <w:p>
      <w:pPr>
        <w:pStyle w:val="BodyText"/>
      </w:pPr>
      <w:r>
        <w:t xml:space="preserve">Acceptance checkpoints:</w:t>
      </w:r>
      <w:r>
        <w:t xml:space="preserve"> </w:t>
      </w:r>
      <w:r>
        <w:t xml:space="preserve">- Concept approval meeting (Oscar &amp; Board)</w:t>
      </w:r>
      <w:r>
        <w:t xml:space="preserve"> </w:t>
      </w:r>
      <w:r>
        <w:t xml:space="preserve">- Technical design coordination sign-off (BIM clash resolution)</w:t>
      </w:r>
      <w:r>
        <w:t xml:space="preserve"> </w:t>
      </w:r>
      <w:r>
        <w:t xml:space="preserve">- Permit submission confirmation</w:t>
      </w:r>
      <w:r>
        <w:t xml:space="preserve"> </w:t>
      </w:r>
      <w:r>
        <w:t xml:space="preserve">- Tender evaluation &amp; recommendation to award (John)</w:t>
      </w:r>
      <w:r>
        <w:t xml:space="preserve"> </w:t>
      </w:r>
      <w:r>
        <w:t xml:space="preserve">- Pre-construction meeting and site mobilisation sign-off</w:t>
      </w:r>
    </w:p>
    <w:p>
      <w:r>
        <w:pict>
          <v:rect style="width:0;height:1.5pt" o:hralign="center" o:hrstd="t" o:hr="t"/>
        </w:pict>
      </w:r>
    </w:p>
    <w:bookmarkEnd w:id="36"/>
    <w:bookmarkStart w:id="37" w:name="appendices"/>
    <w:p>
      <w:pPr>
        <w:pStyle w:val="Heading2"/>
      </w:pPr>
      <w:r>
        <w:t xml:space="preserve">16. Appendices</w:t>
      </w:r>
    </w:p>
    <w:p>
      <w:pPr>
        <w:pStyle w:val="FirstParagraph"/>
      </w:pPr>
      <w:r>
        <w:t xml:space="preserve">Appendix A — Sample tender package contents (recommended)</w:t>
      </w:r>
      <w:r>
        <w:t xml:space="preserve"> </w:t>
      </w:r>
      <w:r>
        <w:t xml:space="preserve">- Cover letter and instructions to tenderers</w:t>
      </w:r>
      <w:r>
        <w:t xml:space="preserve"> </w:t>
      </w:r>
      <w:r>
        <w:t xml:space="preserve">- Project background and site information</w:t>
      </w:r>
      <w:r>
        <w:t xml:space="preserve"> </w:t>
      </w:r>
      <w:r>
        <w:t xml:space="preserve">- Design drawings (floor plans, elevations, sections)</w:t>
      </w:r>
      <w:r>
        <w:t xml:space="preserve"> </w:t>
      </w:r>
      <w:r>
        <w:t xml:space="preserve">- BIM model (IFC or other format) with object naming conventions</w:t>
      </w:r>
      <w:r>
        <w:t xml:space="preserve"> </w:t>
      </w:r>
      <w:r>
        <w:t xml:space="preserve">- BoQ or activity schedule</w:t>
      </w:r>
      <w:r>
        <w:t xml:space="preserve"> </w:t>
      </w:r>
      <w:r>
        <w:t xml:space="preserve">- Technical specification (including performance requirements)</w:t>
      </w:r>
      <w:r>
        <w:t xml:space="preserve"> </w:t>
      </w:r>
      <w:r>
        <w:t xml:space="preserve">- Standard element product datasheets (pods, kitchen modules, windows)</w:t>
      </w:r>
      <w:r>
        <w:t xml:space="preserve"> </w:t>
      </w:r>
      <w:r>
        <w:t xml:space="preserve">- Method statements requirements for craning and installation of prefab modules</w:t>
      </w:r>
      <w:r>
        <w:t xml:space="preserve"> </w:t>
      </w:r>
      <w:r>
        <w:t xml:space="preserve">- Health &amp; safety expectations</w:t>
      </w:r>
      <w:r>
        <w:t xml:space="preserve"> </w:t>
      </w:r>
      <w:r>
        <w:t xml:space="preserve">- Programme, payment schedule and liquidated damages (if any)</w:t>
      </w:r>
      <w:r>
        <w:t xml:space="preserve"> </w:t>
      </w:r>
      <w:r>
        <w:t xml:space="preserve">- Pre-qualifying questionnaire (PQQ)</w:t>
      </w:r>
      <w:r>
        <w:t xml:space="preserve"> </w:t>
      </w:r>
      <w:r>
        <w:t xml:space="preserve">- Evaluation matrix and award criteria</w:t>
      </w:r>
    </w:p>
    <w:p>
      <w:pPr>
        <w:pStyle w:val="BodyText"/>
      </w:pPr>
      <w:r>
        <w:t xml:space="preserve">Appendix B — Typical room schedules &amp; sample dimensions (for each unit)</w:t>
      </w:r>
    </w:p>
    <w:p>
      <w:pPr>
        <w:pStyle w:val="BodyText"/>
      </w:pPr>
      <w:r>
        <w:t xml:space="preserve">Studio (35 m² net) — sample room schedule:</w:t>
      </w:r>
      <w:r>
        <w:t xml:space="preserve"> </w:t>
      </w:r>
      <w:r>
        <w:t xml:space="preserve">- Entrance: 2.0 m²; clear door 900 mm; coat hook and cupboard 0.6 m deep</w:t>
      </w:r>
      <w:r>
        <w:t xml:space="preserve"> </w:t>
      </w:r>
      <w:r>
        <w:t xml:space="preserve">- Living/Kitchen: 22.0 m²; sofa 1600 mm; dining 2-seat; kitchen run 1.8 m</w:t>
      </w:r>
      <w:r>
        <w:t xml:space="preserve"> </w:t>
      </w:r>
      <w:r>
        <w:t xml:space="preserve">- Bathroom (prefab): 4.5 m²; shower 900 x 900; basin; wall-hung WC</w:t>
      </w:r>
      <w:r>
        <w:t xml:space="preserve"> </w:t>
      </w:r>
      <w:r>
        <w:t xml:space="preserve">- Balcony: 3.0 m²</w:t>
      </w:r>
    </w:p>
    <w:p>
      <w:pPr>
        <w:pStyle w:val="BodyText"/>
      </w:pPr>
      <w:r>
        <w:t xml:space="preserve">1-BR (55 m² net) — sample room schedule:</w:t>
      </w:r>
      <w:r>
        <w:t xml:space="preserve"> </w:t>
      </w:r>
      <w:r>
        <w:t xml:space="preserve">- Entrance/Hall: 3.5 m²; storage cupboard 0.9 m deep</w:t>
      </w:r>
      <w:r>
        <w:t xml:space="preserve"> </w:t>
      </w:r>
      <w:r>
        <w:t xml:space="preserve">- Living/Kitchen: 28 m²; dining for 4; kitchen run 2.4 m</w:t>
      </w:r>
      <w:r>
        <w:t xml:space="preserve"> </w:t>
      </w:r>
      <w:r>
        <w:t xml:space="preserve">- Bedroom: 13 m²; built-in wardrobe 1.8 m run</w:t>
      </w:r>
      <w:r>
        <w:t xml:space="preserve"> </w:t>
      </w:r>
      <w:r>
        <w:t xml:space="preserve">- Bathroom (prefab): 5.0 m²; shower/bath option; washing machine space</w:t>
      </w:r>
      <w:r>
        <w:t xml:space="preserve"> </w:t>
      </w:r>
      <w:r>
        <w:t xml:space="preserve">- Balcony: 5 m²</w:t>
      </w:r>
    </w:p>
    <w:p>
      <w:pPr>
        <w:pStyle w:val="BodyText"/>
      </w:pPr>
      <w:r>
        <w:t xml:space="preserve">2-BR (75 m² net) — sample room schedule:</w:t>
      </w:r>
      <w:r>
        <w:t xml:space="preserve"> </w:t>
      </w:r>
      <w:r>
        <w:t xml:space="preserve">- Entrance/Hall: 4.0 m²</w:t>
      </w:r>
      <w:r>
        <w:t xml:space="preserve"> </w:t>
      </w:r>
      <w:r>
        <w:t xml:space="preserve">- Living/Kitchen: 32–34 m²; island option on premium</w:t>
      </w:r>
      <w:r>
        <w:t xml:space="preserve"> </w:t>
      </w:r>
      <w:r>
        <w:t xml:space="preserve">- Bedroom 1: 13 m²; wardrobe 2.0 m</w:t>
      </w:r>
      <w:r>
        <w:t xml:space="preserve"> </w:t>
      </w:r>
      <w:r>
        <w:t xml:space="preserve">- Bedroom 2: 10–12 m²</w:t>
      </w:r>
      <w:r>
        <w:t xml:space="preserve"> </w:t>
      </w:r>
      <w:r>
        <w:t xml:space="preserve">- Main bathroom (prefab): 6.5 m²; ensuite: 3.5 m² (if selected)</w:t>
      </w:r>
      <w:r>
        <w:t xml:space="preserve"> </w:t>
      </w:r>
      <w:r>
        <w:t xml:space="preserve">- Balcony: 6–8 m²</w:t>
      </w:r>
    </w:p>
    <w:p>
      <w:pPr>
        <w:pStyle w:val="BodyText"/>
      </w:pPr>
      <w:r>
        <w:t xml:space="preserve">Appendix C — Line-item cost assumptions (sample)</w:t>
      </w:r>
      <w:r>
        <w:t xml:space="preserve"> </w:t>
      </w:r>
      <w:r>
        <w:t xml:space="preserve">- Concrete frame per m³: allowance included in Substructure &amp; shell</w:t>
      </w:r>
      <w:r>
        <w:t xml:space="preserve"> </w:t>
      </w:r>
      <w:r>
        <w:t xml:space="preserve">- Prefab bathroom pod (mid-range): 8,000 EUR/pod (including delivery &amp; craning)</w:t>
      </w:r>
      <w:r>
        <w:t xml:space="preserve"> </w:t>
      </w:r>
      <w:r>
        <w:t xml:space="preserve">- Kitchen module:</w:t>
      </w:r>
      <w:r>
        <w:t xml:space="preserve"> </w:t>
      </w:r>
      <w:r>
        <w:t xml:space="preserve">- Economy: 3,500 EUR</w:t>
      </w:r>
      <w:r>
        <w:t xml:space="preserve"> </w:t>
      </w:r>
      <w:r>
        <w:t xml:space="preserve">- Standard: 6,000 EUR</w:t>
      </w:r>
      <w:r>
        <w:t xml:space="preserve"> </w:t>
      </w:r>
      <w:r>
        <w:t xml:space="preserve">- Premium: 10,000 EUR</w:t>
      </w:r>
      <w:r>
        <w:t xml:space="preserve"> </w:t>
      </w:r>
      <w:r>
        <w:t xml:space="preserve">- Windows (installed): 350 EUR/m² glazed area</w:t>
      </w:r>
      <w:r>
        <w:t xml:space="preserve"> </w:t>
      </w:r>
      <w:r>
        <w:t xml:space="preserve">- MVHR system per dwelling: 1,800 EUR + 2,500 EUR shared plant distribution allowances</w:t>
      </w:r>
      <w:r>
        <w:t xml:space="preserve"> </w:t>
      </w:r>
      <w:r>
        <w:t xml:space="preserve">- Heat pump plant (building-level): 45,000 EUR (equipment + installation)</w:t>
      </w:r>
      <w:r>
        <w:t xml:space="preserve"> </w:t>
      </w:r>
      <w:r>
        <w:t xml:space="preserve">- PV system: 1,200 EUR/kWp installed</w:t>
      </w:r>
      <w:r>
        <w:t xml:space="preserve"> </w:t>
      </w:r>
      <w:r>
        <w:t xml:space="preserve">- External works per m²: included in 156,000 EUR allocation (5% of build)</w:t>
      </w:r>
    </w:p>
    <w:p>
      <w:pPr>
        <w:pStyle w:val="BodyText"/>
      </w:pPr>
      <w:r>
        <w:t xml:space="preserve">Appendix D — MEP coordination notes (key points)</w:t>
      </w:r>
      <w:r>
        <w:t xml:space="preserve"> </w:t>
      </w:r>
      <w:r>
        <w:t xml:space="preserve">- Standardize bathroom pod connections: outlet heights and positions for soil stack, cold/hot water, and electrical feed (3-phase single-point if required); provide termination boxes in corridor for quick connection.</w:t>
      </w:r>
      <w:r>
        <w:t xml:space="preserve"> </w:t>
      </w:r>
      <w:r>
        <w:t xml:space="preserve">- Kitchen modules: identify fixed junction box positions for hob, oven, dishwasher and fridge; provide flexible hoses and isolation points in cupboards.</w:t>
      </w:r>
      <w:r>
        <w:t xml:space="preserve"> </w:t>
      </w:r>
      <w:r>
        <w:t xml:space="preserve">- Riser plan: avoid more than two riser shafts per typical corridor to keep vent shafts compact. Use manifold distribution on each floor for heating circuits if hydronic systems used.</w:t>
      </w:r>
      <w:r>
        <w:t xml:space="preserve"> </w:t>
      </w:r>
      <w:r>
        <w:t xml:space="preserve">- MVHR: supply ducts of minimum 125–160 mm with distribution via acoustic ducts to living spaces. Place unit either in plant room or in dedicated shaft with access.</w:t>
      </w:r>
    </w:p>
    <w:p>
      <w:pPr>
        <w:pStyle w:val="BodyText"/>
      </w:pPr>
      <w:r>
        <w:t xml:space="preserve">Appendix E — Sample client selection booklet contents (outline)</w:t>
      </w:r>
      <w:r>
        <w:t xml:space="preserve"> </w:t>
      </w:r>
      <w:r>
        <w:t xml:space="preserve">- Welcome &amp; project vision</w:t>
      </w:r>
      <w:r>
        <w:t xml:space="preserve"> </w:t>
      </w:r>
      <w:r>
        <w:t xml:space="preserve">- Unit type descriptions and typical floor plans</w:t>
      </w:r>
      <w:r>
        <w:t xml:space="preserve"> </w:t>
      </w:r>
      <w:r>
        <w:t xml:space="preserve">- Finish level descriptions with imagery (Economy / Standard / Premium)</w:t>
      </w:r>
      <w:r>
        <w:t xml:space="preserve"> </w:t>
      </w:r>
      <w:r>
        <w:t xml:space="preserve">- Price deltas and allowances for upgrades</w:t>
      </w:r>
      <w:r>
        <w:t xml:space="preserve"> </w:t>
      </w:r>
      <w:r>
        <w:t xml:space="preserve">- Kitchen &amp; bathroom sample boards and appliance options</w:t>
      </w:r>
      <w:r>
        <w:t xml:space="preserve"> </w:t>
      </w:r>
      <w:r>
        <w:t xml:space="preserve">- Balcony and external finish options</w:t>
      </w:r>
      <w:r>
        <w:t xml:space="preserve"> </w:t>
      </w:r>
      <w:r>
        <w:t xml:space="preserve">- Timeline and selection deadlines</w:t>
      </w:r>
      <w:r>
        <w:t xml:space="preserve"> </w:t>
      </w:r>
      <w:r>
        <w:t xml:space="preserve">- Warranty &amp; aftercare information</w:t>
      </w:r>
    </w:p>
    <w:p>
      <w:r>
        <w:pict>
          <v:rect style="width:0;height:1.5pt" o:hralign="center" o:hrstd="t" o:hr="t"/>
        </w:pict>
      </w:r>
    </w:p>
    <w:bookmarkEnd w:id="37"/>
    <w:bookmarkStart w:id="38" w:name="closing-notes"/>
    <w:p>
      <w:pPr>
        <w:pStyle w:val="Heading2"/>
      </w:pPr>
      <w:r>
        <w:t xml:space="preserve">Closing notes</w:t>
      </w:r>
    </w:p>
    <w:p>
      <w:pPr>
        <w:pStyle w:val="FirstParagraph"/>
      </w:pPr>
      <w:r>
        <w:t xml:space="preserve">This expanded proposal balances quality, buildability, cost-control and lifecycle value. By standardizing unit types, adopting prefabrication where it provides clear benefit and defining a tight yet flexible procurement strategy, Awesome Inc. can deliver attractive turn-key apartment options efficiently and predictably.</w:t>
      </w:r>
    </w:p>
    <w:p>
      <w:pPr>
        <w:pStyle w:val="BodyText"/>
      </w:pPr>
      <w:r>
        <w:t xml:space="preserve">Recommended immediate actions:</w:t>
      </w:r>
      <w:r>
        <w:t xml:space="preserve"> </w:t>
      </w:r>
      <w:r>
        <w:t xml:space="preserve">1. Approve the concept and confirm the baseline budget envelope so technical design can proceed.</w:t>
      </w:r>
      <w:r>
        <w:t xml:space="preserve"> </w:t>
      </w:r>
      <w:r>
        <w:t xml:space="preserve">2. Commence early supplier engagement for bathroom pods and kitchen modules (to confirm lead times and refine costs).</w:t>
      </w:r>
      <w:r>
        <w:t xml:space="preserve"> </w:t>
      </w:r>
      <w:r>
        <w:t xml:space="preserve">3. Schedule pre-application meetings with planning and fire authorities to expedite permit approvals.</w:t>
      </w:r>
    </w:p>
    <w:p>
      <w:pPr>
        <w:pStyle w:val="BodyText"/>
      </w:pPr>
      <w:r>
        <w:t xml:space="preserve">If you would like, I can:</w:t>
      </w:r>
      <w:r>
        <w:t xml:space="preserve"> </w:t>
      </w:r>
      <w:r>
        <w:t xml:space="preserve">- Prepare a unit-by-unit QS spreadsheet with detailed line items (requires site-specific inputs such as local labour rates, soil report and exact finish choices).</w:t>
      </w:r>
      <w:r>
        <w:t xml:space="preserve"> </w:t>
      </w:r>
      <w:r>
        <w:t xml:space="preserve">- Produce dimensioned CAD drawings for each unit type and an IFC extract for supplier coordination.</w:t>
      </w:r>
      <w:r>
        <w:t xml:space="preserve"> </w:t>
      </w:r>
      <w:r>
        <w:t xml:space="preserve">- Draft the tender documents (BoQ and specification) ready for issue to pre-qualified contractors.</w:t>
      </w:r>
    </w:p>
    <w:p>
      <w:pPr>
        <w:pStyle w:val="BodyText"/>
      </w:pPr>
      <w:r>
        <w:t xml:space="preserve">Owners and contacts:</w:t>
      </w:r>
      <w:r>
        <w:t xml:space="preserve"> </w:t>
      </w:r>
      <w:r>
        <w:t xml:space="preserve">- Oscar (Design lead / client contact)</w:t>
      </w:r>
      <w:r>
        <w:t xml:space="preserve"> </w:t>
      </w:r>
      <w:r>
        <w:t xml:space="preserve">- Anna (Finishes &amp; client selection)</w:t>
      </w:r>
      <w:r>
        <w:t xml:space="preserve"> </w:t>
      </w:r>
      <w:r>
        <w:t xml:space="preserve">- Richard (Structural consultant)</w:t>
      </w:r>
      <w:r>
        <w:t xml:space="preserve"> </w:t>
      </w:r>
      <w:r>
        <w:t xml:space="preserve">- John (Project manager / budgeting)</w:t>
      </w:r>
      <w:r>
        <w:t xml:space="preserve"> </w:t>
      </w:r>
      <w:r>
        <w:t xml:space="preserve">- Procurement / Contracts team (to be assigned)</w:t>
      </w:r>
    </w:p>
    <w:p>
      <w:pPr>
        <w:pStyle w:val="BodyText"/>
      </w:pPr>
      <w:r>
        <w:t xml:space="preserve">Appendix: Detailed line-item cost assumptions, supplier pre-qualification checklists, and sample layouts can be provided on request.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2025-10-31T19:44:24Z</dcterms:created>
  <dcterms:modified xsi:type="dcterms:W3CDTF">2025-10-31T19:44:24Z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