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B7FD" w14:textId="53E16EFA" w:rsidR="00764B3A" w:rsidRPr="00AE567F" w:rsidRDefault="00655228" w:rsidP="00AE567F">
      <w:pPr>
        <w:pStyle w:val="Title"/>
      </w:pPr>
      <w:r>
        <w:rPr>
          <w:lang w:val="zh-CN" w:bidi="zh-CN"/>
        </w:rPr>
        <w:t>简单</w:t>
      </w:r>
      <w:r>
        <w:rPr>
          <w:lang w:val="zh-CN" w:bidi="zh-CN"/>
        </w:rPr>
        <w:t xml:space="preserve"> HDR </w:t>
      </w:r>
      <w:r>
        <w:rPr>
          <w:lang w:val="zh-CN" w:bidi="zh-CN"/>
        </w:rPr>
        <w:t>示例</w:t>
      </w:r>
    </w:p>
    <w:p w14:paraId="2914B509" w14:textId="77777777" w:rsidR="007C448C" w:rsidRDefault="007C448C" w:rsidP="007C448C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F712D3E" w14:textId="77777777" w:rsidR="008550D0" w:rsidRPr="008550D0" w:rsidRDefault="008550D0" w:rsidP="008550D0"/>
    <w:p w14:paraId="5E2360D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0E46FB77" w14:textId="77777777" w:rsidR="00281D12" w:rsidRDefault="00655228" w:rsidP="00281D12">
      <w:r w:rsidRPr="00655228">
        <w:rPr>
          <w:lang w:val="zh-CN" w:bidi="zh-CN"/>
        </w:rPr>
        <w:t>此示例将</w:t>
      </w:r>
      <w:r w:rsidRPr="00655228">
        <w:rPr>
          <w:lang w:val="zh-CN" w:bidi="zh-CN"/>
        </w:rPr>
        <w:t xml:space="preserve"> UHD </w:t>
      </w:r>
      <w:r w:rsidRPr="00655228">
        <w:rPr>
          <w:lang w:val="zh-CN" w:bidi="zh-CN"/>
        </w:rPr>
        <w:t>电视切换到</w:t>
      </w:r>
      <w:r w:rsidRPr="00655228">
        <w:rPr>
          <w:lang w:val="zh-CN" w:bidi="zh-CN"/>
        </w:rPr>
        <w:t xml:space="preserve"> HDR </w:t>
      </w:r>
      <w:r w:rsidRPr="00655228">
        <w:rPr>
          <w:lang w:val="zh-CN" w:bidi="zh-CN"/>
        </w:rPr>
        <w:t>模式，并呈现值高于</w:t>
      </w:r>
      <w:r w:rsidRPr="00655228">
        <w:rPr>
          <w:lang w:val="zh-CN" w:bidi="zh-CN"/>
        </w:rPr>
        <w:t xml:space="preserve"> 1.0f </w:t>
      </w:r>
      <w:r w:rsidRPr="00655228">
        <w:rPr>
          <w:lang w:val="zh-CN" w:bidi="zh-CN"/>
        </w:rPr>
        <w:t>的</w:t>
      </w:r>
      <w:r w:rsidRPr="00655228">
        <w:rPr>
          <w:lang w:val="zh-CN" w:bidi="zh-CN"/>
        </w:rPr>
        <w:t xml:space="preserve"> HDR </w:t>
      </w:r>
      <w:r w:rsidRPr="00655228">
        <w:rPr>
          <w:lang w:val="zh-CN" w:bidi="zh-CN"/>
        </w:rPr>
        <w:t>场景，该场景将在</w:t>
      </w:r>
      <w:r w:rsidRPr="00655228">
        <w:rPr>
          <w:lang w:val="zh-CN" w:bidi="zh-CN"/>
        </w:rPr>
        <w:t xml:space="preserve"> UHD </w:t>
      </w:r>
      <w:r w:rsidRPr="00655228">
        <w:rPr>
          <w:lang w:val="zh-CN" w:bidi="zh-CN"/>
        </w:rPr>
        <w:t>电视上显示为比白色更亮的颜色。此示例的目标是显示要使用的</w:t>
      </w:r>
      <w:r w:rsidRPr="00655228">
        <w:rPr>
          <w:lang w:val="zh-CN" w:bidi="zh-CN"/>
        </w:rPr>
        <w:t xml:space="preserve"> API</w:t>
      </w:r>
      <w:r w:rsidRPr="00655228">
        <w:rPr>
          <w:lang w:val="zh-CN" w:bidi="zh-CN"/>
        </w:rPr>
        <w:t>、应如何创建</w:t>
      </w:r>
      <w:r w:rsidRPr="00655228">
        <w:rPr>
          <w:lang w:val="zh-CN" w:bidi="zh-CN"/>
        </w:rPr>
        <w:t xml:space="preserve"> HDR </w:t>
      </w:r>
      <w:r w:rsidRPr="00655228">
        <w:rPr>
          <w:lang w:val="zh-CN" w:bidi="zh-CN"/>
        </w:rPr>
        <w:t>交换链，以及在</w:t>
      </w:r>
      <w:r w:rsidRPr="00655228">
        <w:rPr>
          <w:lang w:val="zh-CN" w:bidi="zh-CN"/>
        </w:rPr>
        <w:t xml:space="preserve"> UHD </w:t>
      </w:r>
      <w:r w:rsidRPr="00655228">
        <w:rPr>
          <w:lang w:val="zh-CN" w:bidi="zh-CN"/>
        </w:rPr>
        <w:t>电视上如何显示大于</w:t>
      </w:r>
      <w:r w:rsidRPr="00655228">
        <w:rPr>
          <w:lang w:val="zh-CN" w:bidi="zh-CN"/>
        </w:rPr>
        <w:t xml:space="preserve"> 1.0f </w:t>
      </w:r>
      <w:r w:rsidRPr="00655228">
        <w:rPr>
          <w:lang w:val="zh-CN" w:bidi="zh-CN"/>
        </w:rPr>
        <w:t>的不同值。</w:t>
      </w:r>
    </w:p>
    <w:p w14:paraId="5429B229" w14:textId="77777777" w:rsidR="00655228" w:rsidRDefault="00655228" w:rsidP="00281D12"/>
    <w:p w14:paraId="5EA4B5FF" w14:textId="02901CE0" w:rsidR="00655228" w:rsidRDefault="00A155C6" w:rsidP="00281D12">
      <w:r>
        <w:rPr>
          <w:noProof/>
        </w:rPr>
        <w:drawing>
          <wp:inline distT="0" distB="0" distL="0" distR="0" wp14:anchorId="668D29A9" wp14:editId="551199E4">
            <wp:extent cx="5943600" cy="3343910"/>
            <wp:effectExtent l="0" t="0" r="0" b="889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CF13" w14:textId="77777777" w:rsidR="00281D12" w:rsidRDefault="00281D12" w:rsidP="00281D12"/>
    <w:p w14:paraId="04A30B22" w14:textId="22030FEA" w:rsidR="00AE567F" w:rsidRPr="00AE567F" w:rsidRDefault="00A155C6" w:rsidP="00AE567F">
      <w:r>
        <w:rPr>
          <w:noProof/>
        </w:rPr>
        <w:lastRenderedPageBreak/>
        <w:drawing>
          <wp:inline distT="0" distB="0" distL="0" distR="0" wp14:anchorId="08A2DD16" wp14:editId="1C53DD8B">
            <wp:extent cx="5943600" cy="334391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EDB4F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125C8D94" w14:textId="77777777" w:rsidR="00760396" w:rsidRDefault="00760396" w:rsidP="00760396">
      <w:pPr>
        <w:pStyle w:val="Heading1"/>
      </w:pPr>
      <w:r>
        <w:rPr>
          <w:lang w:val="zh-CN" w:bidi="zh-CN"/>
        </w:rPr>
        <w:t>构建示例</w:t>
      </w:r>
    </w:p>
    <w:p w14:paraId="03B01992" w14:textId="77777777" w:rsidR="00760396" w:rsidRDefault="00760396" w:rsidP="00760396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15D1AF5D" w14:textId="77777777" w:rsidR="00760396" w:rsidRDefault="00760396" w:rsidP="00760396"/>
    <w:p w14:paraId="2841348A" w14:textId="77777777" w:rsidR="00760396" w:rsidRDefault="00760396" w:rsidP="00760396">
      <w:bookmarkStart w:id="0" w:name="_Hlk25673317"/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bookmarkEnd w:id="0"/>
    <w:p w14:paraId="68895CFC" w14:textId="77777777" w:rsidR="00760396" w:rsidRDefault="00760396" w:rsidP="00760396"/>
    <w:p w14:paraId="78C11AFE" w14:textId="77777777" w:rsidR="00760396" w:rsidRDefault="00760396" w:rsidP="00760396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F605C3C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3EBF516C" w14:textId="77777777" w:rsidR="00281D12" w:rsidRDefault="006A2A92" w:rsidP="00281D12">
      <w:r>
        <w:rPr>
          <w:lang w:val="zh-CN" w:bidi="zh-CN"/>
        </w:rPr>
        <w:t>此示例使用以下控件。</w:t>
      </w:r>
    </w:p>
    <w:p w14:paraId="4CA37E17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476"/>
        <w:gridCol w:w="2874"/>
      </w:tblGrid>
      <w:tr w:rsidR="006A2A92" w:rsidRPr="00C42F0D" w14:paraId="202BE7AB" w14:textId="77777777" w:rsidTr="006A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463" w:type="pct"/>
            <w:hideMark/>
          </w:tcPr>
          <w:p w14:paraId="37291ABD" w14:textId="77777777" w:rsidR="006A2A92" w:rsidRPr="00C42F0D" w:rsidRDefault="006A2A92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537" w:type="pct"/>
            <w:hideMark/>
          </w:tcPr>
          <w:p w14:paraId="3EF38B18" w14:textId="77777777" w:rsidR="006A2A92" w:rsidRPr="00C42F0D" w:rsidRDefault="006A2A92" w:rsidP="005E6344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6A2A92" w:rsidRPr="00C42F0D" w14:paraId="654450A0" w14:textId="77777777" w:rsidTr="006A2A92">
        <w:trPr>
          <w:trHeight w:val="469"/>
        </w:trPr>
        <w:tc>
          <w:tcPr>
            <w:tcW w:w="3463" w:type="pct"/>
          </w:tcPr>
          <w:p w14:paraId="4F635DB1" w14:textId="77777777" w:rsidR="006A2A92" w:rsidRPr="00C42F0D" w:rsidRDefault="006A2A92" w:rsidP="005E6344">
            <w:pPr>
              <w:pStyle w:val="a4"/>
            </w:pPr>
            <w:r>
              <w:rPr>
                <w:lang w:val="zh-CN" w:bidi="zh-CN"/>
              </w:rPr>
              <w:t>切换显示 ST.2084 曲线</w:t>
            </w:r>
          </w:p>
        </w:tc>
        <w:tc>
          <w:tcPr>
            <w:tcW w:w="1537" w:type="pct"/>
          </w:tcPr>
          <w:p w14:paraId="320E2F96" w14:textId="77777777" w:rsidR="006A2A92" w:rsidRPr="00C42F0D" w:rsidRDefault="006A2A92" w:rsidP="005E6344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6A2A92" w14:paraId="00F9BAD4" w14:textId="77777777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4"/>
        </w:trPr>
        <w:tc>
          <w:tcPr>
            <w:tcW w:w="3463" w:type="pct"/>
          </w:tcPr>
          <w:p w14:paraId="08D600BD" w14:textId="77777777" w:rsidR="006A2A92" w:rsidRDefault="006A2A92" w:rsidP="005E6344">
            <w:pPr>
              <w:pStyle w:val="a4"/>
            </w:pPr>
            <w:r>
              <w:rPr>
                <w:lang w:val="zh-CN" w:bidi="zh-CN"/>
              </w:rPr>
              <w:t>切换显示仅纸白色块</w:t>
            </w:r>
          </w:p>
        </w:tc>
        <w:tc>
          <w:tcPr>
            <w:tcW w:w="1537" w:type="pct"/>
          </w:tcPr>
          <w:p w14:paraId="14E71ABE" w14:textId="77777777" w:rsidR="006A2A92" w:rsidRDefault="006A2A92" w:rsidP="005E6344">
            <w:pPr>
              <w:pStyle w:val="a4"/>
            </w:pPr>
            <w:r>
              <w:rPr>
                <w:lang w:val="zh-CN" w:bidi="zh-CN"/>
              </w:rPr>
              <w:t>B 按钮</w:t>
            </w:r>
          </w:p>
        </w:tc>
      </w:tr>
      <w:tr w:rsidR="006A2A92" w14:paraId="610FCC3F" w14:textId="77777777" w:rsidTr="006A2A92">
        <w:trPr>
          <w:trHeight w:val="234"/>
        </w:trPr>
        <w:tc>
          <w:tcPr>
            <w:tcW w:w="3463" w:type="pct"/>
          </w:tcPr>
          <w:p w14:paraId="0780F54A" w14:textId="77777777" w:rsidR="006A2A92" w:rsidRDefault="006A2A92" w:rsidP="005E6344">
            <w:pPr>
              <w:pStyle w:val="a4"/>
            </w:pPr>
            <w:r>
              <w:rPr>
                <w:lang w:val="zh-CN" w:bidi="zh-CN"/>
              </w:rPr>
              <w:t>调整纸白色的亮度</w:t>
            </w:r>
          </w:p>
        </w:tc>
        <w:tc>
          <w:tcPr>
            <w:tcW w:w="1537" w:type="pct"/>
          </w:tcPr>
          <w:p w14:paraId="794EDA0B" w14:textId="77777777" w:rsidR="006A2A92" w:rsidRDefault="006A2A92" w:rsidP="005E6344">
            <w:pPr>
              <w:pStyle w:val="a4"/>
            </w:pPr>
            <w:r>
              <w:rPr>
                <w:lang w:val="zh-CN" w:bidi="zh-CN"/>
              </w:rPr>
              <w:t>方向键</w:t>
            </w:r>
          </w:p>
        </w:tc>
      </w:tr>
      <w:tr w:rsidR="006A2A92" w14:paraId="1B848934" w14:textId="77777777" w:rsidTr="006A2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463" w:type="pct"/>
          </w:tcPr>
          <w:p w14:paraId="361B72DD" w14:textId="77777777" w:rsidR="006A2A92" w:rsidRDefault="006A2A92" w:rsidP="005E6344">
            <w:pPr>
              <w:pStyle w:val="a4"/>
            </w:pPr>
            <w:r>
              <w:rPr>
                <w:lang w:val="zh-CN" w:bidi="zh-CN"/>
              </w:rPr>
              <w:t>调整值</w:t>
            </w:r>
          </w:p>
        </w:tc>
        <w:tc>
          <w:tcPr>
            <w:tcW w:w="1537" w:type="pct"/>
          </w:tcPr>
          <w:p w14:paraId="56126A4A" w14:textId="77777777" w:rsidR="006A2A92" w:rsidRDefault="006A2A92" w:rsidP="005E6344">
            <w:pPr>
              <w:pStyle w:val="a4"/>
            </w:pPr>
            <w:r>
              <w:rPr>
                <w:lang w:val="zh-CN" w:bidi="zh-CN"/>
              </w:rPr>
              <w:t>左/右控制杆</w:t>
            </w:r>
          </w:p>
        </w:tc>
      </w:tr>
      <w:tr w:rsidR="00F0071C" w14:paraId="714CFE0A" w14:textId="77777777" w:rsidTr="006A2A92">
        <w:trPr>
          <w:trHeight w:val="362"/>
        </w:trPr>
        <w:tc>
          <w:tcPr>
            <w:tcW w:w="3463" w:type="pct"/>
          </w:tcPr>
          <w:p w14:paraId="46904E15" w14:textId="77777777" w:rsidR="00F0071C" w:rsidRDefault="00F0071C" w:rsidP="005E634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537" w:type="pct"/>
          </w:tcPr>
          <w:p w14:paraId="29104C54" w14:textId="77777777" w:rsidR="00F0071C" w:rsidRDefault="00F0071C" w:rsidP="005E6344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31BAC96F" w14:textId="77777777" w:rsidR="00E16AF8" w:rsidRDefault="00E16AF8" w:rsidP="00331038"/>
    <w:p w14:paraId="65CE6E48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3B699A85" w14:textId="77777777" w:rsidR="005640ED" w:rsidRDefault="006A2A92" w:rsidP="006A2A92">
      <w:bookmarkStart w:id="1" w:name="ID2EMD"/>
      <w:bookmarkEnd w:id="1"/>
      <w:r w:rsidRPr="006A2A92">
        <w:rPr>
          <w:lang w:val="zh-CN" w:bidi="zh-CN"/>
        </w:rPr>
        <w:t>此示例使用</w:t>
      </w:r>
      <w:r w:rsidRPr="006A2A92">
        <w:rPr>
          <w:lang w:val="zh-CN" w:bidi="zh-CN"/>
        </w:rPr>
        <w:t xml:space="preserve"> API </w:t>
      </w:r>
      <w:r w:rsidRPr="006A2A92">
        <w:rPr>
          <w:lang w:val="zh-CN" w:bidi="zh-CN"/>
        </w:rPr>
        <w:t>来确定附加的显示器是否支持</w:t>
      </w:r>
      <w:r w:rsidRPr="006A2A92">
        <w:rPr>
          <w:lang w:val="zh-CN" w:bidi="zh-CN"/>
        </w:rPr>
        <w:t xml:space="preserve"> HDR</w:t>
      </w:r>
      <w:r w:rsidRPr="006A2A92">
        <w:rPr>
          <w:lang w:val="zh-CN" w:bidi="zh-CN"/>
        </w:rPr>
        <w:t>。如果支持，则会显示切换到</w:t>
      </w:r>
      <w:r w:rsidRPr="006A2A92">
        <w:rPr>
          <w:lang w:val="zh-CN" w:bidi="zh-CN"/>
        </w:rPr>
        <w:t xml:space="preserve"> HDR </w:t>
      </w:r>
      <w:r w:rsidRPr="006A2A92">
        <w:rPr>
          <w:lang w:val="zh-CN" w:bidi="zh-CN"/>
        </w:rPr>
        <w:t>模式。一个非常简单的</w:t>
      </w:r>
      <w:r w:rsidRPr="006A2A92">
        <w:rPr>
          <w:lang w:val="zh-CN" w:bidi="zh-CN"/>
        </w:rPr>
        <w:t xml:space="preserve"> HDR </w:t>
      </w:r>
      <w:r w:rsidRPr="006A2A92">
        <w:rPr>
          <w:lang w:val="zh-CN" w:bidi="zh-CN"/>
        </w:rPr>
        <w:t>场景，其值高于</w:t>
      </w:r>
      <w:r w:rsidRPr="006A2A92">
        <w:rPr>
          <w:lang w:val="zh-CN" w:bidi="zh-CN"/>
        </w:rPr>
        <w:t xml:space="preserve"> 1.0f</w:t>
      </w:r>
      <w:r w:rsidRPr="006A2A92">
        <w:rPr>
          <w:lang w:val="zh-CN" w:bidi="zh-CN"/>
        </w:rPr>
        <w:t>，将呈现给</w:t>
      </w:r>
      <w:r w:rsidRPr="006A2A92">
        <w:rPr>
          <w:lang w:val="zh-CN" w:bidi="zh-CN"/>
        </w:rPr>
        <w:t xml:space="preserve"> FP16 </w:t>
      </w:r>
      <w:r w:rsidRPr="006A2A92">
        <w:rPr>
          <w:lang w:val="zh-CN" w:bidi="zh-CN"/>
        </w:rPr>
        <w:t>后台缓冲区，并输出两个不同的交换链，一个用于</w:t>
      </w:r>
      <w:r w:rsidRPr="006A2A92">
        <w:rPr>
          <w:lang w:val="zh-CN" w:bidi="zh-CN"/>
        </w:rPr>
        <w:t xml:space="preserve"> HDR</w:t>
      </w:r>
      <w:r w:rsidRPr="006A2A92">
        <w:rPr>
          <w:lang w:val="zh-CN" w:bidi="zh-CN"/>
        </w:rPr>
        <w:t>，一个用于</w:t>
      </w:r>
      <w:r w:rsidRPr="006A2A92">
        <w:rPr>
          <w:lang w:val="zh-CN" w:bidi="zh-CN"/>
        </w:rPr>
        <w:t xml:space="preserve"> SDR</w:t>
      </w:r>
      <w:r w:rsidRPr="006A2A92">
        <w:rPr>
          <w:lang w:val="zh-CN" w:bidi="zh-CN"/>
        </w:rPr>
        <w:t>。即使使用者使用</w:t>
      </w:r>
      <w:r w:rsidRPr="006A2A92">
        <w:rPr>
          <w:lang w:val="zh-CN" w:bidi="zh-CN"/>
        </w:rPr>
        <w:t xml:space="preserve"> HDR </w:t>
      </w:r>
      <w:r w:rsidRPr="006A2A92">
        <w:rPr>
          <w:lang w:val="zh-CN" w:bidi="zh-CN"/>
        </w:rPr>
        <w:t>显示器，</w:t>
      </w:r>
      <w:r w:rsidRPr="006A2A92">
        <w:rPr>
          <w:lang w:val="zh-CN" w:bidi="zh-CN"/>
        </w:rPr>
        <w:t xml:space="preserve">GameDVR </w:t>
      </w:r>
      <w:r w:rsidRPr="006A2A92">
        <w:rPr>
          <w:lang w:val="zh-CN" w:bidi="zh-CN"/>
        </w:rPr>
        <w:t>和屏幕截图仍需要</w:t>
      </w:r>
      <w:r w:rsidRPr="006A2A92">
        <w:rPr>
          <w:lang w:val="zh-CN" w:bidi="zh-CN"/>
        </w:rPr>
        <w:t xml:space="preserve"> SDR </w:t>
      </w:r>
      <w:r w:rsidRPr="006A2A92">
        <w:rPr>
          <w:lang w:val="zh-CN" w:bidi="zh-CN"/>
        </w:rPr>
        <w:t>信号。</w:t>
      </w:r>
    </w:p>
    <w:p w14:paraId="5D59BC67" w14:textId="77777777" w:rsidR="006A2A92" w:rsidRDefault="006A2A92" w:rsidP="006A2A92"/>
    <w:p w14:paraId="50549E93" w14:textId="60556E3A" w:rsidR="006A2A92" w:rsidRDefault="006A2A92" w:rsidP="006A2A92">
      <w:r>
        <w:rPr>
          <w:lang w:val="zh-CN" w:bidi="zh-CN"/>
        </w:rPr>
        <w:t>此示例具有一个支持</w:t>
      </w:r>
      <w:r>
        <w:rPr>
          <w:lang w:val="zh-CN" w:bidi="zh-CN"/>
        </w:rPr>
        <w:t xml:space="preserve"> HDR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SDR </w:t>
      </w:r>
      <w:r>
        <w:rPr>
          <w:lang w:val="zh-CN" w:bidi="zh-CN"/>
        </w:rPr>
        <w:t>交换链的</w:t>
      </w:r>
      <w:r>
        <w:rPr>
          <w:lang w:val="zh-CN" w:bidi="zh-CN"/>
        </w:rPr>
        <w:t xml:space="preserve"> </w:t>
      </w:r>
      <w:hyperlink r:id="rId12" w:history="1">
        <w:r w:rsidRPr="006A2A92">
          <w:rPr>
            <w:rStyle w:val="Hyperlink"/>
            <w:lang w:val="zh-CN" w:bidi="zh-CN"/>
          </w:rPr>
          <w:t>DeviceResources</w:t>
        </w:r>
      </w:hyperlink>
      <w:r>
        <w:rPr>
          <w:lang w:val="zh-CN" w:bidi="zh-CN"/>
        </w:rPr>
        <w:t xml:space="preserve"> </w:t>
      </w:r>
      <w:r>
        <w:rPr>
          <w:lang w:val="zh-CN" w:bidi="zh-CN"/>
        </w:rPr>
        <w:t>类的版本。</w:t>
      </w:r>
    </w:p>
    <w:p w14:paraId="5954430B" w14:textId="77777777" w:rsidR="006A2A92" w:rsidRDefault="006A2A92" w:rsidP="006A2A92"/>
    <w:p w14:paraId="109CEE71" w14:textId="4872894D" w:rsidR="006A2A92" w:rsidRDefault="006A2A92" w:rsidP="006A2A92">
      <w:r w:rsidRPr="00A91596">
        <w:rPr>
          <w:lang w:val="zh-CN" w:bidi="zh-CN"/>
        </w:rPr>
        <w:t>请参阅白皮书《</w:t>
      </w:r>
      <w:hyperlink r:id="rId13" w:history="1">
        <w:r w:rsidRPr="00FE74A4">
          <w:rPr>
            <w:rStyle w:val="Hyperlink"/>
            <w:lang w:val="zh-CN" w:bidi="zh-CN"/>
          </w:rPr>
          <w:t xml:space="preserve">Xbox One </w:t>
        </w:r>
        <w:r w:rsidRPr="00FE74A4">
          <w:rPr>
            <w:rStyle w:val="Hyperlink"/>
            <w:rFonts w:ascii="MS Gothic" w:eastAsia="MS Gothic" w:hAnsi="MS Gothic" w:cs="MS Gothic" w:hint="eastAsia"/>
            <w:lang w:val="zh-CN" w:bidi="zh-CN"/>
          </w:rPr>
          <w:t>上的</w:t>
        </w:r>
        <w:r w:rsidRPr="00FE74A4">
          <w:rPr>
            <w:rStyle w:val="Hyperlink"/>
            <w:lang w:val="zh-CN" w:bidi="zh-CN"/>
          </w:rPr>
          <w:t xml:space="preserve"> HDR</w:t>
        </w:r>
      </w:hyperlink>
      <w:r w:rsidRPr="00A91596">
        <w:rPr>
          <w:lang w:val="zh-CN" w:bidi="zh-CN"/>
        </w:rPr>
        <w:t>》。</w:t>
      </w:r>
    </w:p>
    <w:p w14:paraId="6F7418AC" w14:textId="77777777" w:rsidR="006A2A92" w:rsidRDefault="006A2A92" w:rsidP="006A2A92"/>
    <w:p w14:paraId="53E38475" w14:textId="77777777" w:rsidR="006A2A92" w:rsidRDefault="006A2A92" w:rsidP="006A2A92">
      <w:r w:rsidRPr="006A2A92">
        <w:rPr>
          <w:lang w:val="zh-CN" w:bidi="zh-CN"/>
        </w:rPr>
        <w:t>到目前为止，游戏输出和</w:t>
      </w:r>
      <w:r w:rsidRPr="006A2A92">
        <w:rPr>
          <w:lang w:val="zh-CN" w:bidi="zh-CN"/>
        </w:rPr>
        <w:t xml:space="preserve"> SDR </w:t>
      </w:r>
      <w:r w:rsidRPr="006A2A92">
        <w:rPr>
          <w:lang w:val="zh-CN" w:bidi="zh-CN"/>
        </w:rPr>
        <w:t>信号均采用</w:t>
      </w:r>
      <w:r w:rsidRPr="006A2A92">
        <w:rPr>
          <w:lang w:val="zh-CN" w:bidi="zh-CN"/>
        </w:rPr>
        <w:t xml:space="preserve"> Rec.709 </w:t>
      </w:r>
      <w:r w:rsidRPr="006A2A92">
        <w:rPr>
          <w:lang w:val="zh-CN" w:bidi="zh-CN"/>
        </w:rPr>
        <w:t>色彩三原色和</w:t>
      </w:r>
      <w:r w:rsidRPr="006A2A92">
        <w:rPr>
          <w:lang w:val="zh-CN" w:bidi="zh-CN"/>
        </w:rPr>
        <w:t xml:space="preserve"> Rec.709 </w:t>
      </w:r>
      <w:r w:rsidRPr="006A2A92">
        <w:rPr>
          <w:lang w:val="zh-CN" w:bidi="zh-CN"/>
        </w:rPr>
        <w:t>伽玛曲线。</w:t>
      </w:r>
      <w:r w:rsidRPr="006A2A92">
        <w:rPr>
          <w:lang w:val="zh-CN" w:bidi="zh-CN"/>
        </w:rPr>
        <w:t xml:space="preserve">UHD </w:t>
      </w:r>
      <w:r w:rsidRPr="006A2A92">
        <w:rPr>
          <w:lang w:val="zh-CN" w:bidi="zh-CN"/>
        </w:rPr>
        <w:t>显示器的一个新功能是更广泛的色域</w:t>
      </w:r>
      <w:r w:rsidRPr="006A2A92">
        <w:rPr>
          <w:lang w:val="zh-CN" w:bidi="zh-CN"/>
        </w:rPr>
        <w:t xml:space="preserve"> (WCG)</w:t>
      </w:r>
      <w:r w:rsidRPr="006A2A92">
        <w:rPr>
          <w:lang w:val="zh-CN" w:bidi="zh-CN"/>
        </w:rPr>
        <w:t>。要使用此功能，我们需要使用一个新的颜色空间，即</w:t>
      </w:r>
      <w:r w:rsidRPr="006A2A92">
        <w:rPr>
          <w:lang w:val="zh-CN" w:bidi="zh-CN"/>
        </w:rPr>
        <w:t xml:space="preserve"> Rec.2020 </w:t>
      </w:r>
      <w:r w:rsidRPr="006A2A92">
        <w:rPr>
          <w:lang w:val="zh-CN" w:bidi="zh-CN"/>
        </w:rPr>
        <w:t>色彩三原色。</w:t>
      </w:r>
      <w:r w:rsidRPr="006A2A92">
        <w:rPr>
          <w:lang w:val="zh-CN" w:bidi="zh-CN"/>
        </w:rPr>
        <w:t xml:space="preserve">UHD </w:t>
      </w:r>
      <w:r w:rsidRPr="006A2A92">
        <w:rPr>
          <w:lang w:val="zh-CN" w:bidi="zh-CN"/>
        </w:rPr>
        <w:t>显示器的另一个新功能是高动态范围</w:t>
      </w:r>
      <w:r w:rsidRPr="006A2A92">
        <w:rPr>
          <w:lang w:val="zh-CN" w:bidi="zh-CN"/>
        </w:rPr>
        <w:t xml:space="preserve"> (HDR)</w:t>
      </w:r>
      <w:r w:rsidRPr="006A2A92">
        <w:rPr>
          <w:lang w:val="zh-CN" w:bidi="zh-CN"/>
        </w:rPr>
        <w:t>。若要使用此功能，我们需要使用不同的曲线，即</w:t>
      </w:r>
      <w:r w:rsidRPr="006A2A92">
        <w:rPr>
          <w:lang w:val="zh-CN" w:bidi="zh-CN"/>
        </w:rPr>
        <w:t xml:space="preserve"> ST.2084 </w:t>
      </w:r>
      <w:r w:rsidRPr="006A2A92">
        <w:rPr>
          <w:lang w:val="zh-CN" w:bidi="zh-CN"/>
        </w:rPr>
        <w:t>曲线。因此，若要输出</w:t>
      </w:r>
      <w:r w:rsidRPr="006A2A92">
        <w:rPr>
          <w:lang w:val="zh-CN" w:bidi="zh-CN"/>
        </w:rPr>
        <w:t xml:space="preserve"> HDR </w:t>
      </w:r>
      <w:r w:rsidRPr="006A2A92">
        <w:rPr>
          <w:lang w:val="zh-CN" w:bidi="zh-CN"/>
        </w:rPr>
        <w:t>信号，则需要使用带</w:t>
      </w:r>
      <w:r w:rsidRPr="006A2A92">
        <w:rPr>
          <w:lang w:val="zh-CN" w:bidi="zh-CN"/>
        </w:rPr>
        <w:t xml:space="preserve"> ST.2084 </w:t>
      </w:r>
      <w:r w:rsidRPr="006A2A92">
        <w:rPr>
          <w:lang w:val="zh-CN" w:bidi="zh-CN"/>
        </w:rPr>
        <w:t>曲线的</w:t>
      </w:r>
      <w:r w:rsidRPr="006A2A92">
        <w:rPr>
          <w:lang w:val="zh-CN" w:bidi="zh-CN"/>
        </w:rPr>
        <w:t xml:space="preserve"> Rec.2020 </w:t>
      </w:r>
      <w:r w:rsidRPr="006A2A92">
        <w:rPr>
          <w:lang w:val="zh-CN" w:bidi="zh-CN"/>
        </w:rPr>
        <w:t>色彩三原色。</w:t>
      </w:r>
    </w:p>
    <w:p w14:paraId="5A5D4DA6" w14:textId="77777777" w:rsidR="006A2A92" w:rsidRDefault="006A2A92" w:rsidP="006A2A92"/>
    <w:p w14:paraId="4878CEA4" w14:textId="6D0A2DD4" w:rsidR="006A2A92" w:rsidRPr="006A2A92" w:rsidRDefault="006A2A92" w:rsidP="006A2A92">
      <w:r w:rsidRPr="006A2A92">
        <w:rPr>
          <w:lang w:val="zh-CN" w:bidi="zh-CN"/>
        </w:rPr>
        <w:t>对于显示</w:t>
      </w:r>
      <w:r w:rsidRPr="006A2A92">
        <w:rPr>
          <w:lang w:val="zh-CN" w:bidi="zh-CN"/>
        </w:rPr>
        <w:t xml:space="preserve"> SDR </w:t>
      </w:r>
      <w:r w:rsidRPr="006A2A92">
        <w:rPr>
          <w:lang w:val="zh-CN" w:bidi="zh-CN"/>
        </w:rPr>
        <w:t>信号，将应用简单的色调映射着色器，以便只需剪辑</w:t>
      </w:r>
      <w:r w:rsidRPr="006A2A92">
        <w:rPr>
          <w:lang w:val="zh-CN" w:bidi="zh-CN"/>
        </w:rPr>
        <w:t xml:space="preserve"> HDR </w:t>
      </w:r>
      <w:r w:rsidRPr="006A2A92">
        <w:rPr>
          <w:lang w:val="zh-CN" w:bidi="zh-CN"/>
        </w:rPr>
        <w:t>场景中</w:t>
      </w:r>
      <w:r w:rsidRPr="006A2A92">
        <w:rPr>
          <w:lang w:val="zh-CN" w:bidi="zh-CN"/>
        </w:rPr>
        <w:t xml:space="preserve"> 1.0f </w:t>
      </w:r>
      <w:r w:rsidRPr="006A2A92">
        <w:rPr>
          <w:lang w:val="zh-CN" w:bidi="zh-CN"/>
        </w:rPr>
        <w:t>以上的所有值，并使用</w:t>
      </w:r>
      <w:r w:rsidRPr="006A2A92">
        <w:rPr>
          <w:lang w:val="zh-CN" w:bidi="zh-CN"/>
        </w:rPr>
        <w:t xml:space="preserve"> Rec.709 </w:t>
      </w:r>
      <w:r w:rsidRPr="006A2A92">
        <w:rPr>
          <w:lang w:val="zh-CN" w:bidi="zh-CN"/>
        </w:rPr>
        <w:t>色彩三原色输出</w:t>
      </w:r>
      <w:r w:rsidRPr="006A2A92">
        <w:rPr>
          <w:lang w:val="zh-CN" w:bidi="zh-CN"/>
        </w:rPr>
        <w:t xml:space="preserve"> 8 </w:t>
      </w:r>
      <w:r w:rsidRPr="006A2A92">
        <w:rPr>
          <w:lang w:val="zh-CN" w:bidi="zh-CN"/>
        </w:rPr>
        <w:t>位值。有关其他色调映射操作符，请参阅适用于</w:t>
      </w:r>
      <w:r w:rsidRPr="006A2A92">
        <w:rPr>
          <w:lang w:val="zh-CN" w:bidi="zh-CN"/>
        </w:rPr>
        <w:t xml:space="preserve"> DirectX 12 </w:t>
      </w:r>
      <w:r w:rsidRPr="006A2A92">
        <w:rPr>
          <w:lang w:val="zh-CN" w:bidi="zh-CN"/>
        </w:rPr>
        <w:t>的</w:t>
      </w:r>
      <w:r w:rsidRPr="006A2A92">
        <w:rPr>
          <w:lang w:val="zh-CN" w:bidi="zh-CN"/>
        </w:rPr>
        <w:t xml:space="preserve"> DirectX </w:t>
      </w:r>
      <w:r w:rsidRPr="006A2A92">
        <w:rPr>
          <w:lang w:val="zh-CN" w:bidi="zh-CN"/>
        </w:rPr>
        <w:t>工具包中的</w:t>
      </w:r>
      <w:r w:rsidRPr="006A2A92">
        <w:rPr>
          <w:lang w:val="zh-CN" w:bidi="zh-CN"/>
        </w:rPr>
        <w:t xml:space="preserve"> </w:t>
      </w:r>
      <w:hyperlink r:id="rId14" w:history="1">
        <w:r w:rsidR="004935BF">
          <w:rPr>
            <w:rStyle w:val="Hyperlink"/>
            <w:lang w:val="zh-CN" w:bidi="zh-CN"/>
          </w:rPr>
          <w:t>PostProcess</w:t>
        </w:r>
      </w:hyperlink>
      <w:r w:rsidRPr="006A2A92">
        <w:rPr>
          <w:lang w:val="zh-CN" w:bidi="zh-CN"/>
        </w:rPr>
        <w:t xml:space="preserve"> </w:t>
      </w:r>
      <w:r w:rsidRPr="006A2A92">
        <w:rPr>
          <w:lang w:val="zh-CN" w:bidi="zh-CN"/>
        </w:rPr>
        <w:t>类。</w:t>
      </w:r>
    </w:p>
    <w:p w14:paraId="5D9C54A6" w14:textId="77777777" w:rsidR="006A2A92" w:rsidRDefault="006A2A92" w:rsidP="006A2A92"/>
    <w:p w14:paraId="516853CC" w14:textId="77777777" w:rsidR="006A2A92" w:rsidRDefault="006A2A92" w:rsidP="006A2A92">
      <w:r w:rsidRPr="006A2A92">
        <w:rPr>
          <w:lang w:val="zh-CN" w:bidi="zh-CN"/>
        </w:rPr>
        <w:t>若要显示</w:t>
      </w:r>
      <w:r w:rsidRPr="006A2A92">
        <w:rPr>
          <w:lang w:val="zh-CN" w:bidi="zh-CN"/>
        </w:rPr>
        <w:t xml:space="preserve"> HDR </w:t>
      </w:r>
      <w:r w:rsidRPr="006A2A92">
        <w:rPr>
          <w:lang w:val="zh-CN" w:bidi="zh-CN"/>
        </w:rPr>
        <w:t>信号，可使用着色器将</w:t>
      </w:r>
      <w:r w:rsidRPr="006A2A92">
        <w:rPr>
          <w:lang w:val="zh-CN" w:bidi="zh-CN"/>
        </w:rPr>
        <w:t xml:space="preserve"> Rec.709 </w:t>
      </w:r>
      <w:r w:rsidRPr="006A2A92">
        <w:rPr>
          <w:lang w:val="zh-CN" w:bidi="zh-CN"/>
        </w:rPr>
        <w:t>色彩三原色旋转到</w:t>
      </w:r>
      <w:r w:rsidRPr="006A2A92">
        <w:rPr>
          <w:lang w:val="zh-CN" w:bidi="zh-CN"/>
        </w:rPr>
        <w:t xml:space="preserve"> Rec.2020 </w:t>
      </w:r>
      <w:r w:rsidRPr="006A2A92">
        <w:rPr>
          <w:lang w:val="zh-CN" w:bidi="zh-CN"/>
        </w:rPr>
        <w:t>色彩三原色，然后应用</w:t>
      </w:r>
      <w:r w:rsidRPr="006A2A92">
        <w:rPr>
          <w:lang w:val="zh-CN" w:bidi="zh-CN"/>
        </w:rPr>
        <w:t xml:space="preserve"> ST.2084 </w:t>
      </w:r>
      <w:r w:rsidRPr="006A2A92">
        <w:rPr>
          <w:lang w:val="zh-CN" w:bidi="zh-CN"/>
        </w:rPr>
        <w:t>曲线以输出</w:t>
      </w:r>
      <w:r w:rsidRPr="006A2A92">
        <w:rPr>
          <w:lang w:val="zh-CN" w:bidi="zh-CN"/>
        </w:rPr>
        <w:t xml:space="preserve"> HDR </w:t>
      </w:r>
      <w:r w:rsidRPr="006A2A92">
        <w:rPr>
          <w:lang w:val="zh-CN" w:bidi="zh-CN"/>
        </w:rPr>
        <w:t>显示器可以正确显示的</w:t>
      </w:r>
      <w:r w:rsidRPr="006A2A92">
        <w:rPr>
          <w:lang w:val="zh-CN" w:bidi="zh-CN"/>
        </w:rPr>
        <w:t xml:space="preserve"> 10 </w:t>
      </w:r>
      <w:r w:rsidRPr="006A2A92">
        <w:rPr>
          <w:lang w:val="zh-CN" w:bidi="zh-CN"/>
        </w:rPr>
        <w:t>位值。</w:t>
      </w:r>
      <w:r w:rsidRPr="006A2A92">
        <w:rPr>
          <w:lang w:val="zh-CN" w:bidi="zh-CN"/>
        </w:rPr>
        <w:t xml:space="preserve">HDR </w:t>
      </w:r>
      <w:r w:rsidRPr="006A2A92">
        <w:rPr>
          <w:lang w:val="zh-CN" w:bidi="zh-CN"/>
        </w:rPr>
        <w:t>显示器上输出的白度和亮度将由所选的定义</w:t>
      </w:r>
      <w:r w:rsidRPr="006A2A92">
        <w:rPr>
          <w:lang w:val="zh-CN" w:bidi="zh-CN"/>
        </w:rPr>
        <w:t>“</w:t>
      </w:r>
      <w:r w:rsidRPr="006A2A92">
        <w:rPr>
          <w:lang w:val="zh-CN" w:bidi="zh-CN"/>
        </w:rPr>
        <w:t>纸白色</w:t>
      </w:r>
      <w:r w:rsidRPr="006A2A92">
        <w:rPr>
          <w:lang w:val="zh-CN" w:bidi="zh-CN"/>
        </w:rPr>
        <w:t>”</w:t>
      </w:r>
      <w:r w:rsidRPr="006A2A92">
        <w:rPr>
          <w:lang w:val="zh-CN" w:bidi="zh-CN"/>
        </w:rPr>
        <w:t>的</w:t>
      </w:r>
      <w:r w:rsidRPr="006A2A92">
        <w:rPr>
          <w:lang w:val="zh-CN" w:bidi="zh-CN"/>
        </w:rPr>
        <w:t xml:space="preserve">nit </w:t>
      </w:r>
      <w:r w:rsidRPr="006A2A92">
        <w:rPr>
          <w:lang w:val="zh-CN" w:bidi="zh-CN"/>
        </w:rPr>
        <w:t>值决定。</w:t>
      </w:r>
      <w:r w:rsidRPr="006A2A92">
        <w:rPr>
          <w:lang w:val="zh-CN" w:bidi="zh-CN"/>
        </w:rPr>
        <w:t xml:space="preserve">SDR </w:t>
      </w:r>
      <w:r w:rsidRPr="006A2A92">
        <w:rPr>
          <w:lang w:val="zh-CN" w:bidi="zh-CN"/>
        </w:rPr>
        <w:t>规格将</w:t>
      </w:r>
      <w:r w:rsidRPr="006A2A92">
        <w:rPr>
          <w:lang w:val="zh-CN" w:bidi="zh-CN"/>
        </w:rPr>
        <w:t>“</w:t>
      </w:r>
      <w:r w:rsidRPr="006A2A92">
        <w:rPr>
          <w:lang w:val="zh-CN" w:bidi="zh-CN"/>
        </w:rPr>
        <w:t>纸白色</w:t>
      </w:r>
      <w:r w:rsidRPr="006A2A92">
        <w:rPr>
          <w:lang w:val="zh-CN" w:bidi="zh-CN"/>
        </w:rPr>
        <w:t>”</w:t>
      </w:r>
      <w:r w:rsidRPr="006A2A92">
        <w:rPr>
          <w:lang w:val="zh-CN" w:bidi="zh-CN"/>
        </w:rPr>
        <w:t>定义为</w:t>
      </w:r>
      <w:r w:rsidRPr="006A2A92">
        <w:rPr>
          <w:lang w:val="zh-CN" w:bidi="zh-CN"/>
        </w:rPr>
        <w:t xml:space="preserve"> 80nit</w:t>
      </w:r>
      <w:r w:rsidRPr="006A2A92">
        <w:rPr>
          <w:lang w:val="zh-CN" w:bidi="zh-CN"/>
        </w:rPr>
        <w:t>，但这适用于黑暗环境下的影院。如今，使用者已习惯了亮得多的白色，例如智能手机的亮度约为</w:t>
      </w:r>
      <w:r w:rsidRPr="006A2A92">
        <w:rPr>
          <w:lang w:val="zh-CN" w:bidi="zh-CN"/>
        </w:rPr>
        <w:t xml:space="preserve"> 550 nit</w:t>
      </w:r>
      <w:r w:rsidRPr="006A2A92">
        <w:rPr>
          <w:lang w:val="zh-CN" w:bidi="zh-CN"/>
        </w:rPr>
        <w:t>（以便在阳光下观看）、电脑显示器的亮度为</w:t>
      </w:r>
      <w:r w:rsidRPr="006A2A92">
        <w:rPr>
          <w:lang w:val="zh-CN" w:bidi="zh-CN"/>
        </w:rPr>
        <w:t xml:space="preserve"> 200-300 nit</w:t>
      </w:r>
      <w:r w:rsidRPr="006A2A92">
        <w:rPr>
          <w:lang w:val="zh-CN" w:bidi="zh-CN"/>
        </w:rPr>
        <w:t>、</w:t>
      </w:r>
      <w:r w:rsidRPr="006A2A92">
        <w:rPr>
          <w:lang w:val="zh-CN" w:bidi="zh-CN"/>
        </w:rPr>
        <w:t xml:space="preserve">SDR </w:t>
      </w:r>
      <w:r w:rsidRPr="006A2A92">
        <w:rPr>
          <w:lang w:val="zh-CN" w:bidi="zh-CN"/>
        </w:rPr>
        <w:t>电视的亮度为</w:t>
      </w:r>
      <w:r w:rsidRPr="006A2A92">
        <w:rPr>
          <w:lang w:val="zh-CN" w:bidi="zh-CN"/>
        </w:rPr>
        <w:t xml:space="preserve"> 120-150 nit </w:t>
      </w:r>
      <w:r w:rsidRPr="006A2A92">
        <w:rPr>
          <w:lang w:val="zh-CN" w:bidi="zh-CN"/>
        </w:rPr>
        <w:t>等。可在示例中使用向上</w:t>
      </w:r>
      <w:r w:rsidRPr="006A2A92">
        <w:rPr>
          <w:lang w:val="zh-CN" w:bidi="zh-CN"/>
        </w:rPr>
        <w:t>/</w:t>
      </w:r>
      <w:r w:rsidRPr="006A2A92">
        <w:rPr>
          <w:lang w:val="zh-CN" w:bidi="zh-CN"/>
        </w:rPr>
        <w:t>向下方向键调节</w:t>
      </w:r>
      <w:r w:rsidRPr="006A2A92">
        <w:rPr>
          <w:lang w:val="zh-CN" w:bidi="zh-CN"/>
        </w:rPr>
        <w:t>“</w:t>
      </w:r>
      <w:r w:rsidRPr="006A2A92">
        <w:rPr>
          <w:lang w:val="zh-CN" w:bidi="zh-CN"/>
        </w:rPr>
        <w:t>纸白色</w:t>
      </w:r>
      <w:r w:rsidRPr="006A2A92">
        <w:rPr>
          <w:lang w:val="zh-CN" w:bidi="zh-CN"/>
        </w:rPr>
        <w:t>”</w:t>
      </w:r>
      <w:r w:rsidRPr="006A2A92">
        <w:rPr>
          <w:lang w:val="zh-CN" w:bidi="zh-CN"/>
        </w:rPr>
        <w:t>的</w:t>
      </w:r>
      <w:r w:rsidRPr="006A2A92">
        <w:rPr>
          <w:lang w:val="zh-CN" w:bidi="zh-CN"/>
        </w:rPr>
        <w:t xml:space="preserve"> nit</w:t>
      </w:r>
      <w:r w:rsidRPr="006A2A92">
        <w:rPr>
          <w:lang w:val="zh-CN" w:bidi="zh-CN"/>
        </w:rPr>
        <w:t>。在白色旁边显示亮度值可能会欺骗眼睛，所以如果只想看到</w:t>
      </w:r>
      <w:r w:rsidRPr="006A2A92">
        <w:rPr>
          <w:lang w:val="zh-CN" w:bidi="zh-CN"/>
        </w:rPr>
        <w:t>“</w:t>
      </w:r>
      <w:r w:rsidRPr="006A2A92">
        <w:rPr>
          <w:lang w:val="zh-CN" w:bidi="zh-CN"/>
        </w:rPr>
        <w:t>纸白色</w:t>
      </w:r>
      <w:r w:rsidRPr="006A2A92">
        <w:rPr>
          <w:lang w:val="zh-CN" w:bidi="zh-CN"/>
        </w:rPr>
        <w:t>”</w:t>
      </w:r>
      <w:r w:rsidRPr="006A2A92">
        <w:rPr>
          <w:lang w:val="zh-CN" w:bidi="zh-CN"/>
        </w:rPr>
        <w:t>块，可以使用</w:t>
      </w:r>
      <w:r w:rsidRPr="006A2A92">
        <w:rPr>
          <w:lang w:val="zh-CN" w:bidi="zh-CN"/>
        </w:rPr>
        <w:t xml:space="preserve"> A </w:t>
      </w:r>
      <w:r w:rsidRPr="006A2A92">
        <w:rPr>
          <w:lang w:val="zh-CN" w:bidi="zh-CN"/>
        </w:rPr>
        <w:t>按钮进行切换。</w:t>
      </w:r>
    </w:p>
    <w:p w14:paraId="2A639DBD" w14:textId="77777777" w:rsidR="006A2A92" w:rsidRDefault="006A2A92" w:rsidP="006A2A92"/>
    <w:p w14:paraId="4AA73353" w14:textId="77777777" w:rsidR="006A2A92" w:rsidRDefault="006A2A92" w:rsidP="006A2A92">
      <w:r>
        <w:rPr>
          <w:lang w:val="zh-CN" w:bidi="zh-CN"/>
        </w:rPr>
        <w:t>此示例有两种模式：</w:t>
      </w:r>
    </w:p>
    <w:p w14:paraId="0B68E4ED" w14:textId="77777777" w:rsidR="006A2A92" w:rsidRDefault="006A2A92" w:rsidP="006A2A92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在场景中渲染具有特定值的块</w:t>
      </w:r>
    </w:p>
    <w:p w14:paraId="52230F8B" w14:textId="77777777" w:rsidR="006A2A92" w:rsidRDefault="006A2A92" w:rsidP="006A2A92">
      <w:pPr>
        <w:pStyle w:val="ListParagraph"/>
        <w:numPr>
          <w:ilvl w:val="0"/>
          <w:numId w:val="16"/>
        </w:numPr>
      </w:pPr>
      <w:r>
        <w:rPr>
          <w:lang w:val="zh-CN" w:bidi="zh-CN"/>
        </w:rPr>
        <w:t>使用特定亮度值</w:t>
      </w:r>
      <w:r>
        <w:rPr>
          <w:lang w:val="zh-CN" w:bidi="zh-CN"/>
        </w:rPr>
        <w:t xml:space="preserve"> (nit) </w:t>
      </w:r>
      <w:r>
        <w:rPr>
          <w:lang w:val="zh-CN" w:bidi="zh-CN"/>
        </w:rPr>
        <w:t>渲染</w:t>
      </w:r>
      <w:r>
        <w:rPr>
          <w:lang w:val="zh-CN" w:bidi="zh-CN"/>
        </w:rPr>
        <w:t xml:space="preserve"> ST.2084 </w:t>
      </w:r>
      <w:r>
        <w:rPr>
          <w:lang w:val="zh-CN" w:bidi="zh-CN"/>
        </w:rPr>
        <w:t>曲线</w:t>
      </w:r>
    </w:p>
    <w:p w14:paraId="46214A64" w14:textId="53AAF61C" w:rsidR="00726285" w:rsidRDefault="00276B88" w:rsidP="00726285">
      <w:pPr>
        <w:pStyle w:val="Heading1"/>
      </w:pPr>
      <w:r>
        <w:rPr>
          <w:lang w:val="zh-CN" w:bidi="zh-CN"/>
        </w:rPr>
        <w:t>已知问题</w:t>
      </w:r>
    </w:p>
    <w:p w14:paraId="60B081E9" w14:textId="1BD9D14D" w:rsidR="00276B88" w:rsidRPr="00276B88" w:rsidRDefault="00276B88" w:rsidP="00276B88">
      <w:r>
        <w:rPr>
          <w:lang w:val="zh-CN" w:bidi="zh-CN"/>
        </w:rPr>
        <w:t>请注意，这里的</w:t>
      </w:r>
      <w:r>
        <w:rPr>
          <w:lang w:val="zh-CN" w:bidi="zh-CN"/>
        </w:rPr>
        <w:t xml:space="preserve"> Project Scarlett </w:t>
      </w:r>
      <w:r>
        <w:rPr>
          <w:lang w:val="zh-CN" w:bidi="zh-CN"/>
        </w:rPr>
        <w:t>实现是有效的，但未来的更新将提供一种更简单的方法来使用自动色调映射。这将允许</w:t>
      </w:r>
      <w:r>
        <w:rPr>
          <w:lang w:val="zh-CN" w:bidi="zh-CN"/>
        </w:rPr>
        <w:t xml:space="preserve"> Project Scarlett </w:t>
      </w:r>
      <w:r>
        <w:rPr>
          <w:lang w:val="zh-CN" w:bidi="zh-CN"/>
        </w:rPr>
        <w:t>标题仅显示</w:t>
      </w:r>
      <w:r>
        <w:rPr>
          <w:lang w:val="zh-CN" w:bidi="zh-CN"/>
        </w:rPr>
        <w:t xml:space="preserve"> HDR </w:t>
      </w:r>
      <w:r>
        <w:rPr>
          <w:lang w:val="zh-CN" w:bidi="zh-CN"/>
        </w:rPr>
        <w:t>图像，</w:t>
      </w:r>
      <w:r>
        <w:rPr>
          <w:lang w:val="zh-CN" w:bidi="zh-CN"/>
        </w:rPr>
        <w:t xml:space="preserve">SDR </w:t>
      </w:r>
      <w:r>
        <w:rPr>
          <w:lang w:val="zh-CN" w:bidi="zh-CN"/>
        </w:rPr>
        <w:t>输出和</w:t>
      </w:r>
      <w:r>
        <w:rPr>
          <w:lang w:val="zh-CN" w:bidi="zh-CN"/>
        </w:rPr>
        <w:t xml:space="preserve"> GameDVR </w:t>
      </w:r>
      <w:r>
        <w:rPr>
          <w:lang w:val="zh-CN" w:bidi="zh-CN"/>
        </w:rPr>
        <w:t>将完全由系统处理。</w:t>
      </w:r>
    </w:p>
    <w:p w14:paraId="4EF7CDFD" w14:textId="038CA7CF" w:rsidR="00276B88" w:rsidRDefault="00276B88" w:rsidP="00276B88">
      <w:pPr>
        <w:pStyle w:val="Heading1"/>
        <w:rPr>
          <w:rFonts w:cs="Segoe UI"/>
          <w:szCs w:val="20"/>
        </w:rPr>
      </w:pPr>
      <w:r>
        <w:rPr>
          <w:lang w:val="zh-CN" w:bidi="zh-CN"/>
        </w:rPr>
        <w:t>隐私声明</w:t>
      </w:r>
    </w:p>
    <w:p w14:paraId="062FA72A" w14:textId="1E5F7427" w:rsidR="00726285" w:rsidRDefault="00726285" w:rsidP="00726285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在编译和运行示例时，示例可执行文件的文件名将发送给</w:t>
      </w:r>
      <w:r>
        <w:rPr>
          <w:rFonts w:cs="Segoe UI"/>
          <w:szCs w:val="20"/>
          <w:lang w:val="zh-CN" w:bidi="zh-CN"/>
        </w:rPr>
        <w:t xml:space="preserve"> Microsoft</w:t>
      </w:r>
      <w:r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>
        <w:rPr>
          <w:rFonts w:cs="Segoe UI"/>
          <w:szCs w:val="20"/>
          <w:lang w:val="zh-CN" w:bidi="zh-CN"/>
        </w:rPr>
        <w:t xml:space="preserve"> Main.cpp </w:t>
      </w:r>
      <w:r>
        <w:rPr>
          <w:rFonts w:cs="Segoe UI"/>
          <w:szCs w:val="20"/>
          <w:lang w:val="zh-CN" w:bidi="zh-CN"/>
        </w:rPr>
        <w:t>中标记为</w:t>
      </w:r>
      <w:r>
        <w:rPr>
          <w:rFonts w:cs="Segoe UI"/>
          <w:szCs w:val="20"/>
          <w:lang w:val="zh-CN" w:bidi="zh-CN"/>
        </w:rPr>
        <w:t>“</w:t>
      </w:r>
      <w:r>
        <w:rPr>
          <w:rFonts w:cs="Segoe UI"/>
          <w:szCs w:val="20"/>
          <w:lang w:val="zh-CN" w:bidi="zh-CN"/>
        </w:rPr>
        <w:t>示例使用遥测</w:t>
      </w:r>
      <w:r>
        <w:rPr>
          <w:rFonts w:cs="Segoe UI"/>
          <w:szCs w:val="20"/>
          <w:lang w:val="zh-CN" w:bidi="zh-CN"/>
        </w:rPr>
        <w:t>”</w:t>
      </w:r>
      <w:r>
        <w:rPr>
          <w:rFonts w:cs="Segoe UI"/>
          <w:szCs w:val="20"/>
          <w:lang w:val="zh-CN" w:bidi="zh-CN"/>
        </w:rPr>
        <w:t>的代码块。</w:t>
      </w:r>
    </w:p>
    <w:p w14:paraId="6D2C98A6" w14:textId="77777777" w:rsidR="00726285" w:rsidRDefault="00726285" w:rsidP="00726285">
      <w:pPr>
        <w:rPr>
          <w:rFonts w:cs="Segoe UI"/>
          <w:szCs w:val="20"/>
        </w:rPr>
      </w:pPr>
    </w:p>
    <w:p w14:paraId="62E90074" w14:textId="3A8D1C92" w:rsidR="00726285" w:rsidRDefault="00726285" w:rsidP="00726285">
      <w:pPr>
        <w:rPr>
          <w:rFonts w:cs="Segoe UI"/>
          <w:szCs w:val="20"/>
        </w:rPr>
      </w:pPr>
      <w:r>
        <w:rPr>
          <w:rFonts w:cs="Segoe UI"/>
          <w:szCs w:val="20"/>
          <w:lang w:val="zh-CN" w:bidi="zh-CN"/>
        </w:rPr>
        <w:t>有关</w:t>
      </w:r>
      <w:r>
        <w:rPr>
          <w:rFonts w:cs="Segoe UI"/>
          <w:szCs w:val="20"/>
          <w:lang w:val="zh-CN" w:bidi="zh-CN"/>
        </w:rPr>
        <w:t xml:space="preserve"> Microsoft </w:t>
      </w:r>
      <w:r>
        <w:rPr>
          <w:rFonts w:cs="Segoe UI"/>
          <w:szCs w:val="20"/>
          <w:lang w:val="zh-CN" w:bidi="zh-CN"/>
        </w:rPr>
        <w:t>的一般隐私策略的详细信息，请参阅《</w:t>
      </w:r>
      <w:hyperlink r:id="rId15" w:history="1">
        <w:r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>
        <w:rPr>
          <w:rFonts w:cs="Segoe UI"/>
          <w:szCs w:val="20"/>
          <w:lang w:val="zh-CN" w:bidi="zh-CN"/>
        </w:rPr>
        <w:t>》。</w:t>
      </w:r>
    </w:p>
    <w:p w14:paraId="1FC34E90" w14:textId="77777777" w:rsidR="00726285" w:rsidRPr="00331038" w:rsidRDefault="00726285" w:rsidP="00331038"/>
    <w:sectPr w:rsidR="00726285" w:rsidRPr="00331038" w:rsidSect="00DD79D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0EC1" w14:textId="77777777" w:rsidR="007844ED" w:rsidRDefault="007844ED" w:rsidP="0074610F">
      <w:r>
        <w:separator/>
      </w:r>
    </w:p>
  </w:endnote>
  <w:endnote w:type="continuationSeparator" w:id="0">
    <w:p w14:paraId="09FCE4E7" w14:textId="77777777" w:rsidR="007844ED" w:rsidRDefault="007844E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91C8" w14:textId="77777777" w:rsidR="0008169F" w:rsidRDefault="0008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4093CB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38C43B" w14:textId="70C68187" w:rsidR="00843058" w:rsidRPr="00097CCA" w:rsidRDefault="00281D12" w:rsidP="00DD79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A155C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0BE71CBB" wp14:editId="3C45E98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3CCD4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F32788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169D4F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D8346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04A31" w14:textId="5B0A53F6" w:rsidR="00843058" w:rsidRPr="00097CCA" w:rsidRDefault="00281D12" w:rsidP="0065522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A155C6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5B4F9CD" wp14:editId="1AE01D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DB0EE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D79D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085EFD8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1025" w14:textId="77777777" w:rsidR="007844ED" w:rsidRDefault="007844ED" w:rsidP="0074610F">
      <w:r>
        <w:separator/>
      </w:r>
    </w:p>
  </w:footnote>
  <w:footnote w:type="continuationSeparator" w:id="0">
    <w:p w14:paraId="7B89F4CF" w14:textId="77777777" w:rsidR="007844ED" w:rsidRDefault="007844E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0F8E" w14:textId="77777777" w:rsidR="0008169F" w:rsidRDefault="00081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A4C0" w14:textId="77777777" w:rsidR="0008169F" w:rsidRDefault="000816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C5C251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DC0BA5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1E5F13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AB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8D3FD" w14:textId="77777777" w:rsidR="000B6D5E" w:rsidRPr="000B6D5E" w:rsidRDefault="000B6D5E" w:rsidP="000B6D5E"/>
              <w:p w14:paraId="14495E17" w14:textId="77777777" w:rsidR="000B6D5E" w:rsidRDefault="000B6D5E" w:rsidP="000B6D5E"/>
              <w:p w14:paraId="5DAB4F4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D36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E15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0988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B69D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C79A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8E07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533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7F8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A109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038E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8E92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977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51E5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E482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AB6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B2B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3495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6C1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4B6D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FD6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4BB4FE8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11CD7B4" wp14:editId="2A8BF14E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94860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202E8D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D629F0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B7B61D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764C1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F6ADF3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54AC985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6075F4E" w14:textId="77777777" w:rsidR="00CF3729" w:rsidRDefault="00CF3729">
    <w:pPr>
      <w:pStyle w:val="Header"/>
      <w:rPr>
        <w:sz w:val="2"/>
        <w:szCs w:val="2"/>
      </w:rPr>
    </w:pPr>
  </w:p>
  <w:p w14:paraId="13E03B09" w14:textId="77777777" w:rsidR="000B6D5E" w:rsidRDefault="000B6D5E">
    <w:pPr>
      <w:pStyle w:val="Header"/>
      <w:rPr>
        <w:sz w:val="2"/>
        <w:szCs w:val="2"/>
      </w:rPr>
    </w:pPr>
  </w:p>
  <w:p w14:paraId="1C4579F3" w14:textId="77777777" w:rsidR="000B6D5E" w:rsidRDefault="000B6D5E">
    <w:pPr>
      <w:pStyle w:val="Header"/>
      <w:rPr>
        <w:sz w:val="2"/>
        <w:szCs w:val="2"/>
      </w:rPr>
    </w:pPr>
  </w:p>
  <w:p w14:paraId="3064232A" w14:textId="77777777" w:rsidR="000B6D5E" w:rsidRDefault="000B6D5E">
    <w:pPr>
      <w:pStyle w:val="Header"/>
      <w:rPr>
        <w:sz w:val="2"/>
        <w:szCs w:val="2"/>
      </w:rPr>
    </w:pPr>
  </w:p>
  <w:p w14:paraId="0CA5CB77" w14:textId="77777777" w:rsidR="000B6D5E" w:rsidRDefault="000B6D5E">
    <w:pPr>
      <w:pStyle w:val="Header"/>
      <w:rPr>
        <w:sz w:val="2"/>
        <w:szCs w:val="2"/>
      </w:rPr>
    </w:pPr>
  </w:p>
  <w:p w14:paraId="4F7B5977" w14:textId="77777777" w:rsidR="000B6D5E" w:rsidRDefault="000B6D5E">
    <w:pPr>
      <w:pStyle w:val="Header"/>
      <w:rPr>
        <w:sz w:val="2"/>
        <w:szCs w:val="2"/>
      </w:rPr>
    </w:pPr>
  </w:p>
  <w:p w14:paraId="4A23FDC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703E"/>
    <w:rsid w:val="000549EA"/>
    <w:rsid w:val="00054F80"/>
    <w:rsid w:val="0008169F"/>
    <w:rsid w:val="0008453D"/>
    <w:rsid w:val="00097CCA"/>
    <w:rsid w:val="000B6D5E"/>
    <w:rsid w:val="00150ED8"/>
    <w:rsid w:val="001B2116"/>
    <w:rsid w:val="001C132C"/>
    <w:rsid w:val="001F34F6"/>
    <w:rsid w:val="001F5BB0"/>
    <w:rsid w:val="001F5D9E"/>
    <w:rsid w:val="00203869"/>
    <w:rsid w:val="002275C6"/>
    <w:rsid w:val="0024713D"/>
    <w:rsid w:val="002741D2"/>
    <w:rsid w:val="002748E9"/>
    <w:rsid w:val="00276B88"/>
    <w:rsid w:val="00281D12"/>
    <w:rsid w:val="00287A4C"/>
    <w:rsid w:val="00294A1B"/>
    <w:rsid w:val="002A7D5A"/>
    <w:rsid w:val="002C7D5A"/>
    <w:rsid w:val="002E0773"/>
    <w:rsid w:val="002E7BBB"/>
    <w:rsid w:val="00303D44"/>
    <w:rsid w:val="00321170"/>
    <w:rsid w:val="00331038"/>
    <w:rsid w:val="00337BF1"/>
    <w:rsid w:val="00355166"/>
    <w:rsid w:val="003D3EF7"/>
    <w:rsid w:val="00410B1C"/>
    <w:rsid w:val="00425592"/>
    <w:rsid w:val="00472E21"/>
    <w:rsid w:val="004935BF"/>
    <w:rsid w:val="004B7DDA"/>
    <w:rsid w:val="005640ED"/>
    <w:rsid w:val="00575766"/>
    <w:rsid w:val="00575F36"/>
    <w:rsid w:val="00585527"/>
    <w:rsid w:val="005B4DA9"/>
    <w:rsid w:val="005B6144"/>
    <w:rsid w:val="005E3DA1"/>
    <w:rsid w:val="005E3EE5"/>
    <w:rsid w:val="00655228"/>
    <w:rsid w:val="006A2A92"/>
    <w:rsid w:val="006A532D"/>
    <w:rsid w:val="006B1569"/>
    <w:rsid w:val="006B7433"/>
    <w:rsid w:val="006D4B97"/>
    <w:rsid w:val="006D506E"/>
    <w:rsid w:val="00707E22"/>
    <w:rsid w:val="00726285"/>
    <w:rsid w:val="0074610F"/>
    <w:rsid w:val="00757904"/>
    <w:rsid w:val="00760396"/>
    <w:rsid w:val="007624A4"/>
    <w:rsid w:val="00764B3A"/>
    <w:rsid w:val="00765885"/>
    <w:rsid w:val="00774A4C"/>
    <w:rsid w:val="007806DC"/>
    <w:rsid w:val="007844ED"/>
    <w:rsid w:val="007A0848"/>
    <w:rsid w:val="007A3081"/>
    <w:rsid w:val="007C448C"/>
    <w:rsid w:val="00802E05"/>
    <w:rsid w:val="00843058"/>
    <w:rsid w:val="008550D0"/>
    <w:rsid w:val="008808CB"/>
    <w:rsid w:val="00886E89"/>
    <w:rsid w:val="00887700"/>
    <w:rsid w:val="008A63C3"/>
    <w:rsid w:val="00917557"/>
    <w:rsid w:val="00966282"/>
    <w:rsid w:val="009835DB"/>
    <w:rsid w:val="00985949"/>
    <w:rsid w:val="00985FDA"/>
    <w:rsid w:val="00987A88"/>
    <w:rsid w:val="00A02D95"/>
    <w:rsid w:val="00A155C6"/>
    <w:rsid w:val="00A6042E"/>
    <w:rsid w:val="00AA4DBF"/>
    <w:rsid w:val="00AE567F"/>
    <w:rsid w:val="00B15AAA"/>
    <w:rsid w:val="00B62C6B"/>
    <w:rsid w:val="00B90463"/>
    <w:rsid w:val="00BC1F23"/>
    <w:rsid w:val="00CF3729"/>
    <w:rsid w:val="00DC7DFC"/>
    <w:rsid w:val="00DD0606"/>
    <w:rsid w:val="00DD79DA"/>
    <w:rsid w:val="00E03C4C"/>
    <w:rsid w:val="00E16AF8"/>
    <w:rsid w:val="00E6273F"/>
    <w:rsid w:val="00ED794E"/>
    <w:rsid w:val="00EE2624"/>
    <w:rsid w:val="00F0071C"/>
    <w:rsid w:val="00F1266A"/>
    <w:rsid w:val="00F32788"/>
    <w:rsid w:val="00F40AC7"/>
    <w:rsid w:val="00F56FB3"/>
    <w:rsid w:val="00F70459"/>
    <w:rsid w:val="00F70F4D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E07FF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ka.ms/hdr-on-xbox-on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icrosoft/DirectXTK12/wiki/DeviceResource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privacy.microsoft.com/en-us/privacystatemen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Microsoft/DirectXTK12/wiki/PostProcess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6A3FD6-AA87-47E8-90E2-67CDC012B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885d2-d345-4649-8ae4-a7af278f0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0AEBE-C161-4D0C-8D40-5570403FC845}">
  <ds:schemaRefs>
    <ds:schemaRef ds:uri="http://schemas.microsoft.com/office/2006/metadata/properties"/>
    <ds:schemaRef ds:uri="http://schemas.microsoft.com/office/infopath/2007/PartnerControls"/>
    <ds:schemaRef ds:uri="d12885d2-d345-4649-8ae4-a7af278f0683"/>
  </ds:schemaRefs>
</ds:datastoreItem>
</file>

<file path=customXml/itemProps3.xml><?xml version="1.0" encoding="utf-8"?>
<ds:datastoreItem xmlns:ds="http://schemas.openxmlformats.org/officeDocument/2006/customXml" ds:itemID="{354AC37A-5BE3-476E-8890-53AC6CBD297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Claude Marais</cp:lastModifiedBy>
  <cp:revision>47</cp:revision>
  <dcterms:created xsi:type="dcterms:W3CDTF">2016-01-25T19:58:00Z</dcterms:created>
  <dcterms:modified xsi:type="dcterms:W3CDTF">2021-11-04T08:33:00Z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2017-10-26T20:44:04.1300938Z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