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8B1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11F2C4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42721F3" w14:textId="08651CB5" w:rsidR="00764B3A" w:rsidRPr="00AE567F" w:rsidRDefault="00C30BC1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直方图 CS 示例</w:t>
      </w:r>
    </w:p>
    <w:p w14:paraId="6F7020DA" w14:textId="2E34E750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rFonts w:ascii="Microsoft YaHei UI" w:eastAsia="Microsoft YaHei UI" w:hAnsi="Microsoft YaHei UI" w:cs="Microsoft YaHei UI"/>
          <w:i/>
          <w:lang w:val="zh-CN" w:bidi="zh-CN"/>
        </w:rPr>
        <w:t>此示例兼容于 Microsoft 游戏开发工具包（2020 年 8 月）</w:t>
      </w:r>
      <w:bookmarkEnd w:id="0"/>
    </w:p>
    <w:bookmarkEnd w:id="1"/>
    <w:p w14:paraId="51F9A400" w14:textId="6714ECF1" w:rsidR="009F6B2F" w:rsidRPr="004033E2" w:rsidRDefault="009F6B2F" w:rsidP="004033E2"/>
    <w:p w14:paraId="67BE2031" w14:textId="77777777" w:rsidR="00F85E61" w:rsidRDefault="00281D12" w:rsidP="00F85E61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59561ED7" w14:textId="74E6610C" w:rsidR="00C30BC1" w:rsidRDefault="00C30BC1" w:rsidP="00F85E61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此示例演示了在 Xbox 上计算着色器的一些性能注意事项。本质上，它演示了一种计算场景强度的 64 存储桶直方图的最佳方法，这样做（使用最佳实现）只需不到 0.2 毫秒。</w:t>
      </w:r>
    </w:p>
    <w:p w14:paraId="452607EA" w14:textId="77777777" w:rsidR="0074098B" w:rsidRPr="0074098B" w:rsidRDefault="0074098B" w:rsidP="0074098B"/>
    <w:p w14:paraId="5E105462" w14:textId="0EA48B94" w:rsidR="0074098B" w:rsidRPr="0074098B" w:rsidRDefault="0074098B" w:rsidP="0074098B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41D228A4" wp14:editId="129EE5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2A45F85F" w:rsidR="00897E16" w:rsidRDefault="00897E16" w:rsidP="00897E16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0020F8CD" w14:textId="0D519C2D" w:rsidR="00897E16" w:rsidRDefault="00897E16" w:rsidP="00897E16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0EE12924" w14:textId="6EF405CB" w:rsidR="00012B25" w:rsidRDefault="00012B25" w:rsidP="00897E16"/>
    <w:p w14:paraId="47ACEBE0" w14:textId="77777777" w:rsidR="00FB7173" w:rsidRDefault="00FB7173" w:rsidP="00FB7173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4CCD143F" w14:textId="4DC4AB6F" w:rsidR="00281D12" w:rsidRDefault="00281D12" w:rsidP="002E60F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icrosoft YaHei UI" w:eastAsia="Microsoft YaHei UI" w:hAnsi="Microsoft YaHei UI" w:cs="Microsoft YaHei UI"/>
                <w:lang w:val="zh-CN" w:bidi="zh-CN"/>
              </w:rPr>
              <w:t>操作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游戏手柄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6065F0E6" w:rsidR="00367524" w:rsidRPr="00C42F0D" w:rsidRDefault="00C30BC1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循环直方图技术</w:t>
            </w:r>
          </w:p>
        </w:tc>
        <w:tc>
          <w:tcPr>
            <w:tcW w:w="2158" w:type="pct"/>
          </w:tcPr>
          <w:p w14:paraId="4B5A3BEA" w14:textId="3680921F" w:rsidR="00367524" w:rsidRPr="00C42F0D" w:rsidRDefault="00A05838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A 按钮</w:t>
            </w:r>
          </w:p>
        </w:tc>
      </w:tr>
      <w:tr w:rsidR="00AA40CD" w14:paraId="7C942CE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lastRenderedPageBreak/>
              <w:t>旋转视图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左控制杆</w:t>
            </w:r>
          </w:p>
        </w:tc>
      </w:tr>
      <w:tr w:rsidR="00AA40CD" w14:paraId="63710907" w14:textId="77777777" w:rsidTr="00367524">
        <w:trPr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重置视图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左控制杆（单击）</w:t>
            </w:r>
          </w:p>
        </w:tc>
      </w:tr>
      <w:tr w:rsidR="00367524" w14:paraId="74C8075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退出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“视图”按钮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  <w:bookmarkStart w:id="2" w:name="ID2EMD"/>
      <w:bookmarkEnd w:id="2"/>
    </w:p>
    <w:p w14:paraId="2090E0C0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借助 CPU 编程，在跨多个核心分散工作时，我们通常会尝试让每个核心获取一个连续的数据块，以提高缓存利用率，从而提高性能。在 GPU 上实现算法时，很容易以相同的方式进行思考，因为在 HLSL 中，每个着色器程序似乎都在自己的空间中运行（类似于 CPU 上的线程）。但是，由于新式 GPU 的高度并行特性，情况远非如此。</w:t>
      </w:r>
    </w:p>
    <w:p w14:paraId="710AE5F6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Xbox One GPU 实际上是在成为波的线程组上工作的，最宽可达 64。这意味着每个线程都是一个更大的并行线程组的一部分，这些线程在 lockstep 中运行，它们都执行完全相同的指令。可以将此视为类似于 CPU 上设置的 64 浮点宽 SIMD 指令。</w:t>
      </w:r>
    </w:p>
    <w:p w14:paraId="4A2501C2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结果是，让每个单独的线程提取相邻的数据最终并不是最佳的。。理想的情况是合并读取 - 即相邻的线程读取相邻的数据。实际上，对于循环的每次迭代，线程组中的每个线程读取第 64 项。从示例中可以看出，此操作会取得更好的结果。</w:t>
      </w:r>
    </w:p>
    <w:p w14:paraId="08C13ED4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但是，读取顺序并不是此示例中的唯一阻碍因素。直方图是通过对直方图的每个存储桶执行原子添加生成的（总共有 64 个存储桶）。Xbox One GPU 执行这些操作的速度非常快（它们实际上是在 L2 缓存中执行的），但它仍然构成了一个限制因素。为了加快此运行的速度，我们可以利用极快的通过 HLSL 中组共享内存公开的内部 LDS 缓存。通过让每个线程在整个扫描线上运行，在 LDS 中生成结果，然后在末尾以原子方式添加最终结果。与主内存（或 L2）相比，LDS 中的原子操作要快得多，因此会显著提高性能。</w:t>
      </w:r>
    </w:p>
    <w:p w14:paraId="554DD909" w14:textId="43D919D2" w:rsid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icrosoft YaHei UI" w:eastAsia="Microsoft YaHei UI" w:hAnsi="Microsoft YaHei UI" w:cs="Microsoft YaHei UI"/>
          <w:color w:val="auto"/>
          <w:sz w:val="20"/>
          <w:szCs w:val="22"/>
          <w:lang w:val="zh-CN" w:bidi="zh-CN"/>
        </w:rPr>
        <w:t>有关此技术和其他内容的详细信息，请务必查看 Xfest 2013 中的计算着色器讲座。</w:t>
      </w:r>
    </w:p>
    <w:p w14:paraId="3689AA11" w14:textId="6F4215DE" w:rsidR="00367524" w:rsidRDefault="003D3EF7" w:rsidP="00C30BC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已知问题</w:t>
      </w:r>
    </w:p>
    <w:p w14:paraId="0D5D0875" w14:textId="3A81C9CC" w:rsidR="00330D3F" w:rsidRDefault="00C30BC1" w:rsidP="00367524">
      <w:r>
        <w:rPr>
          <w:rFonts w:ascii="Microsoft YaHei UI" w:eastAsia="Microsoft YaHei UI" w:hAnsi="Microsoft YaHei UI" w:cs="Microsoft YaHei UI"/>
          <w:lang w:val="zh-CN" w:bidi="zh-CN"/>
        </w:rPr>
        <w:t>无。</w:t>
      </w:r>
    </w:p>
    <w:p w14:paraId="451A2B8C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180578CC" w14:textId="055761B5" w:rsidR="00575766" w:rsidRDefault="00367524" w:rsidP="00331038">
      <w:r>
        <w:rPr>
          <w:rFonts w:ascii="Microsoft YaHei UI" w:eastAsia="Microsoft YaHei UI" w:hAnsi="Microsoft YaHei UI" w:cs="Microsoft YaHei UI"/>
          <w:lang w:val="zh-CN" w:bidi="zh-CN"/>
        </w:rPr>
        <w:t>示例的原始版本是使用基于 XSF 的框架编写的。2020 年 6 月，示例被改写为使用 ATG 示例模板。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317AA3E3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0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2EC7D" w14:textId="77777777" w:rsidR="00AB4CE8" w:rsidRDefault="00AB4CE8" w:rsidP="0074610F">
      <w:r>
        <w:separator/>
      </w:r>
    </w:p>
  </w:endnote>
  <w:endnote w:type="continuationSeparator" w:id="0">
    <w:p w14:paraId="2EFF506C" w14:textId="77777777" w:rsidR="00AB4CE8" w:rsidRDefault="00AB4C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638091F9" w:rsidR="00C30BC1" w:rsidRPr="00097CCA" w:rsidRDefault="00683D94" w:rsidP="00C30BC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86A10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示例：HistogramCS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E43A8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23C06CF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86A10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54CD1" w14:textId="77777777" w:rsidR="00AB4CE8" w:rsidRDefault="00AB4CE8" w:rsidP="0074610F">
      <w:r>
        <w:separator/>
      </w:r>
    </w:p>
  </w:footnote>
  <w:footnote w:type="continuationSeparator" w:id="0">
    <w:p w14:paraId="5F3FDE46" w14:textId="77777777" w:rsidR="00AB4CE8" w:rsidRDefault="00AB4C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B5DF9"/>
    <w:rsid w:val="000B6D5E"/>
    <w:rsid w:val="000E7436"/>
    <w:rsid w:val="00150ED8"/>
    <w:rsid w:val="00163C2D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C76F0"/>
    <w:rsid w:val="002E60F1"/>
    <w:rsid w:val="002E7BBB"/>
    <w:rsid w:val="00303D44"/>
    <w:rsid w:val="00321170"/>
    <w:rsid w:val="00330D3F"/>
    <w:rsid w:val="00331038"/>
    <w:rsid w:val="00355166"/>
    <w:rsid w:val="00365CAC"/>
    <w:rsid w:val="00367524"/>
    <w:rsid w:val="003D3EF7"/>
    <w:rsid w:val="004033E2"/>
    <w:rsid w:val="00425592"/>
    <w:rsid w:val="004B7DDA"/>
    <w:rsid w:val="0051043B"/>
    <w:rsid w:val="00534D27"/>
    <w:rsid w:val="005640ED"/>
    <w:rsid w:val="00575766"/>
    <w:rsid w:val="00575F36"/>
    <w:rsid w:val="00585527"/>
    <w:rsid w:val="005B4DA9"/>
    <w:rsid w:val="005E3DA1"/>
    <w:rsid w:val="0064164B"/>
    <w:rsid w:val="00665F29"/>
    <w:rsid w:val="00683D94"/>
    <w:rsid w:val="006A3533"/>
    <w:rsid w:val="006A532D"/>
    <w:rsid w:val="006B7433"/>
    <w:rsid w:val="006C29D7"/>
    <w:rsid w:val="006D0F5F"/>
    <w:rsid w:val="006F1510"/>
    <w:rsid w:val="006F7193"/>
    <w:rsid w:val="00707E22"/>
    <w:rsid w:val="0074098B"/>
    <w:rsid w:val="0074610F"/>
    <w:rsid w:val="00753582"/>
    <w:rsid w:val="007624A4"/>
    <w:rsid w:val="00764B3A"/>
    <w:rsid w:val="007806DC"/>
    <w:rsid w:val="00781521"/>
    <w:rsid w:val="00786A10"/>
    <w:rsid w:val="007A0848"/>
    <w:rsid w:val="007C4E79"/>
    <w:rsid w:val="008321E7"/>
    <w:rsid w:val="00843058"/>
    <w:rsid w:val="00874C55"/>
    <w:rsid w:val="00886E89"/>
    <w:rsid w:val="00887700"/>
    <w:rsid w:val="00897E16"/>
    <w:rsid w:val="008B0889"/>
    <w:rsid w:val="00914EDA"/>
    <w:rsid w:val="00917557"/>
    <w:rsid w:val="00937E3A"/>
    <w:rsid w:val="009432C5"/>
    <w:rsid w:val="00985949"/>
    <w:rsid w:val="00987A88"/>
    <w:rsid w:val="009E43A8"/>
    <w:rsid w:val="009F6B2F"/>
    <w:rsid w:val="00A0279B"/>
    <w:rsid w:val="00A05838"/>
    <w:rsid w:val="00A07523"/>
    <w:rsid w:val="00A6601B"/>
    <w:rsid w:val="00AA40CD"/>
    <w:rsid w:val="00AB4CE8"/>
    <w:rsid w:val="00AE567F"/>
    <w:rsid w:val="00B04AE5"/>
    <w:rsid w:val="00B15AAA"/>
    <w:rsid w:val="00B6260D"/>
    <w:rsid w:val="00B62C6B"/>
    <w:rsid w:val="00B73C7C"/>
    <w:rsid w:val="00BA1C0D"/>
    <w:rsid w:val="00BA75B3"/>
    <w:rsid w:val="00BC1F23"/>
    <w:rsid w:val="00BD788F"/>
    <w:rsid w:val="00BF699B"/>
    <w:rsid w:val="00C168FD"/>
    <w:rsid w:val="00C25F73"/>
    <w:rsid w:val="00C30BC1"/>
    <w:rsid w:val="00C328B5"/>
    <w:rsid w:val="00CA6201"/>
    <w:rsid w:val="00CB1FFE"/>
    <w:rsid w:val="00CC7440"/>
    <w:rsid w:val="00CF3729"/>
    <w:rsid w:val="00D8487C"/>
    <w:rsid w:val="00DC7DFC"/>
    <w:rsid w:val="00DD0606"/>
    <w:rsid w:val="00E16AF8"/>
    <w:rsid w:val="00E6273F"/>
    <w:rsid w:val="00EE2624"/>
    <w:rsid w:val="00F40AC7"/>
    <w:rsid w:val="00F70459"/>
    <w:rsid w:val="00F82E9A"/>
    <w:rsid w:val="00F85E61"/>
    <w:rsid w:val="00F90CDC"/>
    <w:rsid w:val="00FB5876"/>
    <w:rsid w:val="00FB717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4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2022-04-15T05:27:00Z</dcterms:created>
  <dcterms:modified xsi:type="dcterms:W3CDTF">2022-04-15T05:27:00Z</dcterms:modified>
</cp:coreProperties>
</file>