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27747FF6" w:rsidR="00764B3A" w:rsidRPr="00271FEC" w:rsidRDefault="00DB1AEE" w:rsidP="00AE567F">
      <w:pPr>
        <w:pStyle w:val="Title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Meshlet</w:t>
      </w:r>
      <w:proofErr w:type="spellEnd"/>
      <w:r>
        <w:rPr>
          <w:color w:val="538135" w:themeColor="accent6" w:themeShade="BF"/>
        </w:rPr>
        <w:t xml:space="preserve"> Instancing Sample</w:t>
      </w:r>
    </w:p>
    <w:p w14:paraId="59CF4E05" w14:textId="77777777" w:rsidR="009C300D" w:rsidRDefault="009C300D" w:rsidP="009C300D">
      <w:pPr>
        <w:rPr>
          <w:i/>
        </w:rPr>
      </w:pPr>
      <w:r>
        <w:rPr>
          <w:i/>
        </w:rPr>
        <w:t>This sample is compatible with the Microsoft Game Development Kit (June 2020) and Windows 10 (Version 2004) May 2020 Update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18347199" w14:textId="79012AA0" w:rsidR="00403357" w:rsidRDefault="00DB1AEE" w:rsidP="004651F1">
      <w:r>
        <w:t>The mesh shader pipeline foregoes</w:t>
      </w:r>
      <w:r w:rsidR="00333E15">
        <w:t xml:space="preserve"> the input assembler which</w:t>
      </w:r>
      <w:r>
        <w:t xml:space="preserve"> </w:t>
      </w:r>
      <w:r w:rsidR="00333E15">
        <w:t>is responsible for performing index processing and instancing fun</w:t>
      </w:r>
      <w:r w:rsidR="00102B7F">
        <w:t>c</w:t>
      </w:r>
      <w:r w:rsidR="00333E15">
        <w:t>tionality</w:t>
      </w:r>
      <w:r>
        <w:t>. For this reason</w:t>
      </w:r>
      <w:r w:rsidR="00333E15">
        <w:t>,</w:t>
      </w:r>
      <w:r>
        <w:t xml:space="preserve"> the mesh shader pipeline does not expose a high-level interface for instancing as in the traditional graphics pipeline </w:t>
      </w:r>
      <w:r w:rsidR="00A14D46">
        <w:t>– instead the developer is responsible for using mesh shader thread IDs to implement their own instancing solution.</w:t>
      </w:r>
    </w:p>
    <w:p w14:paraId="3CCD3A14" w14:textId="2839F825" w:rsidR="00A14D46" w:rsidRDefault="00A14D46" w:rsidP="004651F1"/>
    <w:p w14:paraId="75846E57" w14:textId="6B83CCD3" w:rsidR="008F13BB" w:rsidRDefault="00425D6B" w:rsidP="004651F1">
      <w:r>
        <w:t xml:space="preserve">GPUs dispatch workloads in fixed-size chunks of threads called </w:t>
      </w:r>
      <w:r>
        <w:rPr>
          <w:i/>
          <w:iCs/>
        </w:rPr>
        <w:t>waves</w:t>
      </w:r>
      <w:r>
        <w:t>.</w:t>
      </w:r>
      <w:r w:rsidR="009A2E92">
        <w:t xml:space="preserve"> This size is architecture-specific but is the minimum </w:t>
      </w:r>
      <w:proofErr w:type="gramStart"/>
      <w:r w:rsidR="009A2E92">
        <w:t>amount</w:t>
      </w:r>
      <w:proofErr w:type="gramEnd"/>
      <w:r w:rsidR="009A2E92">
        <w:t xml:space="preserve"> of threads which can be dispatched.</w:t>
      </w:r>
      <w:r>
        <w:t xml:space="preserve"> </w:t>
      </w:r>
      <w:r w:rsidR="00A14D46">
        <w:t>One feature that the input assembler performed was</w:t>
      </w:r>
      <w:r>
        <w:t xml:space="preserve"> packing these waves with work to optimize </w:t>
      </w:r>
      <w:r w:rsidR="009A2E92">
        <w:t xml:space="preserve">their </w:t>
      </w:r>
      <w:r>
        <w:t>thread utilization</w:t>
      </w:r>
      <w:r w:rsidR="00A14D46">
        <w:rPr>
          <w:i/>
          <w:iCs/>
        </w:rPr>
        <w:t xml:space="preserve">. </w:t>
      </w:r>
      <w:r w:rsidR="009A2E92">
        <w:rPr>
          <w:i/>
          <w:iCs/>
        </w:rPr>
        <w:t>Wave utilization</w:t>
      </w:r>
      <w:r w:rsidR="009A2E92">
        <w:t xml:space="preserve"> is the ratio of wave threads which are processing actual data vs. the total number of dispatched waves.</w:t>
      </w:r>
    </w:p>
    <w:p w14:paraId="3A55B550" w14:textId="05197EE1" w:rsidR="008F13BB" w:rsidRDefault="008F13BB" w:rsidP="004651F1"/>
    <w:p w14:paraId="3E2535C9" w14:textId="2DF4CD57" w:rsidR="008F13BB" w:rsidRDefault="008F13BB" w:rsidP="004651F1">
      <w:r>
        <w:t xml:space="preserve">Since the mesh shader pipeline omits the use of the input assembler, this concern of packing waves with work is lain </w:t>
      </w:r>
      <w:r w:rsidR="00F36B36">
        <w:t>up</w:t>
      </w:r>
      <w:r>
        <w:t xml:space="preserve">on the developer. </w:t>
      </w:r>
      <w:proofErr w:type="spellStart"/>
      <w:r w:rsidR="00F36B36">
        <w:t>Meshlets</w:t>
      </w:r>
      <w:proofErr w:type="spellEnd"/>
      <w:r w:rsidR="00F36B36">
        <w:t xml:space="preserve"> are a tool to preprocess meshes into friendly-sized chunks of work which optimize wave utilization. However, there’s no hard constraint on </w:t>
      </w:r>
      <w:proofErr w:type="spellStart"/>
      <w:r w:rsidR="00F36B36">
        <w:t>meshlets</w:t>
      </w:r>
      <w:proofErr w:type="spellEnd"/>
      <w:r w:rsidR="00F36B36">
        <w:t xml:space="preserve"> that they be completely full, thus leading to sub-optimal wave utilization. Specifically</w:t>
      </w:r>
      <w:r w:rsidR="00AC4EB2">
        <w:t xml:space="preserve">, the last </w:t>
      </w:r>
      <w:proofErr w:type="spellStart"/>
      <w:r w:rsidR="00AC4EB2">
        <w:t>meshlet</w:t>
      </w:r>
      <w:proofErr w:type="spellEnd"/>
      <w:r w:rsidR="00AC4EB2">
        <w:t xml:space="preserve"> of a mesh will most likely not be full (as the mesh was exhausted of primitives before it could be filled.) This presents an ever-growing issue as the number of </w:t>
      </w:r>
      <w:proofErr w:type="spellStart"/>
      <w:r w:rsidR="00AC4EB2">
        <w:t>meshlets</w:t>
      </w:r>
      <w:proofErr w:type="spellEnd"/>
      <w:r w:rsidR="00AC4EB2">
        <w:t xml:space="preserve"> in a mesh approach zero</w:t>
      </w:r>
      <w:r w:rsidR="004D6333">
        <w:t xml:space="preserve">. </w:t>
      </w:r>
      <w:r w:rsidR="00783E76">
        <w:t>Heavy instancing of these small meshes is common, such as in foliage, hair, particles, etc.</w:t>
      </w:r>
    </w:p>
    <w:p w14:paraId="567AE9DC" w14:textId="446A8AB1" w:rsidR="00AC4EB2" w:rsidRDefault="00AC4EB2" w:rsidP="004651F1"/>
    <w:p w14:paraId="4657861C" w14:textId="42EB0EB3" w:rsidR="00AC4EB2" w:rsidRDefault="00AC4EB2" w:rsidP="004651F1">
      <w:r>
        <w:t xml:space="preserve">This sample presents a </w:t>
      </w:r>
      <w:r w:rsidR="004D6333">
        <w:t xml:space="preserve">generalized </w:t>
      </w:r>
      <w:r>
        <w:t xml:space="preserve">method of </w:t>
      </w:r>
      <w:r w:rsidR="00783E76">
        <w:t>efficiently</w:t>
      </w:r>
      <w:r w:rsidR="004D6333">
        <w:t xml:space="preserve"> instancing by packing many instances of the last unfilled </w:t>
      </w:r>
      <w:proofErr w:type="spellStart"/>
      <w:r w:rsidR="004D6333">
        <w:t>meshlet</w:t>
      </w:r>
      <w:proofErr w:type="spellEnd"/>
      <w:r w:rsidR="004D6333">
        <w:t xml:space="preserve"> into a single </w:t>
      </w:r>
      <w:proofErr w:type="spellStart"/>
      <w:r w:rsidR="004D6333">
        <w:t>threadgroup</w:t>
      </w:r>
      <w:proofErr w:type="spellEnd"/>
      <w:r w:rsidR="004D6333">
        <w:t>. This minimizes the number of dead threads being dispatched keeping our wave utilization very close to 100%.</w:t>
      </w:r>
    </w:p>
    <w:p w14:paraId="4E9FCF14" w14:textId="77777777" w:rsidR="00682136" w:rsidRPr="009A2E92" w:rsidRDefault="00682136" w:rsidP="004651F1"/>
    <w:p w14:paraId="12423091" w14:textId="4D10F850" w:rsidR="0002458A" w:rsidRPr="0002458A" w:rsidRDefault="00DB1AEE" w:rsidP="00682136">
      <w:pPr>
        <w:jc w:val="center"/>
      </w:pPr>
      <w:r w:rsidRPr="00DB1AEE">
        <w:rPr>
          <w:noProof/>
        </w:rPr>
        <w:drawing>
          <wp:inline distT="0" distB="0" distL="0" distR="0" wp14:anchorId="51ADA5AA" wp14:editId="61AC6FC6">
            <wp:extent cx="5715000" cy="32916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340" cy="3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8A63" w14:textId="77777777" w:rsidR="00555E06" w:rsidRDefault="00555E06" w:rsidP="00555E06">
      <w:pPr>
        <w:pStyle w:val="Heading1"/>
      </w:pPr>
      <w:r>
        <w:lastRenderedPageBreak/>
        <w:t>Building the sample</w:t>
      </w:r>
    </w:p>
    <w:p w14:paraId="1DE64F6D" w14:textId="77777777" w:rsidR="00F66DB1" w:rsidRDefault="00F66DB1" w:rsidP="00F66DB1">
      <w:r>
        <w:t xml:space="preserve">If using a Xbox Series X|S devkit,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B6A4216" w14:textId="744448E7" w:rsidR="00555E06" w:rsidRDefault="00555E06" w:rsidP="00555E06"/>
    <w:p w14:paraId="7AADC00C" w14:textId="44C51B19" w:rsidR="00555E06" w:rsidRDefault="00555E06" w:rsidP="00555E06">
      <w:r>
        <w:t>If using PC with appropriate hardware and Windows 10 release, set the active solution platform to Gaming.Deskop.x64.</w:t>
      </w:r>
    </w:p>
    <w:p w14:paraId="58AD7662" w14:textId="11A36173" w:rsidR="00555E06" w:rsidRDefault="00555E06" w:rsidP="00555E06"/>
    <w:p w14:paraId="43DE3612" w14:textId="43534249" w:rsidR="00555E06" w:rsidRDefault="00555E06" w:rsidP="00555E06">
      <w:r>
        <w:t>This sample does not support Xbox One.</w:t>
      </w:r>
    </w:p>
    <w:p w14:paraId="7B693CE2" w14:textId="77777777" w:rsidR="00555E06" w:rsidRDefault="00555E06" w:rsidP="00555E06"/>
    <w:p w14:paraId="36765269" w14:textId="77777777" w:rsidR="00555E06" w:rsidRDefault="00555E06" w:rsidP="00555E0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FE58D40" w14:textId="099AEAD2" w:rsidR="00281D12" w:rsidRDefault="00281D12" w:rsidP="00281D12">
      <w:pPr>
        <w:pStyle w:val="Heading1"/>
      </w:pPr>
      <w:r>
        <w:t>Using the sample</w:t>
      </w:r>
    </w:p>
    <w:p w14:paraId="458DA03A" w14:textId="4C7AE7D6" w:rsidR="003F36E1" w:rsidRDefault="003F36E1" w:rsidP="00281D12">
      <w:r>
        <w:t xml:space="preserve">The </w:t>
      </w:r>
      <w:r w:rsidR="00A321D9">
        <w:t>sample provides options to choose between two instancing layouts</w:t>
      </w:r>
      <w:r w:rsidR="00F422E0">
        <w:t xml:space="preserve">: concentric circles &amp; a cube. This </w:t>
      </w:r>
      <w:r w:rsidR="00E22516">
        <w:t>allows</w:t>
      </w:r>
      <w:r w:rsidR="00BC0ACE">
        <w:t xml:space="preserve"> the ability to</w:t>
      </w:r>
      <w:r w:rsidR="00F422E0">
        <w:t xml:space="preserve"> scal</w:t>
      </w:r>
      <w:r w:rsidR="00BC0ACE">
        <w:t>e</w:t>
      </w:r>
      <w:r w:rsidR="00F422E0">
        <w:t xml:space="preserve"> at different rates.</w:t>
      </w:r>
      <w:r w:rsidR="00A321D9">
        <w:t xml:space="preserve"> </w:t>
      </w:r>
      <w:r w:rsidR="00F422E0">
        <w:t xml:space="preserve">You may also </w:t>
      </w:r>
      <w:r w:rsidR="0082504C">
        <w:t xml:space="preserve">toggle between </w:t>
      </w:r>
      <w:r w:rsidR="00F422E0">
        <w:t>flat shad</w:t>
      </w:r>
      <w:r w:rsidR="0082504C">
        <w:t>ing</w:t>
      </w:r>
      <w:r w:rsidR="00F422E0">
        <w:t xml:space="preserve"> or visualiz</w:t>
      </w:r>
      <w:r w:rsidR="0082504C">
        <w:t>ing</w:t>
      </w:r>
      <w:r w:rsidR="00F422E0">
        <w:t xml:space="preserve"> the underlying </w:t>
      </w:r>
      <w:proofErr w:type="spellStart"/>
      <w:r w:rsidR="00F422E0">
        <w:t>meshlet</w:t>
      </w:r>
      <w:proofErr w:type="spellEnd"/>
      <w:r w:rsidR="00F422E0">
        <w:t xml:space="preserve"> structure of the instances.</w:t>
      </w:r>
    </w:p>
    <w:p w14:paraId="2D3B3704" w14:textId="77777777" w:rsidR="0067052B" w:rsidRDefault="0067052B" w:rsidP="0067052B">
      <w:pPr>
        <w:pStyle w:val="Heading1"/>
      </w:pPr>
      <w:r>
        <w:t>Controls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136"/>
        <w:gridCol w:w="2520"/>
        <w:gridCol w:w="2698"/>
      </w:tblGrid>
      <w:tr w:rsidR="0067052B" w:rsidRPr="00C42F0D" w14:paraId="32083025" w14:textId="77777777" w:rsidTr="0094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1CB968F7" w14:textId="77777777" w:rsidR="0067052B" w:rsidRPr="00C42F0D" w:rsidRDefault="0067052B" w:rsidP="0094373D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347" w:type="pct"/>
            <w:hideMark/>
          </w:tcPr>
          <w:p w14:paraId="0FFC9ADC" w14:textId="77777777" w:rsidR="0067052B" w:rsidRPr="00C42F0D" w:rsidRDefault="0067052B" w:rsidP="0094373D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442" w:type="pct"/>
          </w:tcPr>
          <w:p w14:paraId="68CD9634" w14:textId="77777777" w:rsidR="0067052B" w:rsidRDefault="0067052B" w:rsidP="0094373D">
            <w:pPr>
              <w:pStyle w:val="Tableheading"/>
            </w:pPr>
            <w:r>
              <w:t>Keyboard</w:t>
            </w:r>
          </w:p>
        </w:tc>
      </w:tr>
      <w:tr w:rsidR="0067052B" w:rsidRPr="00C42F0D" w14:paraId="1E487D6B" w14:textId="77777777" w:rsidTr="0094373D">
        <w:trPr>
          <w:trHeight w:val="180"/>
        </w:trPr>
        <w:tc>
          <w:tcPr>
            <w:tcW w:w="2211" w:type="pct"/>
          </w:tcPr>
          <w:p w14:paraId="7F2BBA74" w14:textId="2C778194" w:rsidR="0067052B" w:rsidRPr="00E16AF8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Camera</w:t>
            </w:r>
          </w:p>
        </w:tc>
        <w:tc>
          <w:tcPr>
            <w:tcW w:w="1347" w:type="pct"/>
          </w:tcPr>
          <w:p w14:paraId="4B9CEB20" w14:textId="77777777" w:rsidR="0067052B" w:rsidRPr="00C42F0D" w:rsidRDefault="0067052B" w:rsidP="0094373D">
            <w:pPr>
              <w:pStyle w:val="Tablebody"/>
            </w:pPr>
            <w:r>
              <w:t xml:space="preserve">Left </w:t>
            </w:r>
            <w:proofErr w:type="spellStart"/>
            <w:r>
              <w:t>Thumbstick</w:t>
            </w:r>
            <w:proofErr w:type="spellEnd"/>
          </w:p>
        </w:tc>
        <w:tc>
          <w:tcPr>
            <w:tcW w:w="1442" w:type="pct"/>
          </w:tcPr>
          <w:p w14:paraId="5DF5158C" w14:textId="5401851E" w:rsidR="0067052B" w:rsidRDefault="0067052B" w:rsidP="0094373D">
            <w:pPr>
              <w:pStyle w:val="Tablebody"/>
            </w:pPr>
            <w:r>
              <w:t>WASD or Arrow Keys</w:t>
            </w:r>
          </w:p>
        </w:tc>
      </w:tr>
      <w:tr w:rsidR="0067052B" w:rsidRPr="00C42F0D" w14:paraId="036E11D8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5E003861" w14:textId="3C98864F" w:rsidR="0067052B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Rotate Camera</w:t>
            </w:r>
          </w:p>
        </w:tc>
        <w:tc>
          <w:tcPr>
            <w:tcW w:w="1347" w:type="pct"/>
          </w:tcPr>
          <w:p w14:paraId="497FB828" w14:textId="77777777" w:rsidR="0067052B" w:rsidRDefault="0067052B" w:rsidP="0094373D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</w:p>
        </w:tc>
        <w:tc>
          <w:tcPr>
            <w:tcW w:w="1442" w:type="pct"/>
          </w:tcPr>
          <w:p w14:paraId="43C8A4FB" w14:textId="77777777" w:rsidR="0067052B" w:rsidRDefault="0067052B" w:rsidP="0094373D">
            <w:pPr>
              <w:pStyle w:val="Tablebody"/>
            </w:pPr>
            <w:r>
              <w:t>Hold LMB + Mouse</w:t>
            </w:r>
          </w:p>
        </w:tc>
      </w:tr>
      <w:tr w:rsidR="0067052B" w:rsidRPr="00C42F0D" w14:paraId="2B1AEB19" w14:textId="77777777" w:rsidTr="0094373D">
        <w:trPr>
          <w:trHeight w:val="180"/>
        </w:trPr>
        <w:tc>
          <w:tcPr>
            <w:tcW w:w="2211" w:type="pct"/>
          </w:tcPr>
          <w:p w14:paraId="1AC25A0C" w14:textId="77777777" w:rsidR="0067052B" w:rsidRDefault="0067052B" w:rsidP="0094373D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Reset camera</w:t>
            </w:r>
          </w:p>
        </w:tc>
        <w:tc>
          <w:tcPr>
            <w:tcW w:w="1347" w:type="pct"/>
          </w:tcPr>
          <w:p w14:paraId="2D0549E4" w14:textId="77777777" w:rsidR="0067052B" w:rsidRDefault="0067052B" w:rsidP="0094373D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  <w:r>
              <w:t xml:space="preserve"> (Push)</w:t>
            </w:r>
          </w:p>
        </w:tc>
        <w:tc>
          <w:tcPr>
            <w:tcW w:w="1442" w:type="pct"/>
          </w:tcPr>
          <w:p w14:paraId="3EF07DE7" w14:textId="77777777" w:rsidR="0067052B" w:rsidRDefault="0067052B" w:rsidP="0094373D">
            <w:pPr>
              <w:pStyle w:val="Tablebody"/>
            </w:pPr>
            <w:r>
              <w:t>-</w:t>
            </w:r>
          </w:p>
        </w:tc>
      </w:tr>
      <w:tr w:rsidR="0067052B" w14:paraId="5DA7F427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42B9F24D" w14:textId="5A2338AD" w:rsidR="0067052B" w:rsidRDefault="00E22516" w:rsidP="0094373D">
            <w:pPr>
              <w:pStyle w:val="Tablebody"/>
            </w:pPr>
            <w:r>
              <w:t>Change Instancing Mode</w:t>
            </w:r>
          </w:p>
        </w:tc>
        <w:tc>
          <w:tcPr>
            <w:tcW w:w="1347" w:type="pct"/>
          </w:tcPr>
          <w:p w14:paraId="7291541A" w14:textId="48BF8AAD" w:rsidR="0067052B" w:rsidRDefault="00E22516" w:rsidP="0094373D">
            <w:pPr>
              <w:pStyle w:val="Tablebody"/>
            </w:pPr>
            <w:r>
              <w:t>A</w:t>
            </w:r>
          </w:p>
        </w:tc>
        <w:tc>
          <w:tcPr>
            <w:tcW w:w="1442" w:type="pct"/>
          </w:tcPr>
          <w:p w14:paraId="4C546B5F" w14:textId="00ADC097" w:rsidR="0067052B" w:rsidRDefault="00E22516" w:rsidP="0094373D">
            <w:pPr>
              <w:pStyle w:val="Tablebody"/>
            </w:pPr>
            <w:r>
              <w:t>Tab</w:t>
            </w:r>
          </w:p>
        </w:tc>
      </w:tr>
      <w:tr w:rsidR="0067052B" w14:paraId="085D5D46" w14:textId="77777777" w:rsidTr="0094373D">
        <w:trPr>
          <w:trHeight w:val="362"/>
        </w:trPr>
        <w:tc>
          <w:tcPr>
            <w:tcW w:w="2211" w:type="pct"/>
          </w:tcPr>
          <w:p w14:paraId="0F4E5171" w14:textId="3D14A49F" w:rsidR="0067052B" w:rsidRDefault="00E22516" w:rsidP="0094373D">
            <w:pPr>
              <w:pStyle w:val="Tablebody"/>
            </w:pPr>
            <w:r>
              <w:t xml:space="preserve">Toggle </w:t>
            </w:r>
            <w:proofErr w:type="spellStart"/>
            <w:r>
              <w:t>Meshlet</w:t>
            </w:r>
            <w:proofErr w:type="spellEnd"/>
            <w:r>
              <w:t xml:space="preserve"> Visualization</w:t>
            </w:r>
          </w:p>
        </w:tc>
        <w:tc>
          <w:tcPr>
            <w:tcW w:w="1347" w:type="pct"/>
          </w:tcPr>
          <w:p w14:paraId="4A970449" w14:textId="743487BB" w:rsidR="0067052B" w:rsidRDefault="00E22516" w:rsidP="0094373D">
            <w:pPr>
              <w:pStyle w:val="Tablebody"/>
            </w:pPr>
            <w:r>
              <w:t>X</w:t>
            </w:r>
          </w:p>
        </w:tc>
        <w:tc>
          <w:tcPr>
            <w:tcW w:w="1442" w:type="pct"/>
          </w:tcPr>
          <w:p w14:paraId="1E8C531E" w14:textId="24A45BFA" w:rsidR="0067052B" w:rsidRDefault="00E22516" w:rsidP="0094373D">
            <w:pPr>
              <w:pStyle w:val="Tablebody"/>
            </w:pPr>
            <w:r>
              <w:t>Spacebar</w:t>
            </w:r>
          </w:p>
        </w:tc>
      </w:tr>
      <w:tr w:rsidR="0067052B" w14:paraId="382BB0B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00D002D3" w14:textId="599F6BFA" w:rsidR="0067052B" w:rsidRDefault="00E22516" w:rsidP="0094373D">
            <w:pPr>
              <w:pStyle w:val="Tablebody"/>
            </w:pPr>
            <w:r>
              <w:t>Increase Instancing Level</w:t>
            </w:r>
          </w:p>
        </w:tc>
        <w:tc>
          <w:tcPr>
            <w:tcW w:w="1347" w:type="pct"/>
          </w:tcPr>
          <w:p w14:paraId="47091B90" w14:textId="77777777" w:rsidR="0067052B" w:rsidRDefault="0067052B" w:rsidP="0094373D">
            <w:pPr>
              <w:pStyle w:val="Tablebody"/>
            </w:pPr>
            <w:r>
              <w:t>Right Shoulder</w:t>
            </w:r>
          </w:p>
        </w:tc>
        <w:tc>
          <w:tcPr>
            <w:tcW w:w="1442" w:type="pct"/>
          </w:tcPr>
          <w:p w14:paraId="43734505" w14:textId="77777777" w:rsidR="0067052B" w:rsidRDefault="0067052B" w:rsidP="0094373D">
            <w:pPr>
              <w:pStyle w:val="Tablebody"/>
            </w:pPr>
            <w:r>
              <w:t>+</w:t>
            </w:r>
          </w:p>
        </w:tc>
      </w:tr>
      <w:tr w:rsidR="0067052B" w14:paraId="0F8E1E7D" w14:textId="77777777" w:rsidTr="0094373D">
        <w:trPr>
          <w:trHeight w:val="362"/>
        </w:trPr>
        <w:tc>
          <w:tcPr>
            <w:tcW w:w="2211" w:type="pct"/>
          </w:tcPr>
          <w:p w14:paraId="7F279639" w14:textId="1C0758BB" w:rsidR="0067052B" w:rsidRDefault="00E22516" w:rsidP="0094373D">
            <w:pPr>
              <w:pStyle w:val="Tablebody"/>
            </w:pPr>
            <w:r>
              <w:t>Decrease Instancing Level</w:t>
            </w:r>
          </w:p>
        </w:tc>
        <w:tc>
          <w:tcPr>
            <w:tcW w:w="1347" w:type="pct"/>
          </w:tcPr>
          <w:p w14:paraId="2CBB13ED" w14:textId="77777777" w:rsidR="0067052B" w:rsidRDefault="0067052B" w:rsidP="0094373D">
            <w:pPr>
              <w:pStyle w:val="Tablebody"/>
            </w:pPr>
            <w:r>
              <w:t>Right Trigger</w:t>
            </w:r>
          </w:p>
        </w:tc>
        <w:tc>
          <w:tcPr>
            <w:tcW w:w="1442" w:type="pct"/>
          </w:tcPr>
          <w:p w14:paraId="1FF83175" w14:textId="77777777" w:rsidR="0067052B" w:rsidRDefault="0067052B" w:rsidP="0094373D">
            <w:pPr>
              <w:pStyle w:val="Tablebody"/>
            </w:pPr>
            <w:r>
              <w:t>-</w:t>
            </w:r>
          </w:p>
        </w:tc>
      </w:tr>
      <w:tr w:rsidR="0067052B" w14:paraId="0C181385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5A3451BD" w14:textId="77777777" w:rsidR="0067052B" w:rsidRDefault="0067052B" w:rsidP="0094373D">
            <w:pPr>
              <w:pStyle w:val="Tablebody"/>
            </w:pPr>
            <w:r>
              <w:t>Exit</w:t>
            </w:r>
          </w:p>
        </w:tc>
        <w:tc>
          <w:tcPr>
            <w:tcW w:w="1347" w:type="pct"/>
          </w:tcPr>
          <w:p w14:paraId="24309F92" w14:textId="77777777" w:rsidR="0067052B" w:rsidRDefault="0067052B" w:rsidP="0094373D">
            <w:pPr>
              <w:pStyle w:val="Tablebody"/>
            </w:pPr>
            <w:r>
              <w:t>View Button</w:t>
            </w:r>
          </w:p>
        </w:tc>
        <w:tc>
          <w:tcPr>
            <w:tcW w:w="1442" w:type="pct"/>
          </w:tcPr>
          <w:p w14:paraId="78666AB1" w14:textId="77777777" w:rsidR="0067052B" w:rsidRDefault="0067052B" w:rsidP="0094373D">
            <w:pPr>
              <w:pStyle w:val="Tablebody"/>
            </w:pPr>
            <w:r>
              <w:t>Escape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6D6EEC74" w14:textId="36E961B3" w:rsidR="00964FEE" w:rsidRDefault="00796BD8" w:rsidP="0010500B">
      <w:r>
        <w:t xml:space="preserve">Mesh shader instancing is a simple matter of dispatching enough shader instances to complete the work and using supplied IDs to determine the correct </w:t>
      </w:r>
      <w:proofErr w:type="spellStart"/>
      <w:r>
        <w:t>meshlet</w:t>
      </w:r>
      <w:proofErr w:type="spellEnd"/>
      <w:r>
        <w:t xml:space="preserve"> &amp; instance to process. The chosen indexing scheme determines which </w:t>
      </w:r>
      <w:proofErr w:type="spellStart"/>
      <w:r>
        <w:t>threadgroups</w:t>
      </w:r>
      <w:proofErr w:type="spellEnd"/>
      <w:r>
        <w:t xml:space="preserve"> process </w:t>
      </w:r>
      <w:r w:rsidR="000260FE">
        <w:t>which bit of work.</w:t>
      </w:r>
    </w:p>
    <w:p w14:paraId="3255EEBD" w14:textId="25B492EB" w:rsidR="000260FE" w:rsidRDefault="000260FE" w:rsidP="0010500B"/>
    <w:p w14:paraId="09BD0B46" w14:textId="77777777" w:rsidR="000260FE" w:rsidRDefault="000260FE" w:rsidP="0010500B">
      <w:r>
        <w:t xml:space="preserve">Assuming one </w:t>
      </w:r>
      <w:proofErr w:type="spellStart"/>
      <w:r>
        <w:t>meshlet</w:t>
      </w:r>
      <w:proofErr w:type="spellEnd"/>
      <w:r>
        <w:t xml:space="preserve"> per </w:t>
      </w:r>
      <w:proofErr w:type="spellStart"/>
      <w:r>
        <w:t>threadgroup</w:t>
      </w:r>
      <w:proofErr w:type="spellEnd"/>
      <w:r>
        <w:t xml:space="preserve">, the most straightforward implementation would be to dispatch </w:t>
      </w:r>
      <w:proofErr w:type="spellStart"/>
      <w:r>
        <w:t>MeshletCount</w:t>
      </w:r>
      <w:proofErr w:type="spellEnd"/>
      <w:r>
        <w:t xml:space="preserve"> * </w:t>
      </w:r>
      <w:proofErr w:type="spellStart"/>
      <w:r>
        <w:t>InstanceCount</w:t>
      </w:r>
      <w:proofErr w:type="spellEnd"/>
      <w:r>
        <w:t xml:space="preserve"> </w:t>
      </w:r>
      <w:proofErr w:type="spellStart"/>
      <w:r>
        <w:t>threadgroups</w:t>
      </w:r>
      <w:proofErr w:type="spellEnd"/>
      <w:r>
        <w:t xml:space="preserve">. We can be certain this is enough </w:t>
      </w:r>
      <w:proofErr w:type="spellStart"/>
      <w:r>
        <w:t>threadgroups</w:t>
      </w:r>
      <w:proofErr w:type="spellEnd"/>
      <w:r>
        <w:t xml:space="preserve"> to fully process our workload. This also provides a very straightforward indexing scheme: </w:t>
      </w:r>
    </w:p>
    <w:p w14:paraId="1B74F513" w14:textId="02DA5E5E" w:rsidR="000260FE" w:rsidRDefault="000260FE" w:rsidP="000260FE">
      <w:pPr>
        <w:pStyle w:val="ListParagraph"/>
        <w:numPr>
          <w:ilvl w:val="0"/>
          <w:numId w:val="16"/>
        </w:numPr>
      </w:pPr>
      <w:proofErr w:type="spellStart"/>
      <w:r w:rsidRPr="00D15A06">
        <w:rPr>
          <w:i/>
          <w:iCs/>
        </w:rPr>
        <w:t>MeshletIndex</w:t>
      </w:r>
      <w:proofErr w:type="spellEnd"/>
      <w:r>
        <w:t xml:space="preserve"> = </w:t>
      </w:r>
      <w:proofErr w:type="spellStart"/>
      <w:r w:rsidRPr="00D15A06">
        <w:rPr>
          <w:i/>
          <w:iCs/>
        </w:rPr>
        <w:t>GroupID.x</w:t>
      </w:r>
      <w:proofErr w:type="spellEnd"/>
      <w:r>
        <w:t xml:space="preserve"> / </w:t>
      </w:r>
      <w:proofErr w:type="spellStart"/>
      <w:r w:rsidRPr="00D15A06">
        <w:rPr>
          <w:i/>
          <w:iCs/>
        </w:rPr>
        <w:t>InstanceCount</w:t>
      </w:r>
      <w:proofErr w:type="spellEnd"/>
    </w:p>
    <w:p w14:paraId="2AB0BC42" w14:textId="3460C022" w:rsidR="000260FE" w:rsidRDefault="000260FE" w:rsidP="000260FE">
      <w:pPr>
        <w:pStyle w:val="ListParagraph"/>
        <w:numPr>
          <w:ilvl w:val="0"/>
          <w:numId w:val="16"/>
        </w:numPr>
      </w:pPr>
      <w:proofErr w:type="spellStart"/>
      <w:r w:rsidRPr="00D15A06">
        <w:rPr>
          <w:i/>
          <w:iCs/>
        </w:rPr>
        <w:t>InstanceIndex</w:t>
      </w:r>
      <w:proofErr w:type="spellEnd"/>
      <w:r>
        <w:t xml:space="preserve"> = </w:t>
      </w:r>
      <w:proofErr w:type="spellStart"/>
      <w:r w:rsidRPr="00D15A06">
        <w:rPr>
          <w:i/>
          <w:iCs/>
        </w:rPr>
        <w:t>GroupID.x</w:t>
      </w:r>
      <w:proofErr w:type="spellEnd"/>
      <w:r>
        <w:t xml:space="preserve"> </w:t>
      </w:r>
      <w:r w:rsidR="00810B30">
        <w:t>%</w:t>
      </w:r>
      <w:r>
        <w:t xml:space="preserve"> </w:t>
      </w:r>
      <w:proofErr w:type="spellStart"/>
      <w:r w:rsidRPr="00D15A06">
        <w:rPr>
          <w:i/>
          <w:iCs/>
        </w:rPr>
        <w:t>InstanceCount</w:t>
      </w:r>
      <w:proofErr w:type="spellEnd"/>
    </w:p>
    <w:p w14:paraId="3C2A0D62" w14:textId="1AD66DA0" w:rsidR="00D15A06" w:rsidRDefault="00D15A06" w:rsidP="00D15A06"/>
    <w:p w14:paraId="2F3853CA" w14:textId="525EA5FC" w:rsidR="00D15A06" w:rsidRDefault="00D15A06" w:rsidP="00D15A06">
      <w:r>
        <w:t xml:space="preserve">This means the first </w:t>
      </w:r>
      <w:proofErr w:type="spellStart"/>
      <w:r>
        <w:rPr>
          <w:i/>
          <w:iCs/>
        </w:rPr>
        <w:t>InstanceCount</w:t>
      </w:r>
      <w:proofErr w:type="spellEnd"/>
      <w:r>
        <w:t xml:space="preserve"> </w:t>
      </w:r>
      <w:proofErr w:type="spellStart"/>
      <w:r>
        <w:t>threadgroups</w:t>
      </w:r>
      <w:proofErr w:type="spellEnd"/>
      <w:r>
        <w:t xml:space="preserve"> will </w:t>
      </w:r>
      <w:r w:rsidR="00B65E5B">
        <w:t xml:space="preserve">all process </w:t>
      </w:r>
      <w:proofErr w:type="spellStart"/>
      <w:r w:rsidR="00B65E5B">
        <w:t>Meshlet</w:t>
      </w:r>
      <w:proofErr w:type="spellEnd"/>
      <w:r w:rsidR="00B65E5B">
        <w:t xml:space="preserve"> </w:t>
      </w:r>
      <w:r w:rsidR="00B65E5B">
        <w:rPr>
          <w:i/>
          <w:iCs/>
        </w:rPr>
        <w:t>0</w:t>
      </w:r>
      <w:r w:rsidR="00B65E5B">
        <w:t xml:space="preserve">, but different instances. More importantly the last </w:t>
      </w:r>
      <w:proofErr w:type="spellStart"/>
      <w:r w:rsidR="00B65E5B">
        <w:rPr>
          <w:i/>
          <w:iCs/>
        </w:rPr>
        <w:t>InstanceCount</w:t>
      </w:r>
      <w:proofErr w:type="spellEnd"/>
      <w:r w:rsidR="00B65E5B">
        <w:t xml:space="preserve"> </w:t>
      </w:r>
      <w:proofErr w:type="spellStart"/>
      <w:r w:rsidR="00B65E5B">
        <w:t>threadgroups</w:t>
      </w:r>
      <w:proofErr w:type="spellEnd"/>
      <w:r w:rsidR="00B65E5B">
        <w:t xml:space="preserve"> will all process </w:t>
      </w:r>
      <w:proofErr w:type="spellStart"/>
      <w:r w:rsidR="00B65E5B">
        <w:t>Meshlet</w:t>
      </w:r>
      <w:proofErr w:type="spellEnd"/>
      <w:r w:rsidR="00B65E5B">
        <w:t xml:space="preserve"> </w:t>
      </w:r>
      <w:r w:rsidR="00B65E5B" w:rsidRPr="00B65E5B">
        <w:rPr>
          <w:i/>
          <w:iCs/>
        </w:rPr>
        <w:t>(</w:t>
      </w:r>
      <w:proofErr w:type="spellStart"/>
      <w:r w:rsidR="00B65E5B" w:rsidRPr="00B65E5B">
        <w:rPr>
          <w:i/>
          <w:iCs/>
        </w:rPr>
        <w:t>MeshletCount</w:t>
      </w:r>
      <w:proofErr w:type="spellEnd"/>
      <w:r w:rsidR="00B65E5B" w:rsidRPr="00B65E5B">
        <w:rPr>
          <w:i/>
          <w:iCs/>
        </w:rPr>
        <w:t xml:space="preserve"> – 1)</w:t>
      </w:r>
      <w:r w:rsidR="00B65E5B">
        <w:t xml:space="preserve">. </w:t>
      </w:r>
      <w:r w:rsidR="001C7F91">
        <w:t xml:space="preserve">We assume </w:t>
      </w:r>
      <w:r w:rsidR="00B65E5B">
        <w:lastRenderedPageBreak/>
        <w:t xml:space="preserve">the first </w:t>
      </w:r>
      <w:r w:rsidR="00B65E5B">
        <w:rPr>
          <w:i/>
          <w:iCs/>
        </w:rPr>
        <w:t>(</w:t>
      </w:r>
      <w:proofErr w:type="spellStart"/>
      <w:r w:rsidR="00B65E5B">
        <w:rPr>
          <w:i/>
          <w:iCs/>
        </w:rPr>
        <w:t>MeshletCount</w:t>
      </w:r>
      <w:proofErr w:type="spellEnd"/>
      <w:r w:rsidR="00B65E5B">
        <w:rPr>
          <w:i/>
          <w:iCs/>
        </w:rPr>
        <w:t xml:space="preserve"> – 1)</w:t>
      </w:r>
      <w:r w:rsidR="00B65E5B">
        <w:t xml:space="preserve"> </w:t>
      </w:r>
      <w:proofErr w:type="spellStart"/>
      <w:r w:rsidR="00B65E5B">
        <w:t>meshlets</w:t>
      </w:r>
      <w:proofErr w:type="spellEnd"/>
      <w:r w:rsidR="00B65E5B">
        <w:t xml:space="preserve"> are ‘full’ (having near maximum vertices and/or primitives) </w:t>
      </w:r>
      <w:r w:rsidR="001C7F91">
        <w:t xml:space="preserve">and </w:t>
      </w:r>
      <w:r w:rsidR="00B65E5B">
        <w:t xml:space="preserve">the last </w:t>
      </w:r>
      <w:proofErr w:type="spellStart"/>
      <w:r w:rsidR="00B65E5B">
        <w:t>meshlet</w:t>
      </w:r>
      <w:proofErr w:type="spellEnd"/>
      <w:r w:rsidR="00B65E5B">
        <w:t xml:space="preserve"> </w:t>
      </w:r>
      <w:r w:rsidR="001C7F91">
        <w:t xml:space="preserve">is less filled. The last </w:t>
      </w:r>
      <w:r w:rsidR="001C7F91">
        <w:rPr>
          <w:i/>
          <w:iCs/>
        </w:rPr>
        <w:t>(</w:t>
      </w:r>
      <w:proofErr w:type="spellStart"/>
      <w:r w:rsidR="001C7F91">
        <w:rPr>
          <w:i/>
          <w:iCs/>
        </w:rPr>
        <w:t>MeshletCount</w:t>
      </w:r>
      <w:proofErr w:type="spellEnd"/>
      <w:r w:rsidR="001C7F91">
        <w:rPr>
          <w:i/>
          <w:iCs/>
        </w:rPr>
        <w:t xml:space="preserve"> – 1)</w:t>
      </w:r>
      <w:r w:rsidR="001C7F91">
        <w:t xml:space="preserve"> </w:t>
      </w:r>
      <w:proofErr w:type="spellStart"/>
      <w:r w:rsidR="001C7F91">
        <w:t>threadgroups</w:t>
      </w:r>
      <w:proofErr w:type="spellEnd"/>
      <w:r w:rsidR="001C7F91">
        <w:t xml:space="preserve"> will thus have less-optimal wave utilization than the first </w:t>
      </w:r>
      <w:r w:rsidR="001C7F91">
        <w:rPr>
          <w:i/>
          <w:iCs/>
        </w:rPr>
        <w:t>(</w:t>
      </w:r>
      <w:proofErr w:type="spellStart"/>
      <w:r w:rsidR="001C7F91">
        <w:rPr>
          <w:i/>
          <w:iCs/>
        </w:rPr>
        <w:t>MeshletCount</w:t>
      </w:r>
      <w:proofErr w:type="spellEnd"/>
      <w:r w:rsidR="001C7F91">
        <w:rPr>
          <w:i/>
          <w:iCs/>
        </w:rPr>
        <w:t xml:space="preserve"> – 1) * </w:t>
      </w:r>
      <w:proofErr w:type="spellStart"/>
      <w:r w:rsidR="001C7F91">
        <w:rPr>
          <w:i/>
          <w:iCs/>
        </w:rPr>
        <w:t>InstanceCount</w:t>
      </w:r>
      <w:proofErr w:type="spellEnd"/>
      <w:r w:rsidR="001C7F91">
        <w:t xml:space="preserve"> </w:t>
      </w:r>
      <w:proofErr w:type="spellStart"/>
      <w:r w:rsidR="001C7F91">
        <w:t>threadgroups</w:t>
      </w:r>
      <w:proofErr w:type="spellEnd"/>
      <w:r w:rsidR="001C7F91">
        <w:t>.</w:t>
      </w:r>
      <w:r w:rsidR="005F0B80">
        <w:t xml:space="preserve"> If sparse enough multiple instances could be packed into a single </w:t>
      </w:r>
      <w:proofErr w:type="spellStart"/>
      <w:r w:rsidR="005F0B80">
        <w:t>threadgroup</w:t>
      </w:r>
      <w:proofErr w:type="spellEnd"/>
      <w:r w:rsidR="005F0B80">
        <w:t>.</w:t>
      </w:r>
    </w:p>
    <w:p w14:paraId="14128FF6" w14:textId="27299AEC" w:rsidR="00522A09" w:rsidRDefault="00522A09" w:rsidP="00D15A06"/>
    <w:p w14:paraId="02291F50" w14:textId="70C13883" w:rsidR="00522A09" w:rsidRPr="00522A09" w:rsidRDefault="00522A09" w:rsidP="00D15A06">
      <w:r>
        <w:t>In fact,</w:t>
      </w:r>
      <w:r w:rsidR="007A2BCE">
        <w:t xml:space="preserve"> assuming the </w:t>
      </w:r>
      <w:proofErr w:type="spellStart"/>
      <w:r w:rsidR="007A2BCE">
        <w:t>threadgroup</w:t>
      </w:r>
      <w:proofErr w:type="spellEnd"/>
      <w:r w:rsidR="007A2BCE">
        <w:t xml:space="preserve"> size is equal to the maximum </w:t>
      </w:r>
      <w:proofErr w:type="spellStart"/>
      <w:r w:rsidR="007A2BCE">
        <w:t>meshlet</w:t>
      </w:r>
      <w:proofErr w:type="spellEnd"/>
      <w:r w:rsidR="007A2BCE">
        <w:t xml:space="preserve"> size we can fit </w:t>
      </w:r>
      <m:oMath>
        <m:r>
          <w:rPr>
            <w:rFonts w:ascii="Cambria Math" w:hAnsi="Cambria Math"/>
          </w:rPr>
          <m:t>⌊MaxMeshletSize / LastMeshletSize⌋</m:t>
        </m:r>
      </m:oMath>
      <w:r w:rsidR="007A2BCE">
        <w:t xml:space="preserve"> instances into a single threadgroup. </w:t>
      </w:r>
      <w:proofErr w:type="gramStart"/>
      <w:r w:rsidR="007A2BCE">
        <w:t>Thus</w:t>
      </w:r>
      <w:proofErr w:type="gramEnd"/>
      <w:r w:rsidR="007A2BCE">
        <w:t xml:space="preserve"> we need </w:t>
      </w:r>
      <m:oMath>
        <m:r>
          <w:rPr>
            <w:rFonts w:ascii="Cambria Math" w:hAnsi="Cambria Math"/>
          </w:rPr>
          <m:t>⌊(LastMeshletSize*InstanceCount)/MaxMeshletSize⌋</m:t>
        </m:r>
      </m:oMath>
      <w:r w:rsidR="007A2BCE">
        <w:t xml:space="preserve"> packed threadgroups to process the last meshlet. </w:t>
      </w:r>
      <w:r w:rsidR="00D941C0">
        <w:t xml:space="preserve">This provides </w:t>
      </w:r>
      <w:r w:rsidR="001E5531">
        <w:t>optimal wave efficien</w:t>
      </w:r>
      <w:r w:rsidR="00D602B7">
        <w:t>c</w:t>
      </w:r>
      <w:r w:rsidR="001E5531">
        <w:t>y</w:t>
      </w:r>
      <w:r w:rsidR="00D941C0">
        <w:t xml:space="preserve"> at the cost of some extra ALU of these </w:t>
      </w:r>
      <w:proofErr w:type="spellStart"/>
      <w:r w:rsidR="00D941C0">
        <w:t>threadgroups</w:t>
      </w:r>
      <w:proofErr w:type="spellEnd"/>
      <w:r w:rsidR="00D941C0">
        <w:t xml:space="preserve"> in the shader.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1BCDCB6B" w:rsidR="003D3EF7" w:rsidRPr="004B7280" w:rsidRDefault="0010500B" w:rsidP="003D3EF7">
      <w:pPr>
        <w:rPr>
          <w:rFonts w:cs="Segoe UI"/>
          <w:szCs w:val="20"/>
        </w:rPr>
      </w:pPr>
      <w:r>
        <w:t>10</w:t>
      </w:r>
      <w:r w:rsidR="0058721F">
        <w:t>/</w:t>
      </w:r>
      <w:r>
        <w:t>31</w:t>
      </w:r>
      <w:r w:rsidR="0058721F">
        <w:t>/201</w:t>
      </w:r>
      <w:r>
        <w:t>9</w:t>
      </w:r>
      <w:r w:rsidR="005C4919">
        <w:t xml:space="preserve"> </w:t>
      </w:r>
      <w:r w:rsidR="0029051A">
        <w:t>–</w:t>
      </w:r>
      <w:r w:rsidR="005C4919">
        <w:t xml:space="preserve"> </w:t>
      </w:r>
      <w:r w:rsidR="0058104C">
        <w:t>Sample creation.</w:t>
      </w:r>
    </w:p>
    <w:p w14:paraId="263C35E0" w14:textId="502A2FF1" w:rsidR="004B7280" w:rsidRDefault="006147E4" w:rsidP="004B7280">
      <w:pPr>
        <w:rPr>
          <w:rFonts w:cs="Segoe UI"/>
          <w:szCs w:val="20"/>
        </w:rPr>
      </w:pPr>
      <w:r>
        <w:t>4/28/2020 - Updated to use the D3DX12 helpers for mesh shader pipeline creation</w:t>
      </w: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14E4" w14:textId="77777777" w:rsidR="00245C8C" w:rsidRDefault="00245C8C" w:rsidP="0074610F">
      <w:r>
        <w:separator/>
      </w:r>
    </w:p>
  </w:endnote>
  <w:endnote w:type="continuationSeparator" w:id="0">
    <w:p w14:paraId="5A5A7681" w14:textId="77777777" w:rsidR="00245C8C" w:rsidRDefault="00245C8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381F0E10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66DB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E92302">
            <w:rPr>
              <w:rFonts w:cs="Segoe UI"/>
              <w:color w:val="808080" w:themeColor="background1" w:themeShade="80"/>
              <w:szCs w:val="20"/>
            </w:rPr>
            <w:t>Meshlet</w:t>
          </w:r>
          <w:proofErr w:type="spellEnd"/>
          <w:r w:rsidR="00E92302">
            <w:rPr>
              <w:rFonts w:cs="Segoe UI"/>
              <w:color w:val="808080" w:themeColor="background1" w:themeShade="80"/>
              <w:szCs w:val="20"/>
            </w:rPr>
            <w:t xml:space="preserve"> Instancing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5837B0A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66DB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8B303" w14:textId="77777777" w:rsidR="00245C8C" w:rsidRDefault="00245C8C" w:rsidP="0074610F">
      <w:r>
        <w:separator/>
      </w:r>
    </w:p>
  </w:footnote>
  <w:footnote w:type="continuationSeparator" w:id="0">
    <w:p w14:paraId="21E2F3F3" w14:textId="77777777" w:rsidR="00245C8C" w:rsidRDefault="00245C8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923735"/>
    <w:multiLevelType w:val="hybridMultilevel"/>
    <w:tmpl w:val="5908EF62"/>
    <w:lvl w:ilvl="0" w:tplc="6BAC02C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60FE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02B7F"/>
    <w:rsid w:val="0010500B"/>
    <w:rsid w:val="00117FE1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C7F91"/>
    <w:rsid w:val="001D32C6"/>
    <w:rsid w:val="001D5B03"/>
    <w:rsid w:val="001E2ED4"/>
    <w:rsid w:val="001E5531"/>
    <w:rsid w:val="00203869"/>
    <w:rsid w:val="002045AE"/>
    <w:rsid w:val="00216980"/>
    <w:rsid w:val="00216F0D"/>
    <w:rsid w:val="002319EC"/>
    <w:rsid w:val="00245C8C"/>
    <w:rsid w:val="0024713D"/>
    <w:rsid w:val="00270461"/>
    <w:rsid w:val="00271FEC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05EE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3E1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1D40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25D6B"/>
    <w:rsid w:val="00431801"/>
    <w:rsid w:val="00455A22"/>
    <w:rsid w:val="0046309E"/>
    <w:rsid w:val="004651F1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D6333"/>
    <w:rsid w:val="004E7C63"/>
    <w:rsid w:val="00501B39"/>
    <w:rsid w:val="00506838"/>
    <w:rsid w:val="00510DD0"/>
    <w:rsid w:val="00515583"/>
    <w:rsid w:val="00522A09"/>
    <w:rsid w:val="005238A8"/>
    <w:rsid w:val="0054130A"/>
    <w:rsid w:val="00542443"/>
    <w:rsid w:val="0054519B"/>
    <w:rsid w:val="00551647"/>
    <w:rsid w:val="0055245D"/>
    <w:rsid w:val="00555E06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5F0B80"/>
    <w:rsid w:val="00606228"/>
    <w:rsid w:val="006147E4"/>
    <w:rsid w:val="00626B30"/>
    <w:rsid w:val="00631A2C"/>
    <w:rsid w:val="006346C8"/>
    <w:rsid w:val="00636CFC"/>
    <w:rsid w:val="006444C8"/>
    <w:rsid w:val="00645B59"/>
    <w:rsid w:val="00654AB6"/>
    <w:rsid w:val="006560C9"/>
    <w:rsid w:val="0067052B"/>
    <w:rsid w:val="00675DC0"/>
    <w:rsid w:val="00682136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0040"/>
    <w:rsid w:val="0074610F"/>
    <w:rsid w:val="007529B6"/>
    <w:rsid w:val="007624A4"/>
    <w:rsid w:val="00764B3A"/>
    <w:rsid w:val="00765B12"/>
    <w:rsid w:val="00775B4E"/>
    <w:rsid w:val="007806DC"/>
    <w:rsid w:val="00783E76"/>
    <w:rsid w:val="00783EB9"/>
    <w:rsid w:val="00787F0C"/>
    <w:rsid w:val="00796BD8"/>
    <w:rsid w:val="007A0341"/>
    <w:rsid w:val="007A0848"/>
    <w:rsid w:val="007A1057"/>
    <w:rsid w:val="007A2BCE"/>
    <w:rsid w:val="007C58D3"/>
    <w:rsid w:val="007E0AD7"/>
    <w:rsid w:val="007E3B27"/>
    <w:rsid w:val="00803203"/>
    <w:rsid w:val="00805C40"/>
    <w:rsid w:val="00810B30"/>
    <w:rsid w:val="00820A5C"/>
    <w:rsid w:val="0082504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93AB0"/>
    <w:rsid w:val="008E4ED5"/>
    <w:rsid w:val="008F13BB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2E92"/>
    <w:rsid w:val="009A32DD"/>
    <w:rsid w:val="009C300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14D46"/>
    <w:rsid w:val="00A211E2"/>
    <w:rsid w:val="00A2533D"/>
    <w:rsid w:val="00A32143"/>
    <w:rsid w:val="00A321D9"/>
    <w:rsid w:val="00A3483D"/>
    <w:rsid w:val="00A40B60"/>
    <w:rsid w:val="00A461DE"/>
    <w:rsid w:val="00A51916"/>
    <w:rsid w:val="00A67609"/>
    <w:rsid w:val="00A74CF4"/>
    <w:rsid w:val="00A75D0F"/>
    <w:rsid w:val="00AC2992"/>
    <w:rsid w:val="00AC4EB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65E5B"/>
    <w:rsid w:val="00B83D5A"/>
    <w:rsid w:val="00B94593"/>
    <w:rsid w:val="00BA4C7A"/>
    <w:rsid w:val="00BA63BF"/>
    <w:rsid w:val="00BA684D"/>
    <w:rsid w:val="00BB5809"/>
    <w:rsid w:val="00BC0ACE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5A06"/>
    <w:rsid w:val="00D1772B"/>
    <w:rsid w:val="00D30E5A"/>
    <w:rsid w:val="00D356CD"/>
    <w:rsid w:val="00D42D5B"/>
    <w:rsid w:val="00D602B7"/>
    <w:rsid w:val="00D632BB"/>
    <w:rsid w:val="00D64D9C"/>
    <w:rsid w:val="00D80204"/>
    <w:rsid w:val="00D8597B"/>
    <w:rsid w:val="00D941C0"/>
    <w:rsid w:val="00DB1AEE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2516"/>
    <w:rsid w:val="00E25413"/>
    <w:rsid w:val="00E36315"/>
    <w:rsid w:val="00E501DA"/>
    <w:rsid w:val="00E6273F"/>
    <w:rsid w:val="00E672AC"/>
    <w:rsid w:val="00E92302"/>
    <w:rsid w:val="00E92F7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36B36"/>
    <w:rsid w:val="00F40AC7"/>
    <w:rsid w:val="00F422E0"/>
    <w:rsid w:val="00F60A3F"/>
    <w:rsid w:val="00F60CDA"/>
    <w:rsid w:val="00F66DB1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2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2021-08-06T00:03:00Z</dcterms:created>
  <dcterms:modified xsi:type="dcterms:W3CDTF">2021-08-19T21:35:00Z</dcterms:modified>
</cp:coreProperties>
</file>