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E69B7FD" w14:textId="0D01BECC" w:rsidR="00764B3A" w:rsidRPr="00AE567F" w:rsidRDefault="001E4E01" w:rsidP="00AE567F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SimpleHDR 示例</w:t>
      </w:r>
    </w:p>
    <w:p xmlns:w="http://schemas.openxmlformats.org/wordprocessingml/2006/main" w14:paraId="6307D81A" w14:textId="131B2A63" w:rsidR="001A08F0" w:rsidRDefault="001A08F0" w:rsidP="001A08F0">
      <w:pPr>
        <w:rPr>
          <w:i/>
        </w:rPr>
      </w:pPr>
      <w:bookmarkStart w:id="0" w:name="_Hlk41512580"/>
      <w:bookmarkStart w:id="1" w:name="_Hlk41511237"/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此示例与 Microsoft 游戏开发工具包（2020 年 8 月）兼容</w:t>
      </w:r>
      <w:bookmarkEnd w:id="0"/>
    </w:p>
    <w:bookmarkEnd xmlns:w="http://schemas.openxmlformats.org/wordprocessingml/2006/main" w:id="1"/>
    <w:p xmlns:w="http://schemas.openxmlformats.org/wordprocessingml/2006/main" w14:paraId="1F712D3E" w14:textId="77777777" w:rsidR="008550D0" w:rsidRPr="008550D0" w:rsidRDefault="008550D0" w:rsidP="008550D0"/>
    <w:p xmlns:w="http://schemas.openxmlformats.org/wordprocessingml/2006/main" w14:paraId="5E2360D7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0E46FB77" w14:textId="5BB6CA40" w:rsidR="00281D12" w:rsidRDefault="00655228" w:rsidP="00281D12">
      <w:r w:rsidRPr="00655228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这是一个简单示例，演示如何在 Xbox 上实现 HDR。</w:t>
      </w:r>
    </w:p>
    <w:p xmlns:w="http://schemas.openxmlformats.org/wordprocessingml/2006/main" w14:paraId="6FE6CF13" w14:textId="77777777" w:rsidR="00281D12" w:rsidRDefault="00281D12" w:rsidP="00281D12"/>
    <w:p xmlns:w="http://schemas.openxmlformats.org/wordprocessingml/2006/main" w14:paraId="04A30B22" w14:textId="791EC76B" w:rsidR="00AE567F" w:rsidRPr="00AE567F" w:rsidRDefault="001E4E01" w:rsidP="00AE567F">
      <w:r>
        <w:rPr>
          <w:noProof/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477BAAB1" wp14:editId="74DE1056">
            <wp:extent cx="5943600" cy="3344545"/>
            <wp:effectExtent l="0" t="0" r="0" b="8255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="http://schemas.openxmlformats.org/wordprocessingml/2006/main" w14:paraId="7DEEDB4F" w14:textId="77777777" w:rsidR="00AE567F" w:rsidRDefault="00AE567F" w:rsidP="00764B3A">
      <w:pPr>
        <w:rPr>
          <w:rFonts w:ascii="Arial" w:hAnsi="Arial" w:cs="Arial"/>
          <w:lang w:val="en"/>
        </w:rPr>
      </w:pPr>
    </w:p>
    <w:p xmlns:w="http://schemas.openxmlformats.org/wordprocessingml/2006/main" w14:paraId="125C8D94" w14:textId="77777777" w:rsidR="00760396" w:rsidRDefault="00760396" w:rsidP="00760396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生成示例</w:t>
      </w:r>
    </w:p>
    <w:p xmlns:w="http://schemas.openxmlformats.org/wordprocessingml/2006/main" w14:paraId="03B01992" w14:textId="77777777" w:rsidR="00760396" w:rsidRDefault="00760396" w:rsidP="00760396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Xbox One 开发工具包，请将活动解决方案平台设置为 Gaming.Xbox.XboxOne.x64。</w:t>
      </w:r>
    </w:p>
    <w:p xmlns:w="http://schemas.openxmlformats.org/wordprocessingml/2006/main" w14:paraId="15D1AF5D" w14:textId="77777777" w:rsidR="00760396" w:rsidRDefault="00760396" w:rsidP="00760396"/>
    <w:p xmlns:w="http://schemas.openxmlformats.org/wordprocessingml/2006/main" w14:paraId="2841348A" w14:textId="77777777" w:rsidR="00760396" w:rsidRDefault="00760396" w:rsidP="00760396">
      <w:bookmarkStart w:id="2" w:name="_Hlk25673317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如果使用 Project Scarlett，请将活动解决方案平台设置为 Gaming.Xbox.Scarlett.x64。</w:t>
      </w:r>
    </w:p>
    <w:bookmarkEnd xmlns:w="http://schemas.openxmlformats.org/wordprocessingml/2006/main" w:id="2"/>
    <w:p xmlns:w="http://schemas.openxmlformats.org/wordprocessingml/2006/main" w14:paraId="68895CFC" w14:textId="77777777" w:rsidR="00760396" w:rsidRDefault="00760396" w:rsidP="00760396"/>
    <w:p xmlns:w="http://schemas.openxmlformats.org/wordprocessingml/2006/main" w14:paraId="78C11AFE" w14:textId="77777777" w:rsidR="00760396" w:rsidRDefault="00760396" w:rsidP="00760396"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有关详细信息，请参阅 GDK 文档中的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“运行示例”</w:t>
      </w: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4F605C3C" w14:textId="77777777" w:rsidR="00281D12" w:rsidRDefault="00281D12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</w:t>
      </w:r>
    </w:p>
    <w:p xmlns:w="http://schemas.openxmlformats.org/wordprocessingml/2006/main" w14:paraId="3EBF516C" w14:textId="77777777" w:rsidR="00281D12" w:rsidRDefault="006A2A92" w:rsidP="00281D1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该示例使用以下控制。</w:t>
      </w:r>
    </w:p>
    <w:p xmlns:w="http://schemas.openxmlformats.org/wordprocessingml/2006/main" w14:paraId="4CA37E17" w14:textId="77777777" w:rsidR="00281D12" w:rsidRDefault="00281D12" w:rsidP="00331038"/>
    <w:tbl xmlns:w="http://schemas.openxmlformats.org/wordprocessingml/2006/main"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6476"/>
        <w:gridCol w:w="2874"/>
      </w:tblGrid>
      <w:tr w:rsidR="006A2A92" w:rsidRPr="00C42F0D" w14:paraId="202BE7AB" w14:textId="77777777" w:rsidTr="006A2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463" w:type="pct"/>
            <w:hideMark/>
          </w:tcPr>
          <w:p w14:paraId="37291ABD" w14:textId="77777777" w:rsidR="006A2A92" w:rsidRPr="00C42F0D" w:rsidRDefault="006A2A92" w:rsidP="005E6344">
            <w:pPr>
              <w:pStyle w:val="Tableheading"/>
              <w:rPr>
                <w:bCs w:val="0"/>
              </w:rPr>
            </w:pPr>
            <w:r w:rsidRPr="00160A8A"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操作</w:t>
            </w:r>
          </w:p>
        </w:tc>
        <w:tc>
          <w:tcPr>
            <w:tcW w:w="1537" w:type="pct"/>
            <w:hideMark/>
          </w:tcPr>
          <w:p w14:paraId="3EF38B18" w14:textId="77777777" w:rsidR="006A2A92" w:rsidRPr="00C42F0D" w:rsidRDefault="006A2A92" w:rsidP="005E6344">
            <w:pPr>
              <w:pStyle w:val="Tableheading"/>
              <w:rPr>
                <w:bCs w:val="0"/>
              </w:rPr>
            </w:pP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游戏手柄</w:t>
            </w:r>
          </w:p>
        </w:tc>
      </w:tr>
      <w:tr w:rsidR="00F0071C" w14:paraId="714CFE0A" w14:textId="77777777" w:rsidTr="006A2A92">
        <w:trPr>
          <w:trHeight w:val="362"/>
        </w:trPr>
        <w:tc>
          <w:tcPr>
            <w:tcW w:w="3463" w:type="pct"/>
          </w:tcPr>
          <w:p w14:paraId="46904E15" w14:textId="77777777" w:rsidR="00F0071C" w:rsidRDefault="00F0071C" w:rsidP="005E6344">
            <w:pPr>
              <w:pStyle w:val="Tablebody"/>
            </w:pP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退出</w:t>
            </w:r>
          </w:p>
        </w:tc>
        <w:tc>
          <w:tcPr>
            <w:tcW w:w="1537" w:type="pct"/>
          </w:tcPr>
          <w:p w14:paraId="29104C54" w14:textId="77777777" w:rsidR="00F0071C" w:rsidRDefault="00F0071C" w:rsidP="005E6344">
            <w:pPr>
              <w:pStyle w:val="Tablebody"/>
            </w:pPr>
            <w:r>
              <w:rPr>
                <w:lang w:eastAsia="zh-CN" w:bidi="zh-CN" w:val="zh-CN"/>
                <w:rFonts w:ascii="Microsoft YaHei UI" w:hAnsi="Microsoft YaHei UI" w:eastAsia="Microsoft YaHei UI" w:cs="Microsoft YaHei UI" w:hint="Microsoft YaHei UI"/>
              </w:rPr>
              <w:t xml:space="preserve">“视图”按钮</w:t>
            </w:r>
          </w:p>
        </w:tc>
      </w:tr>
    </w:tbl>
    <w:p xmlns:w="http://schemas.openxmlformats.org/wordprocessingml/2006/main" w14:paraId="31BAC96F" w14:textId="77777777" w:rsidR="00E16AF8" w:rsidRDefault="00E16AF8" w:rsidP="00331038"/>
    <w:p xmlns:w="http://schemas.openxmlformats.org/wordprocessingml/2006/main" w14:paraId="65CE6E48" w14:textId="77777777" w:rsidR="003D3EF7" w:rsidRDefault="003D3EF7" w:rsidP="003D3EF7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实现说明</w:t>
      </w:r>
    </w:p>
    <w:p xmlns:w="http://schemas.openxmlformats.org/wordprocessingml/2006/main" w14:paraId="54B715BF" w14:textId="2C2D808F" w:rsidR="003346C8" w:rsidRDefault="00C8771E" w:rsidP="003D281A">
      <w:bookmarkStart w:id="3" w:name="ID2EMD"/>
      <w:bookmarkEnd w:id="3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对于 HDR，Xbox 主机需要将值发送到具有 ST.2084 伽马曲线的 Rec.2020 颜色空间中的电视。在 Xbox One 和 Xbox 系列主机上处理此问题的游戏有不同的要求和选项，涉及交换缓冲区格式、颜色空间格式和着色器输出。系统还需要用于 GameDVR 和流式处理目的的 SDR 图像。游戏可以将此 SDR 图像渲染到第二个交换链缓冲区，也可以让系统使用自动色调映射自动生成此图像。</w:t>
      </w:r>
    </w:p>
    <w:p xmlns:w="http://schemas.openxmlformats.org/wordprocessingml/2006/main" w14:paraId="7C1D6090" w14:textId="3F1D0A0A" w:rsidR="003346C8" w:rsidRDefault="003346C8" w:rsidP="003D281A"/>
    <w:p xmlns:w="http://schemas.openxmlformats.org/wordprocessingml/2006/main" w14:paraId="5816FD92" w14:textId="1CA45426" w:rsidR="00233081" w:rsidRDefault="00233081" w:rsidP="003D281A">
      <w:pPr>
        <w:rPr>
          <w:b/>
          <w:bCs/>
          <w:u w:val="single"/>
        </w:rPr>
      </w:pPr>
      <w:r w:rsidRPr="00233081">
        <w:rPr>
          <w:b/>
          <w:u w:val="single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Xbox One</w:t>
      </w:r>
    </w:p>
    <w:p xmlns:w="http://schemas.openxmlformats.org/wordprocessingml/2006/main" w14:paraId="673CE695" w14:textId="77777777" w:rsidR="00233081" w:rsidRPr="00233081" w:rsidRDefault="00233081" w:rsidP="003D281A">
      <w:pPr>
        <w:rPr>
          <w:b/>
          <w:bCs/>
          <w:u w:val="single"/>
        </w:rPr>
      </w:pPr>
    </w:p>
    <w:p xmlns:w="http://schemas.openxmlformats.org/wordprocessingml/2006/main" w14:paraId="4FB2FA57" w14:textId="77777777" w:rsidR="00233081" w:rsidRDefault="00C8771E" w:rsidP="003D28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 Xbox One 上，交换链缓冲区必须使用 DXGI_FORMAT_R10G10B10A2_UNORM 格式，并且交换链颜色空间标志必须是 DXGI_COLOR_SPACE_RGB_FULL_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G2084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_NONE_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P2020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。解读此标志的含义很简单，它会告诉图形驱动程序，游戏的着色器将在应用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ST.2084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伽马曲线的 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Rec.2020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 颜色空间中将值写入交换链。</w:t>
      </w:r>
    </w:p>
    <w:p xmlns:w="http://schemas.openxmlformats.org/wordprocessingml/2006/main" w14:paraId="094C7133" w14:textId="77777777" w:rsidR="00233081" w:rsidRDefault="00233081" w:rsidP="003D281A"/>
    <w:p xmlns:w="http://schemas.openxmlformats.org/wordprocessingml/2006/main" w14:paraId="4E07808E" w14:textId="549F6407" w:rsidR="00C8771E" w:rsidRDefault="001734D7" w:rsidP="003D28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若要选择自动色调映射，游戏会将标志 D3D12XBOX_RESOURCE_FLAG_ALLOW_AUTOMATIC_GAMEDVR_TONE_MAP 添加到其交换链创建中。请注意，在这种情况下，驱动程序将在内部分配一个额外的交换链，并注入一个计算着色器来对游戏的 HDR 图像进行色调映射以生成 SDR 图像。游戏通过组合着色器来执行自己的色调映射可能会更高效。在 PIX 中，可以在 Present 调用之前使用 PIX 命名事件“[HDR Auto Tonemap]”来识别驱动程序的自动色调映射着色器。</w:t>
      </w:r>
    </w:p>
    <w:p xmlns:w="http://schemas.openxmlformats.org/wordprocessingml/2006/main" w14:paraId="62272B7B" w14:textId="01CD4AB8" w:rsidR="003346C8" w:rsidRDefault="003346C8" w:rsidP="003D281A"/>
    <w:p xmlns:w="http://schemas.openxmlformats.org/wordprocessingml/2006/main" w14:paraId="3BB83715" w14:textId="66889A95" w:rsidR="00233081" w:rsidRPr="00233081" w:rsidRDefault="00233081" w:rsidP="003D281A">
      <w:pPr>
        <w:rPr>
          <w:b/>
          <w:bCs/>
          <w:u w:val="single"/>
        </w:rPr>
      </w:pPr>
      <w:r w:rsidRPr="00233081">
        <w:rPr>
          <w:b/>
          <w:u w:val="single"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Xbox 系列</w:t>
      </w:r>
    </w:p>
    <w:p xmlns:w="http://schemas.openxmlformats.org/wordprocessingml/2006/main" w14:paraId="3A8E52B9" w14:textId="77777777" w:rsidR="00233081" w:rsidRDefault="00233081" w:rsidP="003D281A"/>
    <w:p xmlns:w="http://schemas.openxmlformats.org/wordprocessingml/2006/main" w14:paraId="0C6349CA" w14:textId="77777777" w:rsidR="00802B0D" w:rsidRDefault="001734D7" w:rsidP="003D28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 Xbox 系列主机上，交换链可以是 DXGI_FORMAT_R9G9B9E5_SHAREDEXP 或 DXGI_FORMAT_R10G10B10A2_UNORM。建议使用 DXGI_FORMAT_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R9G9B9E5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_SHAREDEXP，因为它允许游戏呈现更高的精度值。</w:t>
      </w:r>
    </w:p>
    <w:p xmlns:w="http://schemas.openxmlformats.org/wordprocessingml/2006/main" w14:paraId="5AC637D2" w14:textId="77777777" w:rsidR="00802B0D" w:rsidRDefault="00802B0D" w:rsidP="003D281A"/>
    <w:p xmlns:w="http://schemas.openxmlformats.org/wordprocessingml/2006/main" w14:paraId="742AB4B5" w14:textId="7E8E9BA4" w:rsidR="001734D7" w:rsidRDefault="00233081" w:rsidP="003D28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交换链颜色空间标志可以是众多标志之一，它控制将在 GPU 上执行的操作以及将卸载到显示硬件的内容。建议使用 DXGI_COLOR_SPACE_RGB_FULL_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G10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_NONE_</w:t>
      </w:r>
      <w:r>
        <w:rPr>
          <w:b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D65P3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。解密此标志的含义与 Xbox One 类似。例如，前面的标志告诉驱动程序，其着色器将在 P3-D65 颜色空间中输出线性值或伽马 1.0。这意味着显示硬件会将颜色值转换为 Rec.2020 并应用 ST.2084 伽玛曲线。此建议的最大原因是大多数 HDR 电视可以显示或几乎显示 P3 颜色值。如果游戏仅输出 Rec.709 颜色，则它利用电视的显示功能。该示例演示了一个简单的色域扩展，使明亮的颜色更加丰富多彩，并且大部分图像仍然保持相同。</w:t>
      </w:r>
    </w:p>
    <w:p xmlns:w="http://schemas.openxmlformats.org/wordprocessingml/2006/main" w14:paraId="3FF5D572" w14:textId="550A3B6C" w:rsidR="009E653C" w:rsidRDefault="009E653C" w:rsidP="003D281A"/>
    <w:p xmlns:w="http://schemas.openxmlformats.org/wordprocessingml/2006/main" w14:paraId="0496833E" w14:textId="536E0C9F" w:rsidR="009E653C" w:rsidRDefault="009E653C" w:rsidP="003D28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若要使用自动音调映射，游戏可以简单地呈现单个交换链，无需像 Xbox One 那样指定额外的标志。也没有额外的 CPU、GPU、内存或带宽成本，所有这些都在显示硬件中处理。</w:t>
      </w:r>
    </w:p>
    <w:p xmlns:w="http://schemas.openxmlformats.org/wordprocessingml/2006/main" w14:paraId="4E227930" w14:textId="1B8FF7F6" w:rsidR="009E653C" w:rsidRDefault="009E653C" w:rsidP="003D281A"/>
    <w:p xmlns:w="http://schemas.openxmlformats.org/wordprocessingml/2006/main" w14:paraId="7D2863D1" w14:textId="2E416C67" w:rsidR="009E653C" w:rsidRDefault="009E653C" w:rsidP="003D281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能够将一些处理卸载到显示硬件是非常有益的，尤其是在 Lockahrt 控制台上。</w:t>
      </w:r>
    </w:p>
    <w:p xmlns:w="http://schemas.openxmlformats.org/wordprocessingml/2006/main" w14:paraId="72B6832F" w14:textId="77777777" w:rsidR="001734D7" w:rsidRDefault="001734D7" w:rsidP="003D281A"/>
    <w:p xmlns:w="http://schemas.openxmlformats.org/wordprocessingml/2006/main" w14:paraId="46214A64" w14:textId="53AAF61C" w:rsidR="00726285" w:rsidRDefault="00276B88" w:rsidP="00726285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已知问题</w:t>
      </w:r>
    </w:p>
    <w:p xmlns:w="http://schemas.openxmlformats.org/wordprocessingml/2006/main" w14:paraId="60B081E9" w14:textId="35898355" w:rsidR="00276B88" w:rsidRPr="00276B88" w:rsidRDefault="003D281A" w:rsidP="00276B88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无</w:t>
      </w:r>
    </w:p>
    <w:p xmlns:w="http://schemas.openxmlformats.org/wordprocessingml/2006/main" w14:paraId="4EF7CDFD" w14:textId="038CA7CF" w:rsidR="00276B88" w:rsidRDefault="00276B88" w:rsidP="00276B88">
      <w:pPr>
        <w:pStyle w:val="Heading1"/>
        <w:rPr>
          <w:rFonts w:cs="Segoe UI"/>
          <w:szCs w:val="20"/>
        </w:rPr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隐私声明</w:t>
      </w:r>
    </w:p>
    <w:p xmlns:w="http://schemas.openxmlformats.org/wordprocessingml/2006/main" w14:paraId="062FA72A" w14:textId="1E5F7427" w:rsidR="00726285" w:rsidRDefault="00726285" w:rsidP="00726285">
      <w:pPr>
        <w:rPr>
          <w:rFonts w:cs="Segoe UI"/>
          <w:szCs w:val="20"/>
        </w:rPr>
      </w:pPr>
      <w:r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在编译和运行示例时，将向 Microsoft 发送示例可执行文件的文件名以帮助跟踪示例使用情况。若要选择退出此数据收集，你可以删除 Main.cpp 中标记为“示例使用遥测”的代码块。</w:t>
      </w:r>
    </w:p>
    <w:p xmlns:w="http://schemas.openxmlformats.org/wordprocessingml/2006/main" w14:paraId="6D2C98A6" w14:textId="77777777" w:rsidR="00726285" w:rsidRDefault="00726285" w:rsidP="00726285">
      <w:pPr>
        <w:rPr>
          <w:rFonts w:cs="Segoe UI"/>
          <w:szCs w:val="20"/>
        </w:rPr>
      </w:pPr>
    </w:p>
    <w:p xmlns:w="http://schemas.openxmlformats.org/wordprocessingml/2006/main" w14:paraId="62E90074" w14:textId="77777777" w:rsidR="00726285" w:rsidRDefault="00726285" w:rsidP="00726285">
      <w:pPr>
        <w:rPr>
          <w:rFonts w:cs="Segoe UI"/>
          <w:szCs w:val="20"/>
        </w:rPr>
      </w:pPr>
      <w:r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有关 Microsoft 的一般隐私策略的详细信息，请参阅 </w:t>
      </w:r>
      <w:hyperlink r:id="rId8" w:history="1">
        <w:r>
          <w:rPr>
            <w:rStyle w:val="Hyperlink"/>
            <w:rFonts w:cs="Microsoft YaHei UI" w:ascii="Microsoft YaHei UI" w:hAnsi="Microsoft YaHei UI" w:eastAsia="Microsoft YaHei UI" w:hint="Microsoft YaHei UI"/>
            <w:szCs w:val="20"/>
            <w:lang w:eastAsia="zh-CN" w:bidi="zh-CN" w:val="zh-CN"/>
          </w:rPr>
          <w:t xml:space="preserve">Microsoft 隐私声明</w:t>
        </w:r>
      </w:hyperlink>
      <w:r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。</w:t>
      </w:r>
    </w:p>
    <w:p xmlns:w="http://schemas.openxmlformats.org/wordprocessingml/2006/main" w14:paraId="1FC34E90" w14:textId="77777777" w:rsidR="00726285" w:rsidRPr="00331038" w:rsidRDefault="00726285" w:rsidP="00331038"/>
    <w:sectPr xmlns:w="http://schemas.openxmlformats.org/wordprocessingml/2006/main" w:rsidR="00726285" w:rsidRPr="00331038" w:rsidSect="00DD7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C579" w14:textId="77777777" w:rsidR="00622AFA" w:rsidRDefault="00622AFA" w:rsidP="0074610F">
      <w:r>
        <w:separator/>
      </w:r>
    </w:p>
  </w:endnote>
  <w:endnote w:type="continuationSeparator" w:id="0">
    <w:p w14:paraId="0D7502B0" w14:textId="77777777" w:rsidR="00622AFA" w:rsidRDefault="00622AF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7B391C8" w14:textId="77777777" w:rsidR="0008169F" w:rsidRDefault="0008169F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4093CB0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38C43B" w14:textId="1E15BA81" w:rsidR="00843058" w:rsidRPr="00097CCA" w:rsidRDefault="00281D12" w:rsidP="00DD79DA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A00A36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0BE71CBB" wp14:editId="3C45E988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示例：SimpleHDR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3CCD4B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F32788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7169D4FF" w14:textId="77777777" w:rsidR="00843058" w:rsidRDefault="00843058">
    <w:pPr>
      <w:pStyle w:val="Footer"/>
    </w:pP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3D8346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7704A31" w14:textId="06A8F572" w:rsidR="00843058" w:rsidRPr="00097CCA" w:rsidRDefault="00281D12" w:rsidP="0065522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A00A36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55B4F9CD" wp14:editId="1AE01DB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SimpleHDR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9DB0E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DD79D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085EFD8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318FA" w14:textId="77777777" w:rsidR="00622AFA" w:rsidRDefault="00622AFA" w:rsidP="0074610F">
      <w:r>
        <w:separator/>
      </w:r>
    </w:p>
  </w:footnote>
  <w:footnote w:type="continuationSeparator" w:id="0">
    <w:p w14:paraId="5257C7D2" w14:textId="77777777" w:rsidR="00622AFA" w:rsidRDefault="00622AFA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0CC0F8E" w14:textId="77777777" w:rsidR="0008169F" w:rsidRDefault="0008169F">
    <w:pPr>
      <w:pStyle w:val="Header"/>
    </w:pP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D7DA4C0" w14:textId="77777777" w:rsidR="0008169F" w:rsidRDefault="0008169F">
    <w:pPr>
      <w:pStyle w:val="Header"/>
    </w:pPr>
  </w:p>
</w:hdr>
</file>

<file path=word/header3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C5C2514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6DC0BA5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1E5F130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AB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8D3FD" w14:textId="77777777" w:rsidR="000B6D5E" w:rsidRPr="000B6D5E" w:rsidRDefault="000B6D5E" w:rsidP="000B6D5E"/>
              <w:p w14:paraId="14495E17" w14:textId="77777777" w:rsidR="000B6D5E" w:rsidRDefault="000B6D5E" w:rsidP="000B6D5E"/>
              <w:p w14:paraId="5DAB4F4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0D36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5E15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0988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B69D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C79AE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8E07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533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7F8F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A109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038E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8E92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977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51E5A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E482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7AB6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B2B0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3495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6C1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4B6D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AFD6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4BB4FE8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611CD7B4" wp14:editId="2A8BF14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94860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5202E8D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D629F0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B7B61D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764C1C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F6ADF3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54AC985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6075F4E" w14:textId="77777777" w:rsidR="00CF3729" w:rsidRDefault="00CF3729">
    <w:pPr>
      <w:pStyle w:val="Header"/>
      <w:rPr>
        <w:sz w:val="2"/>
        <w:szCs w:val="2"/>
      </w:rPr>
    </w:pPr>
  </w:p>
  <w:p w14:paraId="13E03B09" w14:textId="77777777" w:rsidR="000B6D5E" w:rsidRDefault="000B6D5E">
    <w:pPr>
      <w:pStyle w:val="Header"/>
      <w:rPr>
        <w:sz w:val="2"/>
        <w:szCs w:val="2"/>
      </w:rPr>
    </w:pPr>
  </w:p>
  <w:p w14:paraId="1C4579F3" w14:textId="77777777" w:rsidR="000B6D5E" w:rsidRDefault="000B6D5E">
    <w:pPr>
      <w:pStyle w:val="Header"/>
      <w:rPr>
        <w:sz w:val="2"/>
        <w:szCs w:val="2"/>
      </w:rPr>
    </w:pPr>
  </w:p>
  <w:p w14:paraId="3064232A" w14:textId="77777777" w:rsidR="000B6D5E" w:rsidRDefault="000B6D5E">
    <w:pPr>
      <w:pStyle w:val="Header"/>
      <w:rPr>
        <w:sz w:val="2"/>
        <w:szCs w:val="2"/>
      </w:rPr>
    </w:pPr>
  </w:p>
  <w:p w14:paraId="0CA5CB77" w14:textId="77777777" w:rsidR="000B6D5E" w:rsidRDefault="000B6D5E">
    <w:pPr>
      <w:pStyle w:val="Header"/>
      <w:rPr>
        <w:sz w:val="2"/>
        <w:szCs w:val="2"/>
      </w:rPr>
    </w:pPr>
  </w:p>
  <w:p w14:paraId="4F7B5977" w14:textId="77777777" w:rsidR="000B6D5E" w:rsidRDefault="000B6D5E">
    <w:pPr>
      <w:pStyle w:val="Header"/>
      <w:rPr>
        <w:sz w:val="2"/>
        <w:szCs w:val="2"/>
      </w:rPr>
    </w:pPr>
  </w:p>
  <w:p w14:paraId="4A23FDC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F5D0EDE"/>
    <w:multiLevelType w:val="hybridMultilevel"/>
    <w:tmpl w:val="1E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D566E58"/>
    <w:multiLevelType w:val="hybridMultilevel"/>
    <w:tmpl w:val="D4E6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526443">
    <w:abstractNumId w:val="10"/>
  </w:num>
  <w:num w:numId="2" w16cid:durableId="1285965448">
    <w:abstractNumId w:val="10"/>
  </w:num>
  <w:num w:numId="3" w16cid:durableId="1779982138">
    <w:abstractNumId w:val="14"/>
  </w:num>
  <w:num w:numId="4" w16cid:durableId="2019456216">
    <w:abstractNumId w:val="12"/>
  </w:num>
  <w:num w:numId="5" w16cid:durableId="158229922">
    <w:abstractNumId w:val="11"/>
  </w:num>
  <w:num w:numId="6" w16cid:durableId="1574268495">
    <w:abstractNumId w:val="13"/>
  </w:num>
  <w:num w:numId="7" w16cid:durableId="403575507">
    <w:abstractNumId w:val="8"/>
  </w:num>
  <w:num w:numId="8" w16cid:durableId="1899393622">
    <w:abstractNumId w:val="5"/>
  </w:num>
  <w:num w:numId="9" w16cid:durableId="137959218">
    <w:abstractNumId w:val="9"/>
  </w:num>
  <w:num w:numId="10" w16cid:durableId="533540226">
    <w:abstractNumId w:val="6"/>
  </w:num>
  <w:num w:numId="11" w16cid:durableId="1399010944">
    <w:abstractNumId w:val="3"/>
  </w:num>
  <w:num w:numId="12" w16cid:durableId="1333871720">
    <w:abstractNumId w:val="1"/>
  </w:num>
  <w:num w:numId="13" w16cid:durableId="94248198">
    <w:abstractNumId w:val="7"/>
  </w:num>
  <w:num w:numId="14" w16cid:durableId="620191839">
    <w:abstractNumId w:val="0"/>
  </w:num>
  <w:num w:numId="15" w16cid:durableId="1609966340">
    <w:abstractNumId w:val="4"/>
  </w:num>
  <w:num w:numId="16" w16cid:durableId="29368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703E"/>
    <w:rsid w:val="000549EA"/>
    <w:rsid w:val="00054F80"/>
    <w:rsid w:val="0008169F"/>
    <w:rsid w:val="0008453D"/>
    <w:rsid w:val="00097CCA"/>
    <w:rsid w:val="000B57AA"/>
    <w:rsid w:val="000B6D5E"/>
    <w:rsid w:val="00150ED8"/>
    <w:rsid w:val="001734D7"/>
    <w:rsid w:val="001A08F0"/>
    <w:rsid w:val="001B2116"/>
    <w:rsid w:val="001C132C"/>
    <w:rsid w:val="001E4E01"/>
    <w:rsid w:val="001F34F6"/>
    <w:rsid w:val="001F5BB0"/>
    <w:rsid w:val="001F5D9E"/>
    <w:rsid w:val="00203869"/>
    <w:rsid w:val="002275C6"/>
    <w:rsid w:val="00233081"/>
    <w:rsid w:val="0024713D"/>
    <w:rsid w:val="002741D2"/>
    <w:rsid w:val="002748E9"/>
    <w:rsid w:val="00276B88"/>
    <w:rsid w:val="00281D12"/>
    <w:rsid w:val="00287A4C"/>
    <w:rsid w:val="00294A1B"/>
    <w:rsid w:val="002A7D5A"/>
    <w:rsid w:val="002C7D5A"/>
    <w:rsid w:val="002E0773"/>
    <w:rsid w:val="002E7BBB"/>
    <w:rsid w:val="00303D44"/>
    <w:rsid w:val="00321170"/>
    <w:rsid w:val="00331038"/>
    <w:rsid w:val="003346C8"/>
    <w:rsid w:val="00337BF1"/>
    <w:rsid w:val="00355166"/>
    <w:rsid w:val="003D281A"/>
    <w:rsid w:val="003D3EF7"/>
    <w:rsid w:val="003F5641"/>
    <w:rsid w:val="00410B1C"/>
    <w:rsid w:val="00425592"/>
    <w:rsid w:val="00425FDF"/>
    <w:rsid w:val="00472E21"/>
    <w:rsid w:val="004935BF"/>
    <w:rsid w:val="004B7DDA"/>
    <w:rsid w:val="00544A30"/>
    <w:rsid w:val="005640ED"/>
    <w:rsid w:val="00575766"/>
    <w:rsid w:val="00575F36"/>
    <w:rsid w:val="00585527"/>
    <w:rsid w:val="005B4DA9"/>
    <w:rsid w:val="005B6144"/>
    <w:rsid w:val="005D761C"/>
    <w:rsid w:val="005E3DA1"/>
    <w:rsid w:val="005E3EE5"/>
    <w:rsid w:val="00622AFA"/>
    <w:rsid w:val="00655228"/>
    <w:rsid w:val="006A2A92"/>
    <w:rsid w:val="006A532D"/>
    <w:rsid w:val="006B1569"/>
    <w:rsid w:val="006B7433"/>
    <w:rsid w:val="006D4B97"/>
    <w:rsid w:val="006D506E"/>
    <w:rsid w:val="00707E22"/>
    <w:rsid w:val="00726285"/>
    <w:rsid w:val="0074610F"/>
    <w:rsid w:val="00757904"/>
    <w:rsid w:val="00760396"/>
    <w:rsid w:val="007624A4"/>
    <w:rsid w:val="007631F6"/>
    <w:rsid w:val="00764B3A"/>
    <w:rsid w:val="00765885"/>
    <w:rsid w:val="00770984"/>
    <w:rsid w:val="00774A4C"/>
    <w:rsid w:val="007806DC"/>
    <w:rsid w:val="007A0848"/>
    <w:rsid w:val="007A3081"/>
    <w:rsid w:val="007C448C"/>
    <w:rsid w:val="00802B0D"/>
    <w:rsid w:val="00802E05"/>
    <w:rsid w:val="00843058"/>
    <w:rsid w:val="008550D0"/>
    <w:rsid w:val="008808CB"/>
    <w:rsid w:val="00886E89"/>
    <w:rsid w:val="00887700"/>
    <w:rsid w:val="008A63C3"/>
    <w:rsid w:val="00917557"/>
    <w:rsid w:val="00966282"/>
    <w:rsid w:val="009835DB"/>
    <w:rsid w:val="00985949"/>
    <w:rsid w:val="00985FDA"/>
    <w:rsid w:val="00987A88"/>
    <w:rsid w:val="009A2913"/>
    <w:rsid w:val="009E653C"/>
    <w:rsid w:val="00A00A36"/>
    <w:rsid w:val="00A02D95"/>
    <w:rsid w:val="00A6042E"/>
    <w:rsid w:val="00AA4DBF"/>
    <w:rsid w:val="00AE567F"/>
    <w:rsid w:val="00B15AAA"/>
    <w:rsid w:val="00B62C6B"/>
    <w:rsid w:val="00B90463"/>
    <w:rsid w:val="00BC1F23"/>
    <w:rsid w:val="00BD27A9"/>
    <w:rsid w:val="00BE12FB"/>
    <w:rsid w:val="00C8771E"/>
    <w:rsid w:val="00CC5AF9"/>
    <w:rsid w:val="00CF3729"/>
    <w:rsid w:val="00DC7DFC"/>
    <w:rsid w:val="00DD0606"/>
    <w:rsid w:val="00DD79DA"/>
    <w:rsid w:val="00DE3B8C"/>
    <w:rsid w:val="00E03C4C"/>
    <w:rsid w:val="00E16AF8"/>
    <w:rsid w:val="00E6273F"/>
    <w:rsid w:val="00ED794E"/>
    <w:rsid w:val="00EE2624"/>
    <w:rsid w:val="00F0071C"/>
    <w:rsid w:val="00F1266A"/>
    <w:rsid w:val="00F32788"/>
    <w:rsid w:val="00F40AC7"/>
    <w:rsid w:val="00F56FB3"/>
    <w:rsid w:val="00F70459"/>
    <w:rsid w:val="00F70F4D"/>
    <w:rsid w:val="00F81E1E"/>
    <w:rsid w:val="00FD3E30"/>
    <w:rsid w:val="00FE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E07FF"/>
  <w15:chartTrackingRefBased/>
  <w15:docId w15:val="{EE1039D7-AB4F-4D2C-95A6-EDE76277D9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A2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3E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3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3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55</cp:revision>
  <dcterms:created xsi:type="dcterms:W3CDTF">2016-01-25T19:58:00Z</dcterms:created>
  <dcterms:modified xsi:type="dcterms:W3CDTF">2022-03-24T07:15:00Z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2017-10-26T20:44:04.1300938Z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Extended_MSFT_Method">
    <vt:lpwstr>Automatic</vt:lpwstr>
  </property>
  <property fmtid="{D5CDD505-2E9C-101B-9397-08002B2CF9AE}" pid="7" name="Sensitivity">
    <vt:lpwstr>General</vt:lpwstr>
  </property>
</Properties>
</file>