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5A7E0" w14:textId="35CCB602" w:rsidR="00764B3A" w:rsidRPr="00AE567F" w:rsidRDefault="00B33BC4" w:rsidP="00AE567F">
      <w:pPr>
        <w:pStyle w:val="Title"/>
      </w:pPr>
      <w:r>
        <w:t xml:space="preserve">Visibility Buffer </w:t>
      </w:r>
      <w:r w:rsidR="00F70459">
        <w:t>Sample</w:t>
      </w:r>
    </w:p>
    <w:p w14:paraId="571A2A5E" w14:textId="62C4168E" w:rsidR="00D933F9" w:rsidRDefault="00D933F9" w:rsidP="00D933F9">
      <w:pPr>
        <w:rPr>
          <w:i/>
        </w:rPr>
      </w:pPr>
      <w:r>
        <w:rPr>
          <w:i/>
        </w:rPr>
        <w:t>This sample is compatible with the Microsoft Game Development Kit (</w:t>
      </w:r>
      <w:r w:rsidR="00BE4DF3">
        <w:rPr>
          <w:i/>
        </w:rPr>
        <w:t xml:space="preserve">October </w:t>
      </w:r>
      <w:r w:rsidR="00775E0A">
        <w:rPr>
          <w:i/>
        </w:rPr>
        <w:t>2021</w:t>
      </w:r>
      <w:r>
        <w:rPr>
          <w:i/>
        </w:rPr>
        <w:t>)</w:t>
      </w:r>
    </w:p>
    <w:p w14:paraId="3EEE76B7" w14:textId="77777777" w:rsidR="00884611" w:rsidRPr="00AC0BC3" w:rsidRDefault="00884611" w:rsidP="00AC0BC3"/>
    <w:p w14:paraId="2EC38C4A" w14:textId="77777777" w:rsidR="00764B3A" w:rsidRDefault="00281D12" w:rsidP="00AE567F">
      <w:pPr>
        <w:pStyle w:val="Heading1"/>
        <w:spacing w:before="0"/>
      </w:pPr>
      <w:r>
        <w:t>Description</w:t>
      </w:r>
    </w:p>
    <w:p w14:paraId="1EE9BA24" w14:textId="19C767D9" w:rsidR="00DA0049" w:rsidRDefault="00521259" w:rsidP="00521259">
      <w:r>
        <w:t>This samp</w:t>
      </w:r>
      <w:r w:rsidR="0098221F">
        <w:t xml:space="preserve">le demonstrates </w:t>
      </w:r>
      <w:r w:rsidR="0037694C">
        <w:t>a visibility buffer (deferred) rendering technique, making use of Mesh Shaders and HLSL 6.6 Dynamic Resources.</w:t>
      </w:r>
    </w:p>
    <w:p w14:paraId="0796C6F5" w14:textId="77777777" w:rsidR="0098221F" w:rsidRDefault="0098221F" w:rsidP="00521259"/>
    <w:p w14:paraId="3E5B4A3E" w14:textId="61364888" w:rsidR="00DA0049" w:rsidRDefault="0024640D" w:rsidP="00521259">
      <w:pPr>
        <w:rPr>
          <w:rFonts w:eastAsiaTheme="majorEastAsia" w:cstheme="majorBidi"/>
          <w:color w:val="006600"/>
          <w:sz w:val="28"/>
          <w:szCs w:val="32"/>
        </w:rPr>
      </w:pPr>
      <w:r>
        <w:rPr>
          <w:rFonts w:eastAsiaTheme="majorEastAsia" w:cstheme="majorBidi"/>
          <w:noProof/>
          <w:color w:val="006600"/>
          <w:sz w:val="28"/>
          <w:szCs w:val="32"/>
        </w:rPr>
        <w:drawing>
          <wp:inline distT="0" distB="0" distL="0" distR="0" wp14:anchorId="331D3B71" wp14:editId="2A357E2D">
            <wp:extent cx="5937885" cy="334264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885" cy="3342640"/>
                    </a:xfrm>
                    <a:prstGeom prst="rect">
                      <a:avLst/>
                    </a:prstGeom>
                    <a:noFill/>
                    <a:ln>
                      <a:noFill/>
                    </a:ln>
                  </pic:spPr>
                </pic:pic>
              </a:graphicData>
            </a:graphic>
          </wp:inline>
        </w:drawing>
      </w:r>
    </w:p>
    <w:p w14:paraId="75E4FF85" w14:textId="77777777" w:rsidR="008D4939" w:rsidRDefault="008D4939" w:rsidP="008D4939">
      <w:pPr>
        <w:pStyle w:val="Heading1"/>
      </w:pPr>
      <w:r>
        <w:t>Building the sample</w:t>
      </w:r>
    </w:p>
    <w:p w14:paraId="6D2B8215" w14:textId="77777777" w:rsidR="008D4939" w:rsidRDefault="008D4939" w:rsidP="008D4939">
      <w:r>
        <w:t xml:space="preserve">If using an Xbox One devkit, set the active solution platform to </w:t>
      </w:r>
      <w:proofErr w:type="gramStart"/>
      <w:r>
        <w:t>Gaming.Xbox.XboxOne.x</w:t>
      </w:r>
      <w:proofErr w:type="gramEnd"/>
      <w:r>
        <w:t>64.</w:t>
      </w:r>
    </w:p>
    <w:p w14:paraId="392A47B4" w14:textId="77777777" w:rsidR="008D4939" w:rsidRDefault="008D4939" w:rsidP="008D4939"/>
    <w:p w14:paraId="260DA9C5" w14:textId="186F3E65" w:rsidR="008D4939" w:rsidRDefault="008D4939" w:rsidP="008D4939">
      <w:r>
        <w:t xml:space="preserve">If using </w:t>
      </w:r>
      <w:r w:rsidR="00123C31">
        <w:t>Xbox Series X|S</w:t>
      </w:r>
      <w:r>
        <w:t xml:space="preserve">, set the active solution platform to </w:t>
      </w:r>
      <w:proofErr w:type="gramStart"/>
      <w:r>
        <w:t>Gaming.Xbox.Scarlett.x</w:t>
      </w:r>
      <w:proofErr w:type="gramEnd"/>
      <w:r>
        <w:t>64.</w:t>
      </w:r>
    </w:p>
    <w:p w14:paraId="0D56D02E" w14:textId="567D232A" w:rsidR="008C1900" w:rsidRDefault="008C1900" w:rsidP="008D4939"/>
    <w:p w14:paraId="08FE0A3D" w14:textId="4EA11428" w:rsidR="00412AC4" w:rsidRDefault="00412AC4" w:rsidP="009A3518">
      <w:r>
        <w:t>Building for PC (</w:t>
      </w:r>
      <w:r w:rsidRPr="008C1900">
        <w:t>Gaming.Desktop.x64</w:t>
      </w:r>
      <w:r>
        <w:t xml:space="preserve">) requires the </w:t>
      </w:r>
      <w:hyperlink r:id="rId8" w:history="1">
        <w:r w:rsidRPr="00E760CC">
          <w:rPr>
            <w:rStyle w:val="Hyperlink"/>
          </w:rPr>
          <w:t>DirectX Agility SDK</w:t>
        </w:r>
      </w:hyperlink>
      <w:r>
        <w:t xml:space="preserve"> due to the usage of HLSL SM 6.6 features. The Agility SDK is included as a NuGet package in the sample</w:t>
      </w:r>
      <w:r w:rsidR="004C115F">
        <w:t>. It also makes use of Microsoft.Windows.SDK.CPP NuGet packages to get the latest Windows SDK (22000) version of the DXC.exe compiler.</w:t>
      </w:r>
      <w:r>
        <w:t xml:space="preserve"> </w:t>
      </w:r>
      <w:r w:rsidR="009A3518">
        <w:t>Developers can also use the latest DXC directly from</w:t>
      </w:r>
      <w:r>
        <w:t xml:space="preserve"> </w:t>
      </w:r>
      <w:hyperlink r:id="rId9" w:history="1">
        <w:proofErr w:type="spellStart"/>
        <w:r w:rsidRPr="009D1408">
          <w:rPr>
            <w:rStyle w:val="Hyperlink"/>
          </w:rPr>
          <w:t>Github</w:t>
        </w:r>
        <w:proofErr w:type="spellEnd"/>
      </w:hyperlink>
      <w:r>
        <w:t>.</w:t>
      </w:r>
    </w:p>
    <w:p w14:paraId="7536BB30" w14:textId="77777777" w:rsidR="008D4939" w:rsidRDefault="008D4939" w:rsidP="008D4939"/>
    <w:p w14:paraId="2A5AF798" w14:textId="03395149" w:rsidR="00D9604E" w:rsidRDefault="008D4939" w:rsidP="003853F5">
      <w:pPr>
        <w:rPr>
          <w:i/>
        </w:rPr>
      </w:pPr>
      <w:r>
        <w:rPr>
          <w:i/>
        </w:rPr>
        <w:t xml:space="preserve">For more information, see </w:t>
      </w:r>
      <w:r>
        <w:t>Running samples</w:t>
      </w:r>
      <w:r>
        <w:rPr>
          <w:i/>
        </w:rPr>
        <w:t>, in the GDK documentation.</w:t>
      </w:r>
    </w:p>
    <w:p w14:paraId="794FBE02" w14:textId="3B982605" w:rsidR="003853F5" w:rsidRDefault="00D9604E" w:rsidP="00D9604E">
      <w:pPr>
        <w:spacing w:after="160" w:line="259" w:lineRule="auto"/>
        <w:rPr>
          <w:i/>
        </w:rPr>
      </w:pPr>
      <w:r>
        <w:rPr>
          <w:i/>
        </w:rPr>
        <w:br w:type="page"/>
      </w:r>
    </w:p>
    <w:p w14:paraId="7ED95469" w14:textId="4B8FA598" w:rsidR="003853F5" w:rsidRDefault="003853F5" w:rsidP="003853F5">
      <w:pPr>
        <w:pStyle w:val="Heading1"/>
      </w:pPr>
      <w:r>
        <w:lastRenderedPageBreak/>
        <w:t>Using the sample</w:t>
      </w:r>
    </w:p>
    <w:p w14:paraId="4F4F78B7" w14:textId="6CD68A8E" w:rsidR="005E0F34" w:rsidRDefault="003853F5" w:rsidP="00B6534B">
      <w:r>
        <w:t xml:space="preserve">The sample features a flying / first-person camera to allow the camera to be placed anywhere within the scene. </w:t>
      </w:r>
      <w:proofErr w:type="gramStart"/>
      <w:r>
        <w:t>Full</w:t>
      </w:r>
      <w:proofErr w:type="gramEnd"/>
      <w:r>
        <w:t xml:space="preserve"> explanation of the controls </w:t>
      </w:r>
      <w:proofErr w:type="gramStart"/>
      <w:r>
        <w:t>are</w:t>
      </w:r>
      <w:proofErr w:type="gramEnd"/>
      <w:r>
        <w:t xml:space="preserve"> listed below:</w:t>
      </w:r>
    </w:p>
    <w:p w14:paraId="644CCB49" w14:textId="77777777" w:rsidR="003853F5" w:rsidRDefault="003853F5" w:rsidP="003853F5">
      <w:pPr>
        <w:pStyle w:val="Heading1"/>
      </w:pPr>
      <w:r>
        <w:t>Controls</w:t>
      </w:r>
    </w:p>
    <w:p w14:paraId="711F9040" w14:textId="77777777" w:rsidR="003853F5" w:rsidRDefault="003853F5" w:rsidP="003853F5">
      <w:pPr>
        <w:rPr>
          <w:lang w:eastAsia="ja-JP"/>
        </w:rPr>
      </w:pPr>
    </w:p>
    <w:tbl>
      <w:tblPr>
        <w:tblStyle w:val="XboxOne"/>
        <w:tblpPr w:leftFromText="180" w:rightFromText="180" w:vertAnchor="text" w:horzAnchor="margin" w:tblpXSpec="center" w:tblpY="26"/>
        <w:tblW w:w="5000" w:type="pct"/>
        <w:tblLook w:val="0420" w:firstRow="1" w:lastRow="0" w:firstColumn="0" w:lastColumn="0" w:noHBand="0" w:noVBand="1"/>
      </w:tblPr>
      <w:tblGrid>
        <w:gridCol w:w="6860"/>
        <w:gridCol w:w="2494"/>
      </w:tblGrid>
      <w:tr w:rsidR="003853F5" w:rsidRPr="00C42F0D" w14:paraId="65615CCA" w14:textId="77777777" w:rsidTr="003853F5">
        <w:trPr>
          <w:cnfStyle w:val="100000000000" w:firstRow="1" w:lastRow="0" w:firstColumn="0" w:lastColumn="0" w:oddVBand="0" w:evenVBand="0" w:oddHBand="0" w:evenHBand="0" w:firstRowFirstColumn="0" w:firstRowLastColumn="0" w:lastRowFirstColumn="0" w:lastRowLastColumn="0"/>
          <w:trHeight w:val="282"/>
        </w:trPr>
        <w:tc>
          <w:tcPr>
            <w:tcW w:w="3667" w:type="pct"/>
            <w:hideMark/>
          </w:tcPr>
          <w:p w14:paraId="62EDD432" w14:textId="77777777" w:rsidR="003853F5" w:rsidRPr="00C42F0D" w:rsidRDefault="003853F5" w:rsidP="00FA65DA">
            <w:pPr>
              <w:pStyle w:val="Tableheading"/>
              <w:rPr>
                <w:bCs w:val="0"/>
              </w:rPr>
            </w:pPr>
            <w:r w:rsidRPr="00160A8A">
              <w:t>Action</w:t>
            </w:r>
          </w:p>
        </w:tc>
        <w:tc>
          <w:tcPr>
            <w:tcW w:w="1333" w:type="pct"/>
            <w:hideMark/>
          </w:tcPr>
          <w:p w14:paraId="58F26033" w14:textId="77777777" w:rsidR="003853F5" w:rsidRPr="00C42F0D" w:rsidRDefault="003853F5" w:rsidP="00FA65DA">
            <w:pPr>
              <w:pStyle w:val="Tableheading"/>
              <w:rPr>
                <w:bCs w:val="0"/>
              </w:rPr>
            </w:pPr>
            <w:r>
              <w:t>Gamepad</w:t>
            </w:r>
          </w:p>
        </w:tc>
      </w:tr>
      <w:tr w:rsidR="009837CD" w14:paraId="2CE1A2D3" w14:textId="77777777" w:rsidTr="003853F5">
        <w:trPr>
          <w:trHeight w:val="362"/>
        </w:trPr>
        <w:tc>
          <w:tcPr>
            <w:tcW w:w="3667" w:type="pct"/>
          </w:tcPr>
          <w:p w14:paraId="2253088B" w14:textId="17C043A6" w:rsidR="009837CD" w:rsidRDefault="009837CD" w:rsidP="009837CD">
            <w:pPr>
              <w:pStyle w:val="Tablebody"/>
            </w:pPr>
            <w:r>
              <w:t>View Controls</w:t>
            </w:r>
          </w:p>
        </w:tc>
        <w:tc>
          <w:tcPr>
            <w:tcW w:w="1333" w:type="pct"/>
          </w:tcPr>
          <w:p w14:paraId="667B8D1E" w14:textId="45EFF6EB" w:rsidR="009837CD" w:rsidRDefault="009837CD" w:rsidP="009837CD">
            <w:pPr>
              <w:pStyle w:val="Tablebody"/>
            </w:pPr>
            <w:r>
              <w:t>Start Button</w:t>
            </w:r>
          </w:p>
        </w:tc>
      </w:tr>
      <w:tr w:rsidR="009837CD" w14:paraId="4D04EF2D" w14:textId="77777777" w:rsidTr="003853F5">
        <w:trPr>
          <w:cnfStyle w:val="000000010000" w:firstRow="0" w:lastRow="0" w:firstColumn="0" w:lastColumn="0" w:oddVBand="0" w:evenVBand="0" w:oddHBand="0" w:evenHBand="1" w:firstRowFirstColumn="0" w:firstRowLastColumn="0" w:lastRowFirstColumn="0" w:lastRowLastColumn="0"/>
          <w:trHeight w:val="362"/>
        </w:trPr>
        <w:tc>
          <w:tcPr>
            <w:tcW w:w="3667" w:type="pct"/>
          </w:tcPr>
          <w:p w14:paraId="6331B089" w14:textId="1CBA38DD" w:rsidR="009837CD" w:rsidRDefault="009837CD" w:rsidP="009837CD">
            <w:pPr>
              <w:pStyle w:val="Tablebody"/>
            </w:pPr>
            <w:r>
              <w:t>Toggle between Visibility Buffer (Deferred) Rendering, and Forward Rendering. Visibility Buffer Rendering uses dynamic resources. Forward does not.</w:t>
            </w:r>
          </w:p>
        </w:tc>
        <w:tc>
          <w:tcPr>
            <w:tcW w:w="1333" w:type="pct"/>
          </w:tcPr>
          <w:p w14:paraId="044E5AFB" w14:textId="77777777" w:rsidR="009837CD" w:rsidRDefault="009837CD" w:rsidP="009837CD">
            <w:pPr>
              <w:pStyle w:val="Tablebody"/>
            </w:pPr>
            <w:r>
              <w:t>A</w:t>
            </w:r>
          </w:p>
        </w:tc>
      </w:tr>
      <w:tr w:rsidR="009837CD" w14:paraId="0523DC30" w14:textId="77777777" w:rsidTr="003853F5">
        <w:trPr>
          <w:trHeight w:val="362"/>
        </w:trPr>
        <w:tc>
          <w:tcPr>
            <w:tcW w:w="3667" w:type="pct"/>
          </w:tcPr>
          <w:p w14:paraId="515880B1" w14:textId="7439BD43" w:rsidR="009837CD" w:rsidRDefault="009837CD" w:rsidP="009837CD">
            <w:pPr>
              <w:pStyle w:val="Tablebody"/>
            </w:pPr>
            <w:r>
              <w:t>Cycle Visibility Buffer overlay. Shows primitive IDs or object IDs as overlay. Internally both are rendered to a single 32-bit UINT render target.</w:t>
            </w:r>
          </w:p>
        </w:tc>
        <w:tc>
          <w:tcPr>
            <w:tcW w:w="1333" w:type="pct"/>
          </w:tcPr>
          <w:p w14:paraId="4B4DDCFE" w14:textId="77777777" w:rsidR="009837CD" w:rsidRDefault="009837CD" w:rsidP="009837CD">
            <w:pPr>
              <w:pStyle w:val="Tablebody"/>
            </w:pPr>
            <w:r>
              <w:t>B</w:t>
            </w:r>
          </w:p>
        </w:tc>
      </w:tr>
      <w:tr w:rsidR="009837CD" w14:paraId="4A74FDF2" w14:textId="77777777" w:rsidTr="003853F5">
        <w:trPr>
          <w:cnfStyle w:val="000000010000" w:firstRow="0" w:lastRow="0" w:firstColumn="0" w:lastColumn="0" w:oddVBand="0" w:evenVBand="0" w:oddHBand="0" w:evenHBand="1" w:firstRowFirstColumn="0" w:firstRowLastColumn="0" w:lastRowFirstColumn="0" w:lastRowLastColumn="0"/>
          <w:trHeight w:val="362"/>
        </w:trPr>
        <w:tc>
          <w:tcPr>
            <w:tcW w:w="3667" w:type="pct"/>
          </w:tcPr>
          <w:p w14:paraId="4BE5B763" w14:textId="32CB8769" w:rsidR="009837CD" w:rsidRDefault="009837CD" w:rsidP="009837CD">
            <w:pPr>
              <w:pStyle w:val="Tablebody"/>
            </w:pPr>
            <w:r>
              <w:t>Toggle Vertex Shader / Mesh Shader geometry rendering. Applies only to Visibility Buffer mode.</w:t>
            </w:r>
            <w:r w:rsidR="007C6DCA">
              <w:t xml:space="preserve"> Only Vertex Shaders are supported on Xbox One.</w:t>
            </w:r>
          </w:p>
        </w:tc>
        <w:tc>
          <w:tcPr>
            <w:tcW w:w="1333" w:type="pct"/>
          </w:tcPr>
          <w:p w14:paraId="46B936B8" w14:textId="523FFF85" w:rsidR="009837CD" w:rsidRDefault="009837CD" w:rsidP="009837CD">
            <w:pPr>
              <w:pStyle w:val="Tablebody"/>
            </w:pPr>
            <w:r>
              <w:t>X</w:t>
            </w:r>
          </w:p>
        </w:tc>
      </w:tr>
      <w:tr w:rsidR="009837CD" w14:paraId="533A4D16" w14:textId="77777777" w:rsidTr="003853F5">
        <w:trPr>
          <w:trHeight w:val="362"/>
        </w:trPr>
        <w:tc>
          <w:tcPr>
            <w:tcW w:w="3667" w:type="pct"/>
          </w:tcPr>
          <w:p w14:paraId="5561DD50" w14:textId="77777777" w:rsidR="009837CD" w:rsidRDefault="009837CD" w:rsidP="009837CD">
            <w:pPr>
              <w:pStyle w:val="Tablebody"/>
            </w:pPr>
            <w:r>
              <w:t>Camera Forwards / Backwards / Strafe</w:t>
            </w:r>
          </w:p>
        </w:tc>
        <w:tc>
          <w:tcPr>
            <w:tcW w:w="1333" w:type="pct"/>
          </w:tcPr>
          <w:p w14:paraId="267435A2" w14:textId="77777777" w:rsidR="009837CD" w:rsidRDefault="009837CD" w:rsidP="009837CD">
            <w:pPr>
              <w:pStyle w:val="Tablebody"/>
            </w:pPr>
            <w:r>
              <w:t>Left stick</w:t>
            </w:r>
          </w:p>
        </w:tc>
      </w:tr>
      <w:tr w:rsidR="009837CD" w14:paraId="588C4472" w14:textId="77777777" w:rsidTr="003853F5">
        <w:trPr>
          <w:cnfStyle w:val="000000010000" w:firstRow="0" w:lastRow="0" w:firstColumn="0" w:lastColumn="0" w:oddVBand="0" w:evenVBand="0" w:oddHBand="0" w:evenHBand="1" w:firstRowFirstColumn="0" w:firstRowLastColumn="0" w:lastRowFirstColumn="0" w:lastRowLastColumn="0"/>
          <w:trHeight w:val="362"/>
        </w:trPr>
        <w:tc>
          <w:tcPr>
            <w:tcW w:w="3667" w:type="pct"/>
          </w:tcPr>
          <w:p w14:paraId="7EAC1889" w14:textId="77777777" w:rsidR="009837CD" w:rsidRDefault="009837CD" w:rsidP="009837CD">
            <w:pPr>
              <w:pStyle w:val="Tablebody"/>
            </w:pPr>
            <w:r>
              <w:t>Camera Yaw / Pitch</w:t>
            </w:r>
          </w:p>
        </w:tc>
        <w:tc>
          <w:tcPr>
            <w:tcW w:w="1333" w:type="pct"/>
          </w:tcPr>
          <w:p w14:paraId="2B362DEA" w14:textId="77777777" w:rsidR="009837CD" w:rsidRDefault="009837CD" w:rsidP="009837CD">
            <w:pPr>
              <w:pStyle w:val="Tablebody"/>
            </w:pPr>
            <w:r>
              <w:t>Right stick</w:t>
            </w:r>
          </w:p>
        </w:tc>
      </w:tr>
      <w:tr w:rsidR="009837CD" w14:paraId="58299876" w14:textId="77777777" w:rsidTr="003853F5">
        <w:trPr>
          <w:trHeight w:val="362"/>
        </w:trPr>
        <w:tc>
          <w:tcPr>
            <w:tcW w:w="3667" w:type="pct"/>
          </w:tcPr>
          <w:p w14:paraId="182AAC79" w14:textId="77777777" w:rsidR="009837CD" w:rsidRDefault="009837CD" w:rsidP="009837CD">
            <w:pPr>
              <w:pStyle w:val="Tablebody"/>
            </w:pPr>
            <w:r>
              <w:t>Camera Up / Down</w:t>
            </w:r>
          </w:p>
        </w:tc>
        <w:tc>
          <w:tcPr>
            <w:tcW w:w="1333" w:type="pct"/>
          </w:tcPr>
          <w:p w14:paraId="38275661" w14:textId="77777777" w:rsidR="009837CD" w:rsidRDefault="009837CD" w:rsidP="009837CD">
            <w:pPr>
              <w:pStyle w:val="Tablebody"/>
            </w:pPr>
            <w:r>
              <w:t>Left / Right Trigger</w:t>
            </w:r>
          </w:p>
        </w:tc>
      </w:tr>
      <w:tr w:rsidR="009837CD" w14:paraId="4D08F9AC" w14:textId="77777777" w:rsidTr="003853F5">
        <w:trPr>
          <w:cnfStyle w:val="000000010000" w:firstRow="0" w:lastRow="0" w:firstColumn="0" w:lastColumn="0" w:oddVBand="0" w:evenVBand="0" w:oddHBand="0" w:evenHBand="1" w:firstRowFirstColumn="0" w:firstRowLastColumn="0" w:lastRowFirstColumn="0" w:lastRowLastColumn="0"/>
          <w:trHeight w:val="362"/>
        </w:trPr>
        <w:tc>
          <w:tcPr>
            <w:tcW w:w="3667" w:type="pct"/>
          </w:tcPr>
          <w:p w14:paraId="4ECABCCF" w14:textId="77777777" w:rsidR="009837CD" w:rsidRDefault="009837CD" w:rsidP="009837CD">
            <w:pPr>
              <w:pStyle w:val="Tablebody"/>
            </w:pPr>
            <w:r>
              <w:t>Fast flying mode (Turbo)</w:t>
            </w:r>
          </w:p>
        </w:tc>
        <w:tc>
          <w:tcPr>
            <w:tcW w:w="1333" w:type="pct"/>
          </w:tcPr>
          <w:p w14:paraId="52BA3826" w14:textId="77777777" w:rsidR="009837CD" w:rsidRDefault="009837CD" w:rsidP="009837CD">
            <w:pPr>
              <w:pStyle w:val="Tablebody"/>
            </w:pPr>
            <w:r>
              <w:t>Click + Hold Left stick</w:t>
            </w:r>
          </w:p>
        </w:tc>
      </w:tr>
      <w:tr w:rsidR="009837CD" w14:paraId="6FD5B182" w14:textId="77777777" w:rsidTr="003853F5">
        <w:trPr>
          <w:trHeight w:val="362"/>
        </w:trPr>
        <w:tc>
          <w:tcPr>
            <w:tcW w:w="3667" w:type="pct"/>
          </w:tcPr>
          <w:p w14:paraId="6C5F1C97" w14:textId="77777777" w:rsidR="009837CD" w:rsidRDefault="009837CD" w:rsidP="009837CD">
            <w:pPr>
              <w:pStyle w:val="Tablebody"/>
            </w:pPr>
            <w:r>
              <w:t>Quit</w:t>
            </w:r>
          </w:p>
        </w:tc>
        <w:tc>
          <w:tcPr>
            <w:tcW w:w="1333" w:type="pct"/>
          </w:tcPr>
          <w:p w14:paraId="17D8B648" w14:textId="77777777" w:rsidR="009837CD" w:rsidRDefault="009837CD" w:rsidP="009837CD">
            <w:pPr>
              <w:pStyle w:val="Tablebody"/>
            </w:pPr>
            <w:r>
              <w:t>View Button</w:t>
            </w:r>
          </w:p>
        </w:tc>
      </w:tr>
    </w:tbl>
    <w:p w14:paraId="7407C1C2" w14:textId="77777777" w:rsidR="003853F5" w:rsidRDefault="003853F5" w:rsidP="003853F5">
      <w:pPr>
        <w:rPr>
          <w:lang w:eastAsia="ja-JP"/>
        </w:rPr>
      </w:pPr>
    </w:p>
    <w:p w14:paraId="62446CBA" w14:textId="7D8E6C2F" w:rsidR="00B6534B" w:rsidRDefault="00B6534B">
      <w:pPr>
        <w:spacing w:after="160" w:line="259" w:lineRule="auto"/>
      </w:pPr>
      <w:r>
        <w:br w:type="page"/>
      </w:r>
    </w:p>
    <w:p w14:paraId="29D3877B" w14:textId="36D6EC42" w:rsidR="003D3EF7" w:rsidRDefault="003D3EF7" w:rsidP="003D3EF7">
      <w:pPr>
        <w:pStyle w:val="Heading1"/>
      </w:pPr>
      <w:r>
        <w:lastRenderedPageBreak/>
        <w:t>Implementation notes</w:t>
      </w:r>
    </w:p>
    <w:p w14:paraId="6C83D4F2" w14:textId="77777777" w:rsidR="00BB2E03" w:rsidRDefault="005E0F34" w:rsidP="005E0F34">
      <w:r>
        <w:t xml:space="preserve">Two render paths are shown (toggled by pressing A). </w:t>
      </w:r>
    </w:p>
    <w:p w14:paraId="7FA1523B" w14:textId="77777777" w:rsidR="00BB2E03" w:rsidRDefault="00BB2E03" w:rsidP="005E0F34"/>
    <w:p w14:paraId="2B9C6E46" w14:textId="77777777" w:rsidR="00BB2E03" w:rsidRDefault="005E0F34" w:rsidP="005E0F34">
      <w:r>
        <w:t xml:space="preserve">In the Forward path, typical rasterization is performed, and all resources (Index Buffers, Vertex Buffers, Textures, Samplers, etc.) are bound either through the root signature or to the Input Assembler. </w:t>
      </w:r>
    </w:p>
    <w:p w14:paraId="33A442D9" w14:textId="77777777" w:rsidR="00BB2E03" w:rsidRDefault="00BB2E03" w:rsidP="005E0F34"/>
    <w:p w14:paraId="2F863D5F" w14:textId="21BD25F2" w:rsidR="00F228A5" w:rsidRDefault="005E0F34" w:rsidP="005E0F34">
      <w:r>
        <w:t>In the Visibility Buffer path,</w:t>
      </w:r>
      <w:r w:rsidR="0036783E">
        <w:t xml:space="preserve"> “deferred” rasterization is performed</w:t>
      </w:r>
      <w:r w:rsidR="00BB2E03">
        <w:t xml:space="preserve">, </w:t>
      </w:r>
      <w:r w:rsidR="005F3FCF">
        <w:t>with the option of Mesh Shaders or Vertex Shaders for geometry shading, and a Compute Shader performing the final scene shading</w:t>
      </w:r>
      <w:r w:rsidR="00BB2E03">
        <w:t>. If using Mesh Shaders, all resources are</w:t>
      </w:r>
      <w:r w:rsidR="0036783E">
        <w:t xml:space="preserve"> </w:t>
      </w:r>
      <w:r w:rsidR="00BB2E03">
        <w:t>accessed “</w:t>
      </w:r>
      <w:proofErr w:type="spellStart"/>
      <w:r w:rsidR="00BB2E03">
        <w:t>bindlessly</w:t>
      </w:r>
      <w:proofErr w:type="spellEnd"/>
      <w:r w:rsidR="00BB2E03">
        <w:t xml:space="preserve">” through the HLSL 6.6 features </w:t>
      </w:r>
      <w:proofErr w:type="spellStart"/>
      <w:proofErr w:type="gramStart"/>
      <w:r w:rsidR="00BB2E03">
        <w:t>ResourceDescriptorHeap</w:t>
      </w:r>
      <w:proofErr w:type="spellEnd"/>
      <w:r w:rsidR="00BB2E03">
        <w:t>[</w:t>
      </w:r>
      <w:proofErr w:type="gramEnd"/>
      <w:r w:rsidR="00BB2E03">
        <w:t xml:space="preserve">] and </w:t>
      </w:r>
      <w:proofErr w:type="spellStart"/>
      <w:r w:rsidR="00BB2E03">
        <w:t>SamplerDescriptorHeap</w:t>
      </w:r>
      <w:proofErr w:type="spellEnd"/>
      <w:r w:rsidR="00BB2E03">
        <w:t xml:space="preserve">[]. While in the Vertex Shader mode, the </w:t>
      </w:r>
      <w:r>
        <w:t xml:space="preserve">index buffer </w:t>
      </w:r>
      <w:r w:rsidR="008D0341">
        <w:t>and vertex buffer are</w:t>
      </w:r>
      <w:r>
        <w:t xml:space="preserve"> bound to the Input Assembler</w:t>
      </w:r>
      <w:r w:rsidR="00BB2E03">
        <w:t xml:space="preserve"> for performance reasons.</w:t>
      </w:r>
    </w:p>
    <w:p w14:paraId="70657619" w14:textId="7F709E54" w:rsidR="00AD2CEB" w:rsidRDefault="00AD2CEB" w:rsidP="005E0F34"/>
    <w:p w14:paraId="1E770975" w14:textId="7C41FDEC" w:rsidR="00AD2CEB" w:rsidRDefault="00AD2CEB" w:rsidP="005E0F34">
      <w:r>
        <w:t xml:space="preserve">In the Vertex Shader mode, it is also possible to only bind the index buffer, and access the vertex buffer through the </w:t>
      </w:r>
      <w:proofErr w:type="spellStart"/>
      <w:proofErr w:type="gramStart"/>
      <w:r>
        <w:t>ResourceDescriptorHeap</w:t>
      </w:r>
      <w:proofErr w:type="spellEnd"/>
      <w:r>
        <w:t>[</w:t>
      </w:r>
      <w:proofErr w:type="gramEnd"/>
      <w:r>
        <w:t>], however this caused significant performance losses on some hardware.</w:t>
      </w:r>
    </w:p>
    <w:p w14:paraId="1138E911" w14:textId="4F51E074" w:rsidR="007C6DCA" w:rsidRDefault="007C6DCA" w:rsidP="005E0F34"/>
    <w:p w14:paraId="131CB396" w14:textId="7061258E" w:rsidR="007C6DCA" w:rsidRDefault="007C6DCA" w:rsidP="005E0F34">
      <w:r>
        <w:t>Mesh Shaders are not supported on Xbox One, so only the Vertex Shader mode is available.</w:t>
      </w:r>
    </w:p>
    <w:p w14:paraId="66FA0597" w14:textId="20B54E2B" w:rsidR="000F6F85" w:rsidRDefault="000F6F85" w:rsidP="005E0F34"/>
    <w:p w14:paraId="66849911" w14:textId="5F66159D" w:rsidR="000F6F85" w:rsidRDefault="000F6F85" w:rsidP="005E0F34">
      <w:pPr>
        <w:rPr>
          <w:u w:val="single"/>
        </w:rPr>
      </w:pPr>
      <w:r w:rsidRPr="000F6F85">
        <w:rPr>
          <w:u w:val="single"/>
        </w:rPr>
        <w:t>Visibility Buffer</w:t>
      </w:r>
    </w:p>
    <w:p w14:paraId="6A580757" w14:textId="4E1E969B" w:rsidR="000F6F85" w:rsidRDefault="000F6F85" w:rsidP="005E0F34">
      <w:pPr>
        <w:rPr>
          <w:u w:val="single"/>
        </w:rPr>
      </w:pPr>
    </w:p>
    <w:p w14:paraId="068497C5" w14:textId="6C39D8D0" w:rsidR="000E1776" w:rsidRDefault="000F6F85" w:rsidP="005E0F34">
      <w:r>
        <w:t xml:space="preserve">The Visibility Buffer path is an implementation of a “deferred” renderer. </w:t>
      </w:r>
      <w:proofErr w:type="gramStart"/>
      <w:r>
        <w:t>However</w:t>
      </w:r>
      <w:proofErr w:type="gramEnd"/>
      <w:r>
        <w:t xml:space="preserve"> the initial rasterization path only outputs a single 32-bit UINT render target (Visibility Buffer), containing an object identifier in the first 12 bits (4096 possible objects) and a primitive identifier in the last 20 bits (1,048,576 triangles per object). Then, a </w:t>
      </w:r>
      <w:proofErr w:type="gramStart"/>
      <w:r>
        <w:t>compute</w:t>
      </w:r>
      <w:proofErr w:type="gramEnd"/>
      <w:r>
        <w:t xml:space="preserve"> shader pass consumes the Visibility Buffer, loads per-object constant information from the </w:t>
      </w:r>
      <w:proofErr w:type="spellStart"/>
      <w:r>
        <w:t>ResourceDescriptorHeap</w:t>
      </w:r>
      <w:proofErr w:type="spellEnd"/>
      <w:r>
        <w:t xml:space="preserve">, and then loads Index Buffers / Vertex Buffers / Textures from the </w:t>
      </w:r>
      <w:proofErr w:type="spellStart"/>
      <w:r>
        <w:t>ResourceDescriptorHeap</w:t>
      </w:r>
      <w:proofErr w:type="spellEnd"/>
      <w:r>
        <w:t xml:space="preserve">. The </w:t>
      </w:r>
      <w:proofErr w:type="gramStart"/>
      <w:r>
        <w:t>compute</w:t>
      </w:r>
      <w:proofErr w:type="gramEnd"/>
      <w:r>
        <w:t xml:space="preserve"> shader then reconstructs the hit point of each triangle</w:t>
      </w:r>
      <w:r w:rsidR="000E1776">
        <w:t xml:space="preserve"> </w:t>
      </w:r>
      <w:r>
        <w:t>and determines the appropriate interpolated texture coordinates and screen-space derivatives</w:t>
      </w:r>
      <w:r w:rsidR="00F228A5">
        <w:t>.</w:t>
      </w:r>
      <w:r>
        <w:t xml:space="preserve"> </w:t>
      </w:r>
      <w:r w:rsidR="00F228A5">
        <w:t>N</w:t>
      </w:r>
      <w:r>
        <w:t xml:space="preserve">ote that this is unlike a normal deferred renderer, where this data would have been stored in intermediate render targets after the first pass. Finally, a SamplerState object is loaded using the </w:t>
      </w:r>
      <w:proofErr w:type="spellStart"/>
      <w:r>
        <w:t>SamplerDescriptorHeap</w:t>
      </w:r>
      <w:proofErr w:type="spellEnd"/>
      <w:r>
        <w:t>, and the texture is sampled and output to the screen.</w:t>
      </w:r>
    </w:p>
    <w:p w14:paraId="539360CC" w14:textId="185CA37D" w:rsidR="00AC7016" w:rsidRDefault="00AC7016" w:rsidP="00B6534B">
      <w:pPr>
        <w:spacing w:after="160" w:line="259" w:lineRule="auto"/>
      </w:pPr>
    </w:p>
    <w:p w14:paraId="59B2D49C" w14:textId="60BB00B2" w:rsidR="00F23C82" w:rsidRDefault="00F23C82" w:rsidP="00895FBE">
      <w:pPr>
        <w:spacing w:after="160" w:line="259" w:lineRule="auto"/>
        <w:rPr>
          <w:u w:val="single"/>
        </w:rPr>
      </w:pPr>
      <w:r w:rsidRPr="00F23C82">
        <w:rPr>
          <w:u w:val="single"/>
        </w:rPr>
        <w:t>Geometry Shading</w:t>
      </w:r>
    </w:p>
    <w:p w14:paraId="01168409" w14:textId="1961510C" w:rsidR="00895FBE" w:rsidRPr="00895FBE" w:rsidRDefault="00895FBE" w:rsidP="00895FBE">
      <w:pPr>
        <w:spacing w:after="160" w:line="259" w:lineRule="auto"/>
      </w:pPr>
      <w:r>
        <w:t xml:space="preserve">This sample implements both vertex shaders and mesh shaders (where supported). The visibility buffer must include the primitive ID, which can be taken from the </w:t>
      </w:r>
      <w:proofErr w:type="spellStart"/>
      <w:r>
        <w:t>SV_PrimitiveID</w:t>
      </w:r>
      <w:proofErr w:type="spellEnd"/>
      <w:r>
        <w:t xml:space="preserve"> system semantic after a vertex shader </w:t>
      </w:r>
      <w:proofErr w:type="gramStart"/>
      <w:r>
        <w:t>pass, or</w:t>
      </w:r>
      <w:proofErr w:type="gramEnd"/>
      <w:r>
        <w:t xml:space="preserve"> passed as per-primitive output from a mesh shader.</w:t>
      </w:r>
    </w:p>
    <w:p w14:paraId="1CF2F4FF" w14:textId="05F2DF50" w:rsidR="00F23C82" w:rsidRPr="00F23C82" w:rsidRDefault="00895FBE" w:rsidP="005E0F34">
      <w:r>
        <w:t>For mesh shaders</w:t>
      </w:r>
      <w:r w:rsidR="006F2B5A">
        <w:t xml:space="preserve">, a simple launch-time </w:t>
      </w:r>
      <w:proofErr w:type="spellStart"/>
      <w:r w:rsidR="006F2B5A">
        <w:t>meshlet</w:t>
      </w:r>
      <w:proofErr w:type="spellEnd"/>
      <w:r w:rsidR="006F2B5A">
        <w:t xml:space="preserve"> splitting algorithm is performed. This algorithm expects a pre-optimized index buffer (such as the output of </w:t>
      </w:r>
      <w:proofErr w:type="spellStart"/>
      <w:r w:rsidR="006F2B5A">
        <w:t>DirectXMesh’s</w:t>
      </w:r>
      <w:proofErr w:type="spellEnd"/>
      <w:r w:rsidR="006F2B5A">
        <w:t xml:space="preserve"> </w:t>
      </w:r>
      <w:proofErr w:type="spellStart"/>
      <w:r w:rsidR="006F2B5A">
        <w:t>MeshConvert</w:t>
      </w:r>
      <w:proofErr w:type="spellEnd"/>
      <w:r w:rsidR="006F2B5A">
        <w:t xml:space="preserve"> with the -op flag). It then splits the index buffer into </w:t>
      </w:r>
      <w:proofErr w:type="spellStart"/>
      <w:r w:rsidR="006F2B5A">
        <w:t>meshlets</w:t>
      </w:r>
      <w:proofErr w:type="spellEnd"/>
      <w:r w:rsidR="006F2B5A">
        <w:t xml:space="preserve"> that meet a max vertex / max primitive limit, while maintaining the existing primitive ordering. Then a very simple mesh shader can load the </w:t>
      </w:r>
      <w:proofErr w:type="spellStart"/>
      <w:r w:rsidR="006F2B5A">
        <w:t>meshlet</w:t>
      </w:r>
      <w:proofErr w:type="spellEnd"/>
      <w:r w:rsidR="006F2B5A">
        <w:t xml:space="preserve"> information through </w:t>
      </w:r>
      <w:proofErr w:type="spellStart"/>
      <w:proofErr w:type="gramStart"/>
      <w:r w:rsidR="006F2B5A">
        <w:t>ResourceDescriptorHeap</w:t>
      </w:r>
      <w:proofErr w:type="spellEnd"/>
      <w:r w:rsidR="006F2B5A">
        <w:t>[</w:t>
      </w:r>
      <w:proofErr w:type="gramEnd"/>
      <w:r w:rsidR="006F2B5A">
        <w:t xml:space="preserve">], perform normal vertex shading, and output the </w:t>
      </w:r>
      <w:proofErr w:type="spellStart"/>
      <w:r w:rsidR="006F2B5A">
        <w:t>primitiveID</w:t>
      </w:r>
      <w:proofErr w:type="spellEnd"/>
      <w:r w:rsidR="006F2B5A">
        <w:t xml:space="preserve"> in a per-primitive export. This ID maintains the same ordering as the original index buffer, so it can be used with the same compute shader, without the </w:t>
      </w:r>
      <w:proofErr w:type="gramStart"/>
      <w:r w:rsidR="006F2B5A">
        <w:t>compute</w:t>
      </w:r>
      <w:proofErr w:type="gramEnd"/>
      <w:r w:rsidR="006F2B5A">
        <w:t xml:space="preserve"> shader needing to understand the </w:t>
      </w:r>
      <w:proofErr w:type="spellStart"/>
      <w:r w:rsidR="006F2B5A">
        <w:t>meshlet</w:t>
      </w:r>
      <w:proofErr w:type="spellEnd"/>
      <w:r w:rsidR="006F2B5A">
        <w:t xml:space="preserve"> format.</w:t>
      </w:r>
    </w:p>
    <w:p w14:paraId="6F4C0B26" w14:textId="77777777" w:rsidR="00F23C82" w:rsidRDefault="00F23C82" w:rsidP="005E0F34">
      <w:pPr>
        <w:rPr>
          <w:u w:val="single"/>
        </w:rPr>
      </w:pPr>
    </w:p>
    <w:p w14:paraId="6ADB0338" w14:textId="604A705B" w:rsidR="00AC2158" w:rsidRDefault="00AC2158" w:rsidP="005E0F34">
      <w:pPr>
        <w:rPr>
          <w:u w:val="single"/>
        </w:rPr>
      </w:pPr>
      <w:r w:rsidRPr="00AC2158">
        <w:rPr>
          <w:u w:val="single"/>
        </w:rPr>
        <w:t>Performance</w:t>
      </w:r>
    </w:p>
    <w:p w14:paraId="32D7AF07" w14:textId="4D79098E" w:rsidR="00AC2158" w:rsidRDefault="00AC2158" w:rsidP="005E0F34"/>
    <w:p w14:paraId="377065FA" w14:textId="1737A85E" w:rsidR="0003551E" w:rsidRDefault="0003551E" w:rsidP="005E0F34">
      <w:r>
        <w:t xml:space="preserve">The performance of this technique depends on many factors. </w:t>
      </w:r>
      <w:r w:rsidR="00A343FE">
        <w:t>The geometry shading costs and tradeoffs between mesh shaders and vertex shaders will depend on the target GPU platform and asset sizes.</w:t>
      </w:r>
    </w:p>
    <w:p w14:paraId="4F5FF61C" w14:textId="77777777" w:rsidR="0003551E" w:rsidRDefault="0003551E" w:rsidP="005E0F34"/>
    <w:p w14:paraId="35BDEE75" w14:textId="4078C3D6" w:rsidR="00AC2158" w:rsidRDefault="004D21B0" w:rsidP="005E0F34">
      <w:r>
        <w:lastRenderedPageBreak/>
        <w:t>Additionally</w:t>
      </w:r>
      <w:r w:rsidR="00AC2158">
        <w:t>, the Forward Renderer’s pixel shader work can</w:t>
      </w:r>
      <w:r>
        <w:t xml:space="preserve"> </w:t>
      </w:r>
      <w:r w:rsidR="00AC2158">
        <w:t xml:space="preserve">be run in parallel with the vertex shader work, while the Visibility Buffer Renderer must perform </w:t>
      </w:r>
      <w:proofErr w:type="gramStart"/>
      <w:r w:rsidR="00AC2158">
        <w:t>it’s</w:t>
      </w:r>
      <w:proofErr w:type="gramEnd"/>
      <w:r w:rsidR="00AC2158">
        <w:t xml:space="preserve"> “pixel shading” in compute, after all vertices have been processed.</w:t>
      </w:r>
      <w:r>
        <w:t xml:space="preserve"> This means that unless the pixel work outweighs the vertex work, any overdraw costs will be hidden by the larger vertex shader work.</w:t>
      </w:r>
    </w:p>
    <w:p w14:paraId="10846F43" w14:textId="43AD1AB5" w:rsidR="00AC2158" w:rsidRDefault="00AC2158" w:rsidP="005E0F34"/>
    <w:p w14:paraId="62E66286" w14:textId="4397A201" w:rsidR="00AC2158" w:rsidRDefault="00AC2158" w:rsidP="005E0F34">
      <w:r>
        <w:t xml:space="preserve">However, the </w:t>
      </w:r>
      <w:proofErr w:type="gramStart"/>
      <w:r>
        <w:t>compute</w:t>
      </w:r>
      <w:proofErr w:type="gramEnd"/>
      <w:r>
        <w:t xml:space="preserve"> shader is very efficient, and if pixel shader work dominates, the Visibility Buffer Renderer can become more performant. This is primarily due to the complete lack of overdraw</w:t>
      </w:r>
      <w:r w:rsidR="00747763">
        <w:t xml:space="preserve"> and the slight performance wins of mesh shaders</w:t>
      </w:r>
      <w:r>
        <w:t xml:space="preserve">, however there may also be benefits to avoiding quad helper lanes, and quirks of primitive output which may slow down </w:t>
      </w:r>
      <w:r w:rsidR="001C2FB2">
        <w:t xml:space="preserve">pixel shader </w:t>
      </w:r>
      <w:r>
        <w:t>waves.</w:t>
      </w:r>
    </w:p>
    <w:p w14:paraId="56FCD581" w14:textId="3C97AA27" w:rsidR="0016113A" w:rsidRDefault="0016113A" w:rsidP="005E0F34"/>
    <w:p w14:paraId="2167706A" w14:textId="2BE62E8F" w:rsidR="0016113A" w:rsidRDefault="0016113A" w:rsidP="005E0F34">
      <w:r>
        <w:t>In this sample both the Forward Renderer and Visibility Buffer Renderer perform many redundant texture fetches in a loop at the end of their shading. This is in attempt to increase the pixel shader costs to better reflect overdraw performance differences, as without this the vertex shader work always dominates.</w:t>
      </w:r>
    </w:p>
    <w:p w14:paraId="733E9451" w14:textId="42CCE202" w:rsidR="00A424AA" w:rsidRDefault="00A424AA" w:rsidP="005E0F34"/>
    <w:p w14:paraId="490746DC" w14:textId="3D6C974F" w:rsidR="00A424AA" w:rsidRPr="00AC2158" w:rsidRDefault="00A424AA" w:rsidP="005E0F34">
      <w:r>
        <w:t xml:space="preserve">Finally, although no traditional Deferred Renderer is implemented in this sample, there may be benefits to this </w:t>
      </w:r>
      <w:proofErr w:type="gramStart"/>
      <w:r>
        <w:t>method over that</w:t>
      </w:r>
      <w:proofErr w:type="gramEnd"/>
      <w:r>
        <w:t xml:space="preserve"> as well. A </w:t>
      </w:r>
      <w:proofErr w:type="gramStart"/>
      <w:r>
        <w:t>key note</w:t>
      </w:r>
      <w:proofErr w:type="gramEnd"/>
      <w:r>
        <w:t xml:space="preserve"> is far lower render target memory requirements, with the Visibility Buffer only being a single 32-bit target, as opposed to multiple targets for diffuse/normal/</w:t>
      </w:r>
      <w:proofErr w:type="spellStart"/>
      <w:r>
        <w:t>specularity</w:t>
      </w:r>
      <w:proofErr w:type="spellEnd"/>
      <w:r>
        <w:t xml:space="preserve">/etc. </w:t>
      </w:r>
      <w:proofErr w:type="gramStart"/>
      <w:r>
        <w:t>Similarly</w:t>
      </w:r>
      <w:proofErr w:type="gramEnd"/>
      <w:r>
        <w:t xml:space="preserve"> there is much less fill-rate required, as only the one target is written in the initial pass, and only one UAV is output from the </w:t>
      </w:r>
      <w:proofErr w:type="gramStart"/>
      <w:r>
        <w:t>compute</w:t>
      </w:r>
      <w:proofErr w:type="gramEnd"/>
      <w:r>
        <w:t xml:space="preserve"> shader. Required resources are pulled directly from the descriptor heap when necessary.</w:t>
      </w:r>
    </w:p>
    <w:p w14:paraId="629A0D1B" w14:textId="77777777" w:rsidR="00875878" w:rsidRDefault="00875878" w:rsidP="00875878">
      <w:pPr>
        <w:pStyle w:val="Heading1"/>
      </w:pPr>
      <w:bookmarkStart w:id="0" w:name="ID2EMD"/>
      <w:bookmarkEnd w:id="0"/>
      <w:r>
        <w:t>Privacy Statement</w:t>
      </w:r>
    </w:p>
    <w:p w14:paraId="4AF5A431" w14:textId="77777777" w:rsidR="00875878" w:rsidRDefault="00875878" w:rsidP="00875878">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4CA8CE68" w14:textId="77777777" w:rsidR="00875878" w:rsidRDefault="00875878" w:rsidP="00875878">
      <w:pPr>
        <w:rPr>
          <w:rFonts w:cs="Segoe UI"/>
          <w:szCs w:val="20"/>
        </w:rPr>
      </w:pPr>
    </w:p>
    <w:p w14:paraId="0303471F" w14:textId="77777777" w:rsidR="00875878" w:rsidRDefault="00875878" w:rsidP="00875878">
      <w:pPr>
        <w:rPr>
          <w:rFonts w:cs="Segoe UI"/>
          <w:szCs w:val="20"/>
        </w:rPr>
      </w:pPr>
      <w:r>
        <w:rPr>
          <w:rFonts w:cs="Segoe UI"/>
          <w:szCs w:val="20"/>
        </w:rPr>
        <w:t xml:space="preserve">For more information about Microsoft’s privacy policies in general, see the </w:t>
      </w:r>
      <w:hyperlink r:id="rId10" w:history="1">
        <w:r>
          <w:rPr>
            <w:rStyle w:val="Hyperlink"/>
            <w:rFonts w:cs="Segoe UI"/>
            <w:szCs w:val="20"/>
          </w:rPr>
          <w:t>Microsoft Privacy Statement</w:t>
        </w:r>
      </w:hyperlink>
      <w:r>
        <w:rPr>
          <w:rFonts w:cs="Segoe UI"/>
          <w:szCs w:val="20"/>
        </w:rPr>
        <w:t>.</w:t>
      </w:r>
    </w:p>
    <w:sectPr w:rsidR="00875878" w:rsidSect="00FB5429">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1D4EC" w14:textId="77777777" w:rsidR="00A207D6" w:rsidRDefault="00A207D6" w:rsidP="0074610F">
      <w:r>
        <w:separator/>
      </w:r>
    </w:p>
  </w:endnote>
  <w:endnote w:type="continuationSeparator" w:id="0">
    <w:p w14:paraId="3F5F04B6" w14:textId="77777777" w:rsidR="00A207D6" w:rsidRDefault="00A207D6"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249F8A9D" w14:textId="77777777" w:rsidTr="00E37847">
      <w:tc>
        <w:tcPr>
          <w:tcW w:w="4500" w:type="pct"/>
          <w:tcBorders>
            <w:top w:val="single" w:sz="4" w:space="0" w:color="808080" w:themeColor="background1" w:themeShade="80"/>
          </w:tcBorders>
          <w:shd w:val="clear" w:color="auto" w:fill="auto"/>
        </w:tcPr>
        <w:p w14:paraId="76D5975F" w14:textId="4AEEBE4F" w:rsidR="00843058" w:rsidRPr="00097CCA" w:rsidRDefault="00281D12" w:rsidP="004A772C">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BE4DF3">
            <w:rPr>
              <w:rFonts w:cs="Segoe UI"/>
              <w:noProof/>
              <w:color w:val="808080" w:themeColor="background1" w:themeShade="80"/>
              <w:sz w:val="16"/>
              <w:szCs w:val="16"/>
            </w:rPr>
            <w:t>2022</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015BA261" wp14:editId="3371206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B33BC4">
            <w:rPr>
              <w:rFonts w:cs="Segoe UI"/>
              <w:color w:val="808080" w:themeColor="background1" w:themeShade="80"/>
              <w:szCs w:val="20"/>
            </w:rPr>
            <w:t>VisibilityBuffer</w:t>
          </w:r>
        </w:p>
      </w:tc>
      <w:tc>
        <w:tcPr>
          <w:tcW w:w="500" w:type="pct"/>
          <w:tcBorders>
            <w:top w:val="single" w:sz="4" w:space="0" w:color="808080" w:themeColor="background1" w:themeShade="80"/>
          </w:tcBorders>
          <w:shd w:val="clear" w:color="auto" w:fill="auto"/>
        </w:tcPr>
        <w:p w14:paraId="7B1D0D98"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033E4D">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17956F65"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186C9E8" w14:textId="77777777" w:rsidTr="00F70459">
      <w:tc>
        <w:tcPr>
          <w:tcW w:w="4500" w:type="pct"/>
          <w:tcBorders>
            <w:top w:val="single" w:sz="4" w:space="0" w:color="808080" w:themeColor="background1" w:themeShade="80"/>
          </w:tcBorders>
          <w:shd w:val="clear" w:color="auto" w:fill="auto"/>
        </w:tcPr>
        <w:p w14:paraId="5E520208" w14:textId="26EF3120"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BE4DF3">
            <w:rPr>
              <w:rFonts w:cs="Segoe UI"/>
              <w:noProof/>
              <w:color w:val="808080" w:themeColor="background1" w:themeShade="80"/>
              <w:sz w:val="16"/>
              <w:szCs w:val="16"/>
            </w:rPr>
            <w:t>2022</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29244B7B" wp14:editId="70707FF4">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AC1631">
            <w:rPr>
              <w:rFonts w:cs="Segoe UI"/>
              <w:color w:val="808080" w:themeColor="background1" w:themeShade="80"/>
              <w:szCs w:val="20"/>
            </w:rPr>
            <w:t>SimpleTriangle</w:t>
          </w:r>
        </w:p>
      </w:tc>
      <w:tc>
        <w:tcPr>
          <w:tcW w:w="500" w:type="pct"/>
          <w:tcBorders>
            <w:top w:val="single" w:sz="4" w:space="0" w:color="808080" w:themeColor="background1" w:themeShade="80"/>
          </w:tcBorders>
          <w:shd w:val="clear" w:color="auto" w:fill="auto"/>
        </w:tcPr>
        <w:p w14:paraId="0B24E58B"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FB5429">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4AFC9CE7"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10A68" w14:textId="77777777" w:rsidR="00A207D6" w:rsidRDefault="00A207D6" w:rsidP="0074610F">
      <w:r>
        <w:separator/>
      </w:r>
    </w:p>
  </w:footnote>
  <w:footnote w:type="continuationSeparator" w:id="0">
    <w:p w14:paraId="44BD2245" w14:textId="77777777" w:rsidR="00A207D6" w:rsidRDefault="00A207D6"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20DD7DBB" w14:textId="77777777" w:rsidTr="000B6D5E">
      <w:trPr>
        <w:trHeight w:val="1340"/>
      </w:trPr>
      <w:tc>
        <w:tcPr>
          <w:tcW w:w="12240" w:type="dxa"/>
          <w:tcBorders>
            <w:top w:val="nil"/>
            <w:left w:val="nil"/>
            <w:bottom w:val="nil"/>
            <w:right w:val="nil"/>
          </w:tcBorders>
          <w:shd w:val="clear" w:color="auto" w:fill="323232"/>
        </w:tcPr>
        <w:p w14:paraId="4174232D"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497820F7" w14:textId="77777777" w:rsidTr="000B6D5E">
            <w:trPr>
              <w:gridAfter w:val="2"/>
              <w:wAfter w:w="2008" w:type="dxa"/>
            </w:trPr>
            <w:tc>
              <w:tcPr>
                <w:tcW w:w="1152" w:type="dxa"/>
                <w:shd w:val="clear" w:color="auto" w:fill="323232"/>
              </w:tcPr>
              <w:p w14:paraId="1F765542" w14:textId="77777777" w:rsidR="000B6D5E" w:rsidRDefault="000B6D5E" w:rsidP="00CF3729">
                <w:pPr>
                  <w:pStyle w:val="atgtitle"/>
                  <w:rPr>
                    <w:sz w:val="2"/>
                    <w:szCs w:val="2"/>
                  </w:rPr>
                </w:pPr>
              </w:p>
              <w:p w14:paraId="19B18BA3" w14:textId="77777777" w:rsidR="000B6D5E" w:rsidRPr="000B6D5E" w:rsidRDefault="000B6D5E" w:rsidP="000B6D5E"/>
              <w:p w14:paraId="4B46AAB4" w14:textId="77777777" w:rsidR="000B6D5E" w:rsidRDefault="000B6D5E" w:rsidP="000B6D5E"/>
              <w:p w14:paraId="710FA7F6" w14:textId="77777777" w:rsidR="000B6D5E" w:rsidRPr="000B6D5E" w:rsidRDefault="000B6D5E" w:rsidP="000B6D5E">
                <w:pPr>
                  <w:jc w:val="center"/>
                </w:pPr>
              </w:p>
            </w:tc>
            <w:tc>
              <w:tcPr>
                <w:tcW w:w="19" w:type="dxa"/>
                <w:shd w:val="clear" w:color="auto" w:fill="323232"/>
              </w:tcPr>
              <w:p w14:paraId="00AB69C7"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4B05AFDD" w14:textId="77777777" w:rsidR="000B6D5E" w:rsidRDefault="000B6D5E" w:rsidP="00CF3729">
                <w:pPr>
                  <w:pStyle w:val="atgtitle"/>
                  <w:rPr>
                    <w:sz w:val="2"/>
                    <w:szCs w:val="2"/>
                  </w:rPr>
                </w:pPr>
              </w:p>
              <w:p w14:paraId="34389072" w14:textId="77777777" w:rsidR="000B6D5E" w:rsidRDefault="000B6D5E" w:rsidP="00CF3729">
                <w:pPr>
                  <w:pStyle w:val="atgtitle"/>
                  <w:rPr>
                    <w:sz w:val="2"/>
                    <w:szCs w:val="2"/>
                  </w:rPr>
                </w:pPr>
              </w:p>
              <w:p w14:paraId="790A3E93" w14:textId="77777777" w:rsidR="000B6D5E" w:rsidRDefault="000B6D5E" w:rsidP="00CF3729">
                <w:pPr>
                  <w:pStyle w:val="atgtitle"/>
                  <w:rPr>
                    <w:sz w:val="2"/>
                    <w:szCs w:val="2"/>
                  </w:rPr>
                </w:pPr>
              </w:p>
              <w:p w14:paraId="190F9374" w14:textId="77777777" w:rsidR="000B6D5E" w:rsidRDefault="000B6D5E" w:rsidP="00CF3729">
                <w:pPr>
                  <w:pStyle w:val="atgtitle"/>
                  <w:rPr>
                    <w:sz w:val="2"/>
                    <w:szCs w:val="2"/>
                  </w:rPr>
                </w:pPr>
              </w:p>
              <w:p w14:paraId="05987AF9" w14:textId="77777777" w:rsidR="000B6D5E" w:rsidRDefault="000B6D5E" w:rsidP="00CF3729">
                <w:pPr>
                  <w:pStyle w:val="atgtitle"/>
                  <w:rPr>
                    <w:sz w:val="2"/>
                    <w:szCs w:val="2"/>
                  </w:rPr>
                </w:pPr>
              </w:p>
              <w:p w14:paraId="45B24DEA" w14:textId="77777777" w:rsidR="000B6D5E" w:rsidRDefault="000B6D5E" w:rsidP="00CF3729">
                <w:pPr>
                  <w:pStyle w:val="atgtitle"/>
                  <w:rPr>
                    <w:sz w:val="2"/>
                    <w:szCs w:val="2"/>
                  </w:rPr>
                </w:pPr>
              </w:p>
              <w:p w14:paraId="6463F155" w14:textId="77777777" w:rsidR="000B6D5E" w:rsidRDefault="000B6D5E" w:rsidP="00CF3729">
                <w:pPr>
                  <w:pStyle w:val="atgtitle"/>
                  <w:rPr>
                    <w:sz w:val="2"/>
                    <w:szCs w:val="2"/>
                  </w:rPr>
                </w:pPr>
              </w:p>
              <w:p w14:paraId="692E3639" w14:textId="77777777" w:rsidR="000B6D5E" w:rsidRDefault="000B6D5E" w:rsidP="00CF3729">
                <w:pPr>
                  <w:pStyle w:val="atgtitle"/>
                  <w:rPr>
                    <w:sz w:val="2"/>
                    <w:szCs w:val="2"/>
                  </w:rPr>
                </w:pPr>
              </w:p>
              <w:p w14:paraId="2CE31B93" w14:textId="77777777" w:rsidR="000B6D5E" w:rsidRDefault="000B6D5E" w:rsidP="00CF3729">
                <w:pPr>
                  <w:pStyle w:val="atgtitle"/>
                  <w:rPr>
                    <w:sz w:val="2"/>
                    <w:szCs w:val="2"/>
                  </w:rPr>
                </w:pPr>
              </w:p>
              <w:p w14:paraId="1FA59B57" w14:textId="77777777" w:rsidR="000B6D5E" w:rsidRDefault="000B6D5E" w:rsidP="00CF3729">
                <w:pPr>
                  <w:pStyle w:val="atgtitle"/>
                  <w:rPr>
                    <w:sz w:val="2"/>
                    <w:szCs w:val="2"/>
                  </w:rPr>
                </w:pPr>
              </w:p>
              <w:p w14:paraId="2F451047" w14:textId="77777777" w:rsidR="000B6D5E" w:rsidRDefault="000B6D5E" w:rsidP="00CF3729">
                <w:pPr>
                  <w:pStyle w:val="atgtitle"/>
                  <w:rPr>
                    <w:sz w:val="2"/>
                    <w:szCs w:val="2"/>
                  </w:rPr>
                </w:pPr>
              </w:p>
              <w:p w14:paraId="078E4C10" w14:textId="77777777" w:rsidR="000B6D5E" w:rsidRDefault="000B6D5E" w:rsidP="00CF3729">
                <w:pPr>
                  <w:pStyle w:val="atgtitle"/>
                  <w:rPr>
                    <w:sz w:val="2"/>
                    <w:szCs w:val="2"/>
                  </w:rPr>
                </w:pPr>
              </w:p>
              <w:p w14:paraId="7908B43C" w14:textId="77777777" w:rsidR="000B6D5E" w:rsidRDefault="000B6D5E" w:rsidP="00CF3729">
                <w:pPr>
                  <w:pStyle w:val="atgtitle"/>
                  <w:rPr>
                    <w:sz w:val="2"/>
                    <w:szCs w:val="2"/>
                  </w:rPr>
                </w:pPr>
              </w:p>
              <w:p w14:paraId="5DF76B5D" w14:textId="77777777" w:rsidR="000B6D5E" w:rsidRDefault="000B6D5E" w:rsidP="00CF3729">
                <w:pPr>
                  <w:pStyle w:val="atgtitle"/>
                  <w:rPr>
                    <w:sz w:val="2"/>
                    <w:szCs w:val="2"/>
                  </w:rPr>
                </w:pPr>
              </w:p>
              <w:p w14:paraId="77DEBB81" w14:textId="77777777" w:rsidR="000B6D5E" w:rsidRDefault="000B6D5E" w:rsidP="00CF3729">
                <w:pPr>
                  <w:pStyle w:val="atgtitle"/>
                  <w:rPr>
                    <w:sz w:val="2"/>
                    <w:szCs w:val="2"/>
                  </w:rPr>
                </w:pPr>
              </w:p>
              <w:p w14:paraId="36CC3335" w14:textId="77777777" w:rsidR="000B6D5E" w:rsidRDefault="000B6D5E" w:rsidP="00CF3729">
                <w:pPr>
                  <w:pStyle w:val="atgtitle"/>
                  <w:rPr>
                    <w:sz w:val="2"/>
                    <w:szCs w:val="2"/>
                  </w:rPr>
                </w:pPr>
              </w:p>
              <w:p w14:paraId="52D54F18" w14:textId="77777777" w:rsidR="000B6D5E" w:rsidRDefault="000B6D5E" w:rsidP="00CF3729">
                <w:pPr>
                  <w:pStyle w:val="atgtitle"/>
                  <w:rPr>
                    <w:sz w:val="2"/>
                    <w:szCs w:val="2"/>
                  </w:rPr>
                </w:pPr>
              </w:p>
              <w:p w14:paraId="5C483990" w14:textId="77777777" w:rsidR="000B6D5E" w:rsidRDefault="000B6D5E" w:rsidP="00CF3729">
                <w:pPr>
                  <w:pStyle w:val="atgtitle"/>
                  <w:rPr>
                    <w:sz w:val="2"/>
                    <w:szCs w:val="2"/>
                  </w:rPr>
                </w:pPr>
              </w:p>
              <w:p w14:paraId="59D52E17" w14:textId="77777777" w:rsidR="000B6D5E" w:rsidRPr="00CF3729" w:rsidRDefault="000B6D5E" w:rsidP="00CF3729">
                <w:pPr>
                  <w:pStyle w:val="atgtitle"/>
                  <w:rPr>
                    <w:sz w:val="2"/>
                    <w:szCs w:val="2"/>
                  </w:rPr>
                </w:pPr>
                <w:r w:rsidRPr="00CF3729">
                  <w:rPr>
                    <w:sz w:val="2"/>
                    <w:szCs w:val="2"/>
                  </w:rPr>
                  <w:t xml:space="preserve">         </w:t>
                </w:r>
              </w:p>
              <w:p w14:paraId="62560DF5" w14:textId="77777777" w:rsidR="000B6D5E" w:rsidRPr="00CF3729" w:rsidRDefault="000B6D5E" w:rsidP="00CF3729">
                <w:pPr>
                  <w:rPr>
                    <w:sz w:val="2"/>
                    <w:szCs w:val="2"/>
                  </w:rPr>
                </w:pPr>
                <w:r>
                  <w:rPr>
                    <w:noProof/>
                  </w:rPr>
                  <w:drawing>
                    <wp:inline distT="0" distB="0" distL="0" distR="0" wp14:anchorId="15F40B79" wp14:editId="4E68E4F4">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1A625589" w14:textId="77777777" w:rsidR="000B6D5E" w:rsidRPr="00CF3729" w:rsidRDefault="000B6D5E" w:rsidP="00CF3729">
                <w:pPr>
                  <w:rPr>
                    <w:sz w:val="2"/>
                    <w:szCs w:val="2"/>
                  </w:rPr>
                </w:pPr>
              </w:p>
            </w:tc>
          </w:tr>
          <w:tr w:rsidR="000B6D5E" w:rsidRPr="00CF3729" w14:paraId="1948D670" w14:textId="77777777" w:rsidTr="000B6D5E">
            <w:trPr>
              <w:trHeight w:val="90"/>
            </w:trPr>
            <w:tc>
              <w:tcPr>
                <w:tcW w:w="1152" w:type="dxa"/>
                <w:shd w:val="clear" w:color="auto" w:fill="323232"/>
              </w:tcPr>
              <w:p w14:paraId="2095866A" w14:textId="77777777" w:rsidR="000B6D5E" w:rsidRPr="00CF3729" w:rsidRDefault="000B6D5E" w:rsidP="00CF3729">
                <w:pPr>
                  <w:pStyle w:val="atgformheaders"/>
                  <w:rPr>
                    <w:sz w:val="2"/>
                    <w:szCs w:val="2"/>
                  </w:rPr>
                </w:pPr>
              </w:p>
            </w:tc>
            <w:tc>
              <w:tcPr>
                <w:tcW w:w="2027" w:type="dxa"/>
                <w:gridSpan w:val="2"/>
                <w:shd w:val="clear" w:color="auto" w:fill="323232"/>
              </w:tcPr>
              <w:p w14:paraId="23524C74"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274BBD9B"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FB5B761" w14:textId="77777777" w:rsidR="000B6D5E" w:rsidRPr="00CF3729" w:rsidRDefault="000B6D5E" w:rsidP="00CF3729">
                <w:pPr>
                  <w:pStyle w:val="atgformheaders"/>
                  <w:rPr>
                    <w:sz w:val="2"/>
                    <w:szCs w:val="2"/>
                  </w:rPr>
                </w:pPr>
                <w:r w:rsidRPr="00CF3729">
                  <w:rPr>
                    <w:sz w:val="2"/>
                    <w:szCs w:val="2"/>
                  </w:rPr>
                  <w:t xml:space="preserve">            </w:t>
                </w:r>
              </w:p>
            </w:tc>
          </w:tr>
        </w:tbl>
        <w:p w14:paraId="1A574422" w14:textId="77777777" w:rsidR="00CF3729" w:rsidRPr="00CF3729" w:rsidRDefault="00CF3729">
          <w:pPr>
            <w:pStyle w:val="Header"/>
            <w:rPr>
              <w:sz w:val="2"/>
              <w:szCs w:val="2"/>
            </w:rPr>
          </w:pPr>
        </w:p>
      </w:tc>
    </w:tr>
  </w:tbl>
  <w:p w14:paraId="6C2D3D4E" w14:textId="77777777" w:rsidR="00CF3729" w:rsidRDefault="00CF3729">
    <w:pPr>
      <w:pStyle w:val="Header"/>
      <w:rPr>
        <w:sz w:val="2"/>
        <w:szCs w:val="2"/>
      </w:rPr>
    </w:pPr>
  </w:p>
  <w:p w14:paraId="1E95D964" w14:textId="77777777" w:rsidR="000B6D5E" w:rsidRDefault="000B6D5E">
    <w:pPr>
      <w:pStyle w:val="Header"/>
      <w:rPr>
        <w:sz w:val="2"/>
        <w:szCs w:val="2"/>
      </w:rPr>
    </w:pPr>
  </w:p>
  <w:p w14:paraId="75C19523" w14:textId="77777777" w:rsidR="000B6D5E" w:rsidRDefault="000B6D5E">
    <w:pPr>
      <w:pStyle w:val="Header"/>
      <w:rPr>
        <w:sz w:val="2"/>
        <w:szCs w:val="2"/>
      </w:rPr>
    </w:pPr>
  </w:p>
  <w:p w14:paraId="1E834851" w14:textId="77777777" w:rsidR="000B6D5E" w:rsidRDefault="000B6D5E">
    <w:pPr>
      <w:pStyle w:val="Header"/>
      <w:rPr>
        <w:sz w:val="2"/>
        <w:szCs w:val="2"/>
      </w:rPr>
    </w:pPr>
  </w:p>
  <w:p w14:paraId="2D7A14C8" w14:textId="77777777" w:rsidR="000B6D5E" w:rsidRDefault="000B6D5E">
    <w:pPr>
      <w:pStyle w:val="Header"/>
      <w:rPr>
        <w:sz w:val="2"/>
        <w:szCs w:val="2"/>
      </w:rPr>
    </w:pPr>
  </w:p>
  <w:p w14:paraId="3F7C0FD4" w14:textId="77777777" w:rsidR="000B6D5E" w:rsidRDefault="000B6D5E">
    <w:pPr>
      <w:pStyle w:val="Header"/>
      <w:rPr>
        <w:sz w:val="2"/>
        <w:szCs w:val="2"/>
      </w:rPr>
    </w:pPr>
  </w:p>
  <w:p w14:paraId="15780352"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7004513">
    <w:abstractNumId w:val="8"/>
  </w:num>
  <w:num w:numId="2" w16cid:durableId="577522457">
    <w:abstractNumId w:val="8"/>
  </w:num>
  <w:num w:numId="3" w16cid:durableId="410810646">
    <w:abstractNumId w:val="13"/>
  </w:num>
  <w:num w:numId="4" w16cid:durableId="41829023">
    <w:abstractNumId w:val="11"/>
  </w:num>
  <w:num w:numId="5" w16cid:durableId="1546481458">
    <w:abstractNumId w:val="9"/>
  </w:num>
  <w:num w:numId="6" w16cid:durableId="699547738">
    <w:abstractNumId w:val="12"/>
  </w:num>
  <w:num w:numId="7" w16cid:durableId="1610549360">
    <w:abstractNumId w:val="6"/>
  </w:num>
  <w:num w:numId="8" w16cid:durableId="1632051566">
    <w:abstractNumId w:val="3"/>
  </w:num>
  <w:num w:numId="9" w16cid:durableId="400981928">
    <w:abstractNumId w:val="7"/>
  </w:num>
  <w:num w:numId="10" w16cid:durableId="243539000">
    <w:abstractNumId w:val="4"/>
  </w:num>
  <w:num w:numId="11" w16cid:durableId="956832911">
    <w:abstractNumId w:val="2"/>
  </w:num>
  <w:num w:numId="12" w16cid:durableId="806437807">
    <w:abstractNumId w:val="1"/>
  </w:num>
  <w:num w:numId="13" w16cid:durableId="1409228492">
    <w:abstractNumId w:val="5"/>
  </w:num>
  <w:num w:numId="14" w16cid:durableId="1939943856">
    <w:abstractNumId w:val="0"/>
  </w:num>
  <w:num w:numId="15" w16cid:durableId="8789774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03EE"/>
    <w:rsid w:val="00033E4D"/>
    <w:rsid w:val="0003551E"/>
    <w:rsid w:val="00044F05"/>
    <w:rsid w:val="00066BC1"/>
    <w:rsid w:val="00097CCA"/>
    <w:rsid w:val="000B2C61"/>
    <w:rsid w:val="000B6D5E"/>
    <w:rsid w:val="000B7F48"/>
    <w:rsid w:val="000E06F1"/>
    <w:rsid w:val="000E1776"/>
    <w:rsid w:val="000F6F85"/>
    <w:rsid w:val="00105D3B"/>
    <w:rsid w:val="001114F5"/>
    <w:rsid w:val="00123C31"/>
    <w:rsid w:val="00132CE0"/>
    <w:rsid w:val="00150ED8"/>
    <w:rsid w:val="0016113A"/>
    <w:rsid w:val="001A7D4E"/>
    <w:rsid w:val="001C132C"/>
    <w:rsid w:val="001C2FB2"/>
    <w:rsid w:val="001C4D99"/>
    <w:rsid w:val="001E6361"/>
    <w:rsid w:val="001F75F1"/>
    <w:rsid w:val="00203869"/>
    <w:rsid w:val="002065A5"/>
    <w:rsid w:val="00227F43"/>
    <w:rsid w:val="00233F99"/>
    <w:rsid w:val="002455E0"/>
    <w:rsid w:val="0024640D"/>
    <w:rsid w:val="0024713D"/>
    <w:rsid w:val="002735F4"/>
    <w:rsid w:val="002741D2"/>
    <w:rsid w:val="002748E9"/>
    <w:rsid w:val="00281D12"/>
    <w:rsid w:val="00287A4C"/>
    <w:rsid w:val="00294A1B"/>
    <w:rsid w:val="002B0BA3"/>
    <w:rsid w:val="002D7E44"/>
    <w:rsid w:val="002E7BBB"/>
    <w:rsid w:val="00303D44"/>
    <w:rsid w:val="00316D2D"/>
    <w:rsid w:val="00321170"/>
    <w:rsid w:val="00331038"/>
    <w:rsid w:val="00353C90"/>
    <w:rsid w:val="00355166"/>
    <w:rsid w:val="0036783E"/>
    <w:rsid w:val="0037694C"/>
    <w:rsid w:val="003853F5"/>
    <w:rsid w:val="00394C23"/>
    <w:rsid w:val="003A64B1"/>
    <w:rsid w:val="003C4591"/>
    <w:rsid w:val="003C4BE2"/>
    <w:rsid w:val="003C5164"/>
    <w:rsid w:val="003D3EF7"/>
    <w:rsid w:val="003E3BB9"/>
    <w:rsid w:val="003E74B7"/>
    <w:rsid w:val="003F7E3C"/>
    <w:rsid w:val="00412AC4"/>
    <w:rsid w:val="00425592"/>
    <w:rsid w:val="00445839"/>
    <w:rsid w:val="00451A04"/>
    <w:rsid w:val="004871DD"/>
    <w:rsid w:val="004A772C"/>
    <w:rsid w:val="004B0C5B"/>
    <w:rsid w:val="004B7DDA"/>
    <w:rsid w:val="004C115F"/>
    <w:rsid w:val="004D21B0"/>
    <w:rsid w:val="004E6872"/>
    <w:rsid w:val="004F606E"/>
    <w:rsid w:val="005002C5"/>
    <w:rsid w:val="00503FA0"/>
    <w:rsid w:val="00521259"/>
    <w:rsid w:val="00541D0A"/>
    <w:rsid w:val="00544B6A"/>
    <w:rsid w:val="005640ED"/>
    <w:rsid w:val="00575766"/>
    <w:rsid w:val="00575F36"/>
    <w:rsid w:val="00585527"/>
    <w:rsid w:val="005938BC"/>
    <w:rsid w:val="005B4DA9"/>
    <w:rsid w:val="005E0F34"/>
    <w:rsid w:val="005E3DA1"/>
    <w:rsid w:val="005E691B"/>
    <w:rsid w:val="005F3FCF"/>
    <w:rsid w:val="006544F6"/>
    <w:rsid w:val="00655F43"/>
    <w:rsid w:val="00677A5B"/>
    <w:rsid w:val="00694389"/>
    <w:rsid w:val="006A2E90"/>
    <w:rsid w:val="006A532D"/>
    <w:rsid w:val="006A5514"/>
    <w:rsid w:val="006B7433"/>
    <w:rsid w:val="006D06D3"/>
    <w:rsid w:val="006F2B5A"/>
    <w:rsid w:val="00700A68"/>
    <w:rsid w:val="00707E22"/>
    <w:rsid w:val="007174B7"/>
    <w:rsid w:val="0074610F"/>
    <w:rsid w:val="00747763"/>
    <w:rsid w:val="007624A4"/>
    <w:rsid w:val="00764B3A"/>
    <w:rsid w:val="00774579"/>
    <w:rsid w:val="00775E0A"/>
    <w:rsid w:val="007806DC"/>
    <w:rsid w:val="007A0848"/>
    <w:rsid w:val="007A52DD"/>
    <w:rsid w:val="007B303B"/>
    <w:rsid w:val="007C6DCA"/>
    <w:rsid w:val="007F5DCA"/>
    <w:rsid w:val="007F7AFB"/>
    <w:rsid w:val="00822D58"/>
    <w:rsid w:val="0083704D"/>
    <w:rsid w:val="00843058"/>
    <w:rsid w:val="00852186"/>
    <w:rsid w:val="00866EBA"/>
    <w:rsid w:val="008712CB"/>
    <w:rsid w:val="00875878"/>
    <w:rsid w:val="0088048C"/>
    <w:rsid w:val="00884611"/>
    <w:rsid w:val="00886E89"/>
    <w:rsid w:val="00887700"/>
    <w:rsid w:val="00895FBE"/>
    <w:rsid w:val="008B1209"/>
    <w:rsid w:val="008C1900"/>
    <w:rsid w:val="008D0341"/>
    <w:rsid w:val="008D4939"/>
    <w:rsid w:val="008E5E8B"/>
    <w:rsid w:val="008F3E8F"/>
    <w:rsid w:val="00917557"/>
    <w:rsid w:val="009337D7"/>
    <w:rsid w:val="00934E74"/>
    <w:rsid w:val="009429B1"/>
    <w:rsid w:val="00943BDD"/>
    <w:rsid w:val="009605DE"/>
    <w:rsid w:val="00963F21"/>
    <w:rsid w:val="0098221F"/>
    <w:rsid w:val="009837CD"/>
    <w:rsid w:val="00984A22"/>
    <w:rsid w:val="00985949"/>
    <w:rsid w:val="00987A88"/>
    <w:rsid w:val="009A2EA3"/>
    <w:rsid w:val="009A3518"/>
    <w:rsid w:val="009B133A"/>
    <w:rsid w:val="009C5F59"/>
    <w:rsid w:val="009D1408"/>
    <w:rsid w:val="00A02BDA"/>
    <w:rsid w:val="00A207D6"/>
    <w:rsid w:val="00A343FE"/>
    <w:rsid w:val="00A424AA"/>
    <w:rsid w:val="00A501F6"/>
    <w:rsid w:val="00A53D98"/>
    <w:rsid w:val="00A83144"/>
    <w:rsid w:val="00AA0543"/>
    <w:rsid w:val="00AA06C8"/>
    <w:rsid w:val="00AA14B0"/>
    <w:rsid w:val="00AB4CE3"/>
    <w:rsid w:val="00AC0BC3"/>
    <w:rsid w:val="00AC1273"/>
    <w:rsid w:val="00AC1631"/>
    <w:rsid w:val="00AC2158"/>
    <w:rsid w:val="00AC7016"/>
    <w:rsid w:val="00AC772D"/>
    <w:rsid w:val="00AD2CEB"/>
    <w:rsid w:val="00AE0612"/>
    <w:rsid w:val="00AE567F"/>
    <w:rsid w:val="00AF17B6"/>
    <w:rsid w:val="00B15AAA"/>
    <w:rsid w:val="00B2568D"/>
    <w:rsid w:val="00B26E22"/>
    <w:rsid w:val="00B3182E"/>
    <w:rsid w:val="00B33BC4"/>
    <w:rsid w:val="00B600D3"/>
    <w:rsid w:val="00B62C6B"/>
    <w:rsid w:val="00B6534B"/>
    <w:rsid w:val="00BB2E03"/>
    <w:rsid w:val="00BB2EC0"/>
    <w:rsid w:val="00BC1F23"/>
    <w:rsid w:val="00BE4DF3"/>
    <w:rsid w:val="00BE656A"/>
    <w:rsid w:val="00C06D56"/>
    <w:rsid w:val="00C22A0A"/>
    <w:rsid w:val="00C22E4F"/>
    <w:rsid w:val="00C33ECE"/>
    <w:rsid w:val="00C55FB2"/>
    <w:rsid w:val="00C63599"/>
    <w:rsid w:val="00C97C18"/>
    <w:rsid w:val="00CF3729"/>
    <w:rsid w:val="00D35141"/>
    <w:rsid w:val="00D549E3"/>
    <w:rsid w:val="00D5618A"/>
    <w:rsid w:val="00D73C8A"/>
    <w:rsid w:val="00D811EB"/>
    <w:rsid w:val="00D933F9"/>
    <w:rsid w:val="00D9604E"/>
    <w:rsid w:val="00DA0049"/>
    <w:rsid w:val="00DC7DFC"/>
    <w:rsid w:val="00DD0606"/>
    <w:rsid w:val="00DD75BB"/>
    <w:rsid w:val="00DE67E0"/>
    <w:rsid w:val="00E16AF8"/>
    <w:rsid w:val="00E432C4"/>
    <w:rsid w:val="00E45687"/>
    <w:rsid w:val="00E6273F"/>
    <w:rsid w:val="00E64B36"/>
    <w:rsid w:val="00E760CC"/>
    <w:rsid w:val="00E94DC3"/>
    <w:rsid w:val="00EC4029"/>
    <w:rsid w:val="00EE2624"/>
    <w:rsid w:val="00EE614F"/>
    <w:rsid w:val="00F0363A"/>
    <w:rsid w:val="00F10C10"/>
    <w:rsid w:val="00F228A5"/>
    <w:rsid w:val="00F23C82"/>
    <w:rsid w:val="00F3041C"/>
    <w:rsid w:val="00F31771"/>
    <w:rsid w:val="00F378C8"/>
    <w:rsid w:val="00F40AC7"/>
    <w:rsid w:val="00F475DD"/>
    <w:rsid w:val="00F64415"/>
    <w:rsid w:val="00F70459"/>
    <w:rsid w:val="00F86C62"/>
    <w:rsid w:val="00FB5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F1C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styleId="UnresolvedMention">
    <w:name w:val="Unresolved Mention"/>
    <w:basedOn w:val="DefaultParagraphFont"/>
    <w:uiPriority w:val="99"/>
    <w:semiHidden/>
    <w:unhideWhenUsed/>
    <w:rsid w:val="00E760CC"/>
    <w:rPr>
      <w:color w:val="605E5C"/>
      <w:shd w:val="clear" w:color="auto" w:fill="E1DFDD"/>
    </w:rPr>
  </w:style>
  <w:style w:type="character" w:styleId="FollowedHyperlink">
    <w:name w:val="FollowedHyperlink"/>
    <w:basedOn w:val="DefaultParagraphFont"/>
    <w:uiPriority w:val="99"/>
    <w:semiHidden/>
    <w:unhideWhenUsed/>
    <w:rsid w:val="003C4B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7633">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026711583">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425683417">
      <w:bodyDiv w:val="1"/>
      <w:marLeft w:val="0"/>
      <w:marRight w:val="0"/>
      <w:marTop w:val="0"/>
      <w:marBottom w:val="0"/>
      <w:divBdr>
        <w:top w:val="none" w:sz="0" w:space="0" w:color="auto"/>
        <w:left w:val="none" w:sz="0" w:space="0" w:color="auto"/>
        <w:bottom w:val="none" w:sz="0" w:space="0" w:color="auto"/>
        <w:right w:val="none" w:sz="0" w:space="0" w:color="auto"/>
      </w:divBdr>
    </w:div>
    <w:div w:id="1453017758">
      <w:bodyDiv w:val="1"/>
      <w:marLeft w:val="0"/>
      <w:marRight w:val="0"/>
      <w:marTop w:val="0"/>
      <w:marBottom w:val="0"/>
      <w:divBdr>
        <w:top w:val="none" w:sz="0" w:space="0" w:color="auto"/>
        <w:left w:val="none" w:sz="0" w:space="0" w:color="auto"/>
        <w:bottom w:val="none" w:sz="0" w:space="0" w:color="auto"/>
        <w:right w:val="none" w:sz="0" w:space="0" w:color="auto"/>
      </w:divBdr>
    </w:div>
    <w:div w:id="1702047471">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7738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blogs.microsoft.com/directx/gettingstarted-dx12agility/"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hyperlink" Target="https://github.com/microsoft/DirectXShaderCompiler/release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2021-09-08T20:33:00Z</dcterms:created>
  <dcterms:modified xsi:type="dcterms:W3CDTF">2022-09-13T06:51:00Z</dcterms:modified>
</cp:coreProperties>
</file>