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4E2B21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2993763A" w14:textId="4C30F122" w:rsidR="00764B3A" w:rsidRPr="00AE567F" w:rsidRDefault="00716067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游戏存储示例</w:t>
      </w:r>
    </w:p>
    <w:p w14:paraId="2F5F1B99" w14:textId="6169CAD7" w:rsidR="009F6B2F" w:rsidRDefault="00E57758" w:rsidP="00670313"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GDKX (August 2020) 兼容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br/>
      </w:r>
    </w:p>
    <w:p w14:paraId="6EB27C7E" w14:textId="77777777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505EEBA7" w14:textId="65656A96" w:rsidR="00330D3F" w:rsidRDefault="00B73B6E" w:rsidP="00330D3F">
      <w:r>
        <w:rPr>
          <w:rFonts w:ascii="Microsoft YaHei UI" w:eastAsia="Microsoft YaHei UI" w:hAnsi="Microsoft YaHei UI" w:cs="Microsoft YaHei UI"/>
          <w:lang w:val="zh-CN" w:bidi="zh-CN"/>
        </w:rPr>
        <w:t>此示例演示 Microsoft 游戏开发工具包 (GDK) 提供的游戏存储 API。 此示例包括以下场景:</w:t>
      </w:r>
    </w:p>
    <w:p w14:paraId="7B740FAC" w14:textId="77777777" w:rsidR="00B73B6E" w:rsidRDefault="00B73B6E" w:rsidP="00330D3F"/>
    <w:p w14:paraId="3DF14277" w14:textId="2495B4CB" w:rsidR="00CE4195" w:rsidRDefault="00CE4195" w:rsidP="00B73B6E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枚举和下载全局存储数据</w:t>
      </w:r>
    </w:p>
    <w:p w14:paraId="1E459715" w14:textId="4023D8A2" w:rsidR="00CE4195" w:rsidRDefault="00CE4195" w:rsidP="00B73B6E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枚举、上传、下载、删除通用存储数据</w:t>
      </w:r>
    </w:p>
    <w:p w14:paraId="7CC6B454" w14:textId="29CBA089" w:rsidR="003F0821" w:rsidRDefault="003F0821" w:rsidP="003F0821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枚举、上传、下载、删除受信任的</w:t>
      </w:r>
      <w:r w:rsidR="00494932">
        <w:rPr>
          <w:rStyle w:val="CommentReference"/>
          <w:rFonts w:ascii="Microsoft YaHei UI" w:eastAsia="Microsoft YaHei UI" w:hAnsi="Microsoft YaHei UI" w:cs="Microsoft YaHei UI"/>
          <w:lang w:val="zh-CN" w:bidi="zh-CN"/>
        </w:rPr>
        <w:t>平台</w:t>
      </w:r>
      <w:r>
        <w:rPr>
          <w:rFonts w:ascii="Microsoft YaHei UI" w:eastAsia="Microsoft YaHei UI" w:hAnsi="Microsoft YaHei UI" w:cs="Microsoft YaHei UI"/>
          <w:lang w:val="zh-CN" w:bidi="zh-CN"/>
        </w:rPr>
        <w:t>存储数据</w:t>
      </w:r>
    </w:p>
    <w:p w14:paraId="6AFE751D" w14:textId="3D8E8BD4" w:rsidR="00553E50" w:rsidRDefault="00553E50" w:rsidP="003F0821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检索配额信息</w:t>
      </w:r>
    </w:p>
    <w:p w14:paraId="7A79CDBF" w14:textId="77777777" w:rsidR="00CE4195" w:rsidRDefault="00CE4195" w:rsidP="003F0821">
      <w:pPr>
        <w:pStyle w:val="ListParagraph"/>
      </w:pPr>
    </w:p>
    <w:p w14:paraId="0D8BA839" w14:textId="77777777" w:rsidR="00B852DF" w:rsidRDefault="00B852DF" w:rsidP="00B852DF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41C15625" w14:textId="77777777" w:rsidR="00B852DF" w:rsidRDefault="00B852DF" w:rsidP="00B852DF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31128F33" w14:textId="77777777" w:rsidR="00B852DF" w:rsidRDefault="00B852DF" w:rsidP="00B852DF"/>
    <w:p w14:paraId="300C757D" w14:textId="4B480C88" w:rsidR="00B852DF" w:rsidRDefault="00B852DF" w:rsidP="00B852DF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64834580" w14:textId="5C5C92EF" w:rsidR="00FB5876" w:rsidRDefault="00E5767A" w:rsidP="00330D3F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运行示例</w:t>
      </w:r>
    </w:p>
    <w:p w14:paraId="667DD388" w14:textId="0EF751CF" w:rsidR="00E5767A" w:rsidRDefault="00E5767A" w:rsidP="00E5767A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你需要登录 Xbox Live 测试帐户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Xbox One 开发工具包：将主机的沙盒设置为 XDKS.1</w:t>
      </w:r>
    </w:p>
    <w:p w14:paraId="718BC359" w14:textId="77777777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2B37898E" w14:textId="6A0DF05B" w:rsidR="00281D12" w:rsidRDefault="00281D12" w:rsidP="005E3DA1">
      <w:pPr>
        <w:pStyle w:val="Heading2"/>
      </w:pPr>
    </w:p>
    <w:p w14:paraId="33CAC387" w14:textId="77777777" w:rsidR="00494932" w:rsidRPr="00494932" w:rsidRDefault="00494932" w:rsidP="00B40145"/>
    <w:p w14:paraId="0CA4DBCA" w14:textId="0001A7E5" w:rsidR="00C003D2" w:rsidRDefault="00194667" w:rsidP="00F635D1">
      <w:pPr>
        <w:jc w:val="center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w:lastRenderedPageBreak/>
        <w:drawing>
          <wp:inline distT="0" distB="0" distL="0" distR="0" wp14:anchorId="5A92A58D" wp14:editId="46E5F641">
            <wp:extent cx="4719638" cy="265552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30" cy="26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7A3" w14:textId="3060C182" w:rsidR="00281D12" w:rsidRDefault="00281D12" w:rsidP="00331038"/>
    <w:p w14:paraId="0B2A2B98" w14:textId="77777777" w:rsidR="002F4BEB" w:rsidRDefault="002F4BEB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30"/>
        <w:gridCol w:w="38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Microsoft YaHei UI" w:eastAsia="Microsoft YaHei UI" w:hAnsi="Microsoft YaHei UI" w:cs="Microsoft YaHei UI"/>
                <w:lang w:val="zh-CN" w:bidi="zh-CN"/>
              </w:rPr>
              <w:t>操作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游戏板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2DA846BE" w:rsidR="006A6310" w:rsidRPr="00C42F0D" w:rsidRDefault="006A6310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选择要运行的存储和方案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方向键上/下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410A2FB7" w:rsidR="006A6310" w:rsidRDefault="00494932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确认存储并运行方案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A 按钮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“视图”按钮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Tablebody"/>
            </w:pP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退出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053681C5" w14:textId="31D9F304" w:rsidR="00E968EE" w:rsidRDefault="00E968EE">
      <w:pPr>
        <w:spacing w:after="160" w:line="259" w:lineRule="auto"/>
        <w:rPr>
          <w:lang w:eastAsia="ja-JP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黑色区域（列表窗口）将显示已上传用户的 Blob 路径、Blob 类型、显示名称、长度（数据大小）、XUID。对于全局存储，只能枚举、下载、显示预先在 MPC 中配置的数据。在此示例中，有数据已上传到 XDKS.1 中此产品的全局存储。对于其他存储，除了这些之外，还可以上传和删除数据。</w:t>
      </w:r>
    </w:p>
    <w:p w14:paraId="3375D6F9" w14:textId="55B1E06F" w:rsidR="000251A1" w:rsidRDefault="000251A1" w:rsidP="000251A1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可尝试的方案</w:t>
      </w:r>
    </w:p>
    <w:p w14:paraId="7D456D02" w14:textId="2626B3AE" w:rsidR="00575766" w:rsidRDefault="007426E0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>选择存储</w:t>
      </w:r>
    </w:p>
    <w:p w14:paraId="194F0F02" w14:textId="274E5139" w:rsidR="0044518A" w:rsidRDefault="007426E0" w:rsidP="001948AC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>在聚焦“选择存储位置”时按 A 按钮将显示相应存储的列表窗口。可以使用方向键移动到列表窗口，按 A 按钮可以下载其数据。默认情况下，启动此示例时，全局存储数据将显示在列表窗口中。</w:t>
      </w:r>
      <w:r>
        <w:rPr>
          <w:rFonts w:ascii="Microsoft YaHei UI" w:eastAsia="Microsoft YaHei UI" w:hAnsi="Microsoft YaHei UI" w:cs="Microsoft YaHei UI"/>
          <w:lang w:val="zh-CN" w:bidi="zh-CN"/>
        </w:rPr>
        <w:br/>
      </w:r>
    </w:p>
    <w:p w14:paraId="1C0DB3F0" w14:textId="24F451B1" w:rsidR="007426E0" w:rsidRDefault="0044518A" w:rsidP="00EA781F">
      <w:pPr>
        <w:spacing w:after="160" w:line="259" w:lineRule="auto"/>
        <w:ind w:left="1080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w:lastRenderedPageBreak/>
        <w:drawing>
          <wp:inline distT="0" distB="0" distL="0" distR="0" wp14:anchorId="06436285" wp14:editId="62274861">
            <wp:extent cx="4748212" cy="2671557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28" cy="26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A1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BEEC3D9" w14:textId="77777777" w:rsidR="00BC4221" w:rsidRDefault="00BC4221" w:rsidP="00EA781F">
      <w:pPr>
        <w:spacing w:after="160" w:line="259" w:lineRule="auto"/>
        <w:ind w:left="1080"/>
      </w:pPr>
    </w:p>
    <w:p w14:paraId="0ECEFB8C" w14:textId="1CDEE466" w:rsidR="000251A1" w:rsidRDefault="00EA781F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>正在上传数据</w:t>
      </w:r>
    </w:p>
    <w:p w14:paraId="7161DF11" w14:textId="6B1F8E93" w:rsidR="00EA781F" w:rsidRDefault="00843E6C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>在“选择存储位置”中使用 A 按钮选择了除全局存储之外的任何存储后，可选择“上传”来上传任何格式的数据，然后按 A 按钮。</w:t>
      </w:r>
    </w:p>
    <w:p w14:paraId="34AD7AC4" w14:textId="50B3D3D1" w:rsidR="006B02B8" w:rsidRDefault="006B02B8" w:rsidP="006B02B8">
      <w:pPr>
        <w:spacing w:after="160" w:line="259" w:lineRule="auto"/>
        <w:ind w:left="1080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1DD1E653" wp14:editId="187DB920">
            <wp:extent cx="4729162" cy="2660154"/>
            <wp:effectExtent l="0" t="0" r="0" b="69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25" cy="267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8FF7" w14:textId="4D5D52C3" w:rsidR="000251A1" w:rsidRDefault="008E2AF6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>下载和删除游戏存储数据</w:t>
      </w:r>
    </w:p>
    <w:p w14:paraId="66D75808" w14:textId="32F98096" w:rsidR="00F635D1" w:rsidRDefault="00CD5469" w:rsidP="00BD6CC7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>当所选存储具有数据时，数据将自动枚举在列表窗口中。使用 A 按钮选择任何数据，可以下载和删除数据。</w:t>
      </w:r>
    </w:p>
    <w:p w14:paraId="39E19A8F" w14:textId="2959C819" w:rsidR="00FD2C12" w:rsidRDefault="00D170D4" w:rsidP="00BF1773">
      <w:pPr>
        <w:spacing w:after="160" w:line="259" w:lineRule="auto"/>
        <w:ind w:left="1080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w:lastRenderedPageBreak/>
        <w:drawing>
          <wp:inline distT="0" distB="0" distL="0" distR="0" wp14:anchorId="6315FCCF" wp14:editId="5D908962">
            <wp:extent cx="4663857" cy="2624137"/>
            <wp:effectExtent l="0" t="0" r="381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19" cy="262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CD6" w14:textId="77777777" w:rsidR="00FD2C12" w:rsidRDefault="00FD2C12">
      <w:p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br w:type="page"/>
      </w:r>
    </w:p>
    <w:p w14:paraId="1EF3373F" w14:textId="5F256BCD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更新历史记录</w:t>
      </w:r>
    </w:p>
    <w:p w14:paraId="2245767E" w14:textId="29BC93E7" w:rsidR="00FB5876" w:rsidRDefault="00F635D1" w:rsidP="00BF1773">
      <w:pPr>
        <w:rPr>
          <w:rFonts w:eastAsia="Times New Roman"/>
        </w:rPr>
      </w:pPr>
      <w:r w:rsidRPr="00F635D1">
        <w:rPr>
          <w:rFonts w:ascii="Microsoft YaHei UI" w:eastAsia="Microsoft YaHei UI" w:hAnsi="Microsoft YaHei UI" w:cs="Microsoft YaHei UI"/>
          <w:b/>
          <w:lang w:val="zh-CN" w:bidi="zh-CN"/>
        </w:rPr>
        <w:t>初始版本：</w:t>
      </w:r>
      <w:r w:rsidRPr="00F635D1">
        <w:rPr>
          <w:rFonts w:ascii="Microsoft YaHei UI" w:eastAsia="Microsoft YaHei UI" w:hAnsi="Microsoft YaHei UI" w:cs="Microsoft YaHei UI"/>
          <w:lang w:val="zh-CN" w:bidi="zh-CN"/>
        </w:rPr>
        <w:t>2020 年 11 月</w:t>
      </w: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6294160E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 xml:space="preserve">有关 Microsoft 的一般隐私策略的详细信息，请参阅 </w:t>
      </w:r>
      <w:hyperlink r:id="rId13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1845" w14:textId="77777777" w:rsidR="00230B9A" w:rsidRDefault="00230B9A" w:rsidP="0074610F">
      <w:r>
        <w:separator/>
      </w:r>
    </w:p>
  </w:endnote>
  <w:endnote w:type="continuationSeparator" w:id="0">
    <w:p w14:paraId="1E7F65B7" w14:textId="77777777" w:rsidR="00230B9A" w:rsidRDefault="00230B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08879160" w:rsidR="00843058" w:rsidRPr="00097CCA" w:rsidRDefault="00683D94" w:rsidP="00BF1773">
          <w:pPr>
            <w:pStyle w:val="Footer"/>
            <w:wordWrap w:val="0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9C1988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281D12"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</w:t>
          </w:r>
          <w:r w:rsidR="00BF1773">
            <w:rPr>
              <w:rFonts w:ascii="Microsoft YaHei UI" w:eastAsia="Microsoft YaHei UI" w:hAnsi="Microsoft YaHei UI" w:cs="Microsoft YaHei UI"/>
              <w:lang w:val="zh-CN" w:bidi="zh-CN"/>
            </w:rPr>
            <w:t>游戏存储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C03D3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39BC855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9C1988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1644" w14:textId="77777777" w:rsidR="00230B9A" w:rsidRDefault="00230B9A" w:rsidP="0074610F">
      <w:r>
        <w:separator/>
      </w:r>
    </w:p>
  </w:footnote>
  <w:footnote w:type="continuationSeparator" w:id="0">
    <w:p w14:paraId="10DE7D9E" w14:textId="77777777" w:rsidR="00230B9A" w:rsidRDefault="00230B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3258">
    <w:abstractNumId w:val="8"/>
  </w:num>
  <w:num w:numId="2" w16cid:durableId="271785614">
    <w:abstractNumId w:val="8"/>
  </w:num>
  <w:num w:numId="3" w16cid:durableId="142433920">
    <w:abstractNumId w:val="13"/>
  </w:num>
  <w:num w:numId="4" w16cid:durableId="1841966719">
    <w:abstractNumId w:val="10"/>
  </w:num>
  <w:num w:numId="5" w16cid:durableId="974601921">
    <w:abstractNumId w:val="9"/>
  </w:num>
  <w:num w:numId="6" w16cid:durableId="1850826381">
    <w:abstractNumId w:val="12"/>
  </w:num>
  <w:num w:numId="7" w16cid:durableId="1420716091">
    <w:abstractNumId w:val="6"/>
  </w:num>
  <w:num w:numId="8" w16cid:durableId="1634673013">
    <w:abstractNumId w:val="3"/>
  </w:num>
  <w:num w:numId="9" w16cid:durableId="21131370">
    <w:abstractNumId w:val="7"/>
  </w:num>
  <w:num w:numId="10" w16cid:durableId="2012027800">
    <w:abstractNumId w:val="4"/>
  </w:num>
  <w:num w:numId="11" w16cid:durableId="957221103">
    <w:abstractNumId w:val="2"/>
  </w:num>
  <w:num w:numId="12" w16cid:durableId="1520317754">
    <w:abstractNumId w:val="1"/>
  </w:num>
  <w:num w:numId="13" w16cid:durableId="1726488017">
    <w:abstractNumId w:val="5"/>
  </w:num>
  <w:num w:numId="14" w16cid:durableId="1177578818">
    <w:abstractNumId w:val="0"/>
  </w:num>
  <w:num w:numId="15" w16cid:durableId="439107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022"/>
    <w:rsid w:val="000251A1"/>
    <w:rsid w:val="00085417"/>
    <w:rsid w:val="00097CCA"/>
    <w:rsid w:val="000B6D5E"/>
    <w:rsid w:val="001028A0"/>
    <w:rsid w:val="00130BB6"/>
    <w:rsid w:val="00150ED8"/>
    <w:rsid w:val="00194667"/>
    <w:rsid w:val="001948AC"/>
    <w:rsid w:val="001C132C"/>
    <w:rsid w:val="001E0837"/>
    <w:rsid w:val="001F65BC"/>
    <w:rsid w:val="00203869"/>
    <w:rsid w:val="00230B9A"/>
    <w:rsid w:val="0024713D"/>
    <w:rsid w:val="00256ECA"/>
    <w:rsid w:val="00257BB3"/>
    <w:rsid w:val="002741D2"/>
    <w:rsid w:val="002748E9"/>
    <w:rsid w:val="00281514"/>
    <w:rsid w:val="00281D12"/>
    <w:rsid w:val="00287A4C"/>
    <w:rsid w:val="00294A1B"/>
    <w:rsid w:val="002A6F8C"/>
    <w:rsid w:val="002E7BBB"/>
    <w:rsid w:val="002F4BEB"/>
    <w:rsid w:val="00303D44"/>
    <w:rsid w:val="00321170"/>
    <w:rsid w:val="00327A00"/>
    <w:rsid w:val="00330D3F"/>
    <w:rsid w:val="00331038"/>
    <w:rsid w:val="00355166"/>
    <w:rsid w:val="00360D4A"/>
    <w:rsid w:val="00366CAC"/>
    <w:rsid w:val="00383771"/>
    <w:rsid w:val="00395F74"/>
    <w:rsid w:val="003C33BD"/>
    <w:rsid w:val="003D3EF7"/>
    <w:rsid w:val="003E7D63"/>
    <w:rsid w:val="003F0821"/>
    <w:rsid w:val="00425592"/>
    <w:rsid w:val="0044518A"/>
    <w:rsid w:val="00462ED4"/>
    <w:rsid w:val="00494932"/>
    <w:rsid w:val="004A3D4B"/>
    <w:rsid w:val="004B5002"/>
    <w:rsid w:val="004B7DDA"/>
    <w:rsid w:val="004F69B4"/>
    <w:rsid w:val="00511B71"/>
    <w:rsid w:val="00553E50"/>
    <w:rsid w:val="005640ED"/>
    <w:rsid w:val="00575766"/>
    <w:rsid w:val="00575F36"/>
    <w:rsid w:val="00585527"/>
    <w:rsid w:val="005B4DA9"/>
    <w:rsid w:val="005E3DA1"/>
    <w:rsid w:val="00613D32"/>
    <w:rsid w:val="00647496"/>
    <w:rsid w:val="00657956"/>
    <w:rsid w:val="0066174E"/>
    <w:rsid w:val="00670313"/>
    <w:rsid w:val="00680905"/>
    <w:rsid w:val="00683D94"/>
    <w:rsid w:val="00692CAE"/>
    <w:rsid w:val="006A532D"/>
    <w:rsid w:val="006A6310"/>
    <w:rsid w:val="006B02B8"/>
    <w:rsid w:val="006B1640"/>
    <w:rsid w:val="006B7433"/>
    <w:rsid w:val="006E43E8"/>
    <w:rsid w:val="00707036"/>
    <w:rsid w:val="00707E22"/>
    <w:rsid w:val="00716067"/>
    <w:rsid w:val="00735385"/>
    <w:rsid w:val="007426E0"/>
    <w:rsid w:val="0074610F"/>
    <w:rsid w:val="00756B0D"/>
    <w:rsid w:val="007624A4"/>
    <w:rsid w:val="00764B3A"/>
    <w:rsid w:val="007806DC"/>
    <w:rsid w:val="007A0848"/>
    <w:rsid w:val="007B3E9B"/>
    <w:rsid w:val="007B5B83"/>
    <w:rsid w:val="007D3F3E"/>
    <w:rsid w:val="007E7C7F"/>
    <w:rsid w:val="008017D8"/>
    <w:rsid w:val="00843058"/>
    <w:rsid w:val="00843E6C"/>
    <w:rsid w:val="00853E1C"/>
    <w:rsid w:val="00886E89"/>
    <w:rsid w:val="00887700"/>
    <w:rsid w:val="0089248D"/>
    <w:rsid w:val="008A57F7"/>
    <w:rsid w:val="008E2AF6"/>
    <w:rsid w:val="00912398"/>
    <w:rsid w:val="00914EDA"/>
    <w:rsid w:val="00917557"/>
    <w:rsid w:val="00937E3A"/>
    <w:rsid w:val="00985949"/>
    <w:rsid w:val="00987A88"/>
    <w:rsid w:val="009A03A5"/>
    <w:rsid w:val="009C1988"/>
    <w:rsid w:val="009D0247"/>
    <w:rsid w:val="009F6B2F"/>
    <w:rsid w:val="00A0279B"/>
    <w:rsid w:val="00A56375"/>
    <w:rsid w:val="00A66D3F"/>
    <w:rsid w:val="00AB2803"/>
    <w:rsid w:val="00AD37A1"/>
    <w:rsid w:val="00AE567F"/>
    <w:rsid w:val="00B15AAA"/>
    <w:rsid w:val="00B15F84"/>
    <w:rsid w:val="00B24A3E"/>
    <w:rsid w:val="00B40145"/>
    <w:rsid w:val="00B57D9C"/>
    <w:rsid w:val="00B62C6B"/>
    <w:rsid w:val="00B73B6E"/>
    <w:rsid w:val="00B852DF"/>
    <w:rsid w:val="00BC03D3"/>
    <w:rsid w:val="00BC1F23"/>
    <w:rsid w:val="00BC4221"/>
    <w:rsid w:val="00BC636D"/>
    <w:rsid w:val="00BD6CC7"/>
    <w:rsid w:val="00BF1773"/>
    <w:rsid w:val="00BF61FC"/>
    <w:rsid w:val="00C2255E"/>
    <w:rsid w:val="00CD5469"/>
    <w:rsid w:val="00CE4195"/>
    <w:rsid w:val="00CF3729"/>
    <w:rsid w:val="00D170D4"/>
    <w:rsid w:val="00D65720"/>
    <w:rsid w:val="00D94552"/>
    <w:rsid w:val="00DC7DFC"/>
    <w:rsid w:val="00DD0606"/>
    <w:rsid w:val="00DE5820"/>
    <w:rsid w:val="00DF6E1C"/>
    <w:rsid w:val="00E16AF8"/>
    <w:rsid w:val="00E229A8"/>
    <w:rsid w:val="00E557BF"/>
    <w:rsid w:val="00E55BF1"/>
    <w:rsid w:val="00E56DD6"/>
    <w:rsid w:val="00E5767A"/>
    <w:rsid w:val="00E57758"/>
    <w:rsid w:val="00E6273F"/>
    <w:rsid w:val="00E9029C"/>
    <w:rsid w:val="00E968EE"/>
    <w:rsid w:val="00EA781F"/>
    <w:rsid w:val="00EE2624"/>
    <w:rsid w:val="00F40AC7"/>
    <w:rsid w:val="00F635D1"/>
    <w:rsid w:val="00F66808"/>
    <w:rsid w:val="00F70459"/>
    <w:rsid w:val="00FB5876"/>
    <w:rsid w:val="00FD2C12"/>
    <w:rsid w:val="00FD5C1F"/>
    <w:rsid w:val="00FD7E17"/>
    <w:rsid w:val="00FE018E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FC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1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640"/>
    <w:rPr>
      <w:rFonts w:ascii="Segoe UI" w:hAnsi="Segoe UI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640"/>
    <w:rPr>
      <w:rFonts w:ascii="Segoe UI" w:hAnsi="Segoe UI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2022-04-14T09:15:00Z</dcterms:created>
  <dcterms:modified xsi:type="dcterms:W3CDTF">2022-05-31T20:27:00Z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