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81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5235BA12" w14:textId="7E81010F" w:rsidR="00764B3A" w:rsidRPr="00AE567F" w:rsidRDefault="00C712CE" w:rsidP="00AE567F">
      <w:pPr>
        <w:pStyle w:val="Title"/>
      </w:pPr>
      <w:r>
        <w:t>Custom Event Provider</w:t>
      </w:r>
      <w:r w:rsidR="00F70459">
        <w:t xml:space="preserve"> Sample</w:t>
      </w:r>
    </w:p>
    <w:p w14:paraId="0287AB68" w14:textId="77777777" w:rsidR="00EA14DF" w:rsidRDefault="00EA14DF" w:rsidP="00EA14DF">
      <w:pPr>
        <w:rPr>
          <w:i/>
        </w:rPr>
      </w:pPr>
      <w:bookmarkStart w:id="0" w:name="_Hlk41512580"/>
      <w:bookmarkStart w:id="1" w:name="_Hlk41511237"/>
      <w:r>
        <w:rPr>
          <w:i/>
        </w:rPr>
        <w:t>This sample is compatible with the Microsoft Game Development Kit (June 2020)</w:t>
      </w:r>
      <w:bookmarkEnd w:id="0"/>
    </w:p>
    <w:bookmarkEnd w:id="1"/>
    <w:p w14:paraId="726AE07F" w14:textId="77777777" w:rsidR="00817690" w:rsidRDefault="00281D12" w:rsidP="00817690">
      <w:pPr>
        <w:pStyle w:val="Heading1"/>
      </w:pPr>
      <w:r>
        <w:t>Description</w:t>
      </w:r>
      <w:r w:rsidR="00C71B43">
        <w:br/>
      </w:r>
      <w:r w:rsidR="00C71B43" w:rsidRPr="00C71B43">
        <w:rPr>
          <w:rFonts w:eastAsiaTheme="minorHAnsi" w:cs="Times New Roman"/>
          <w:color w:val="auto"/>
          <w:sz w:val="20"/>
          <w:szCs w:val="22"/>
        </w:rPr>
        <w:t xml:space="preserve">This sample demonstrates how to use custom ETW event providers on Xbox One. </w:t>
      </w:r>
      <w:r w:rsidR="00C71B43">
        <w:rPr>
          <w:rFonts w:eastAsiaTheme="minorHAnsi" w:cs="Times New Roman"/>
          <w:color w:val="auto"/>
          <w:sz w:val="20"/>
          <w:szCs w:val="22"/>
        </w:rPr>
        <w:br/>
      </w:r>
      <w:r w:rsidR="00C71B43">
        <w:br/>
      </w:r>
      <w:bookmarkStart w:id="2" w:name="_Hlk41512468"/>
      <w:bookmarkStart w:id="3" w:name="_Hlk41511358"/>
      <w:r w:rsidR="00817690">
        <w:t>Building the sample</w:t>
      </w:r>
    </w:p>
    <w:p w14:paraId="2EF03BD1" w14:textId="77777777" w:rsidR="00A9046E" w:rsidRDefault="00A9046E" w:rsidP="00A9046E">
      <w:bookmarkStart w:id="4" w:name="_Hlk41511504"/>
      <w:r>
        <w:t xml:space="preserve">If using an Xbox One devkit, set the active solution platform to </w:t>
      </w:r>
      <w:proofErr w:type="gramStart"/>
      <w:r>
        <w:t>Gaming.Xbox.XboxOne.x</w:t>
      </w:r>
      <w:proofErr w:type="gramEnd"/>
      <w:r>
        <w:t>64.</w:t>
      </w:r>
    </w:p>
    <w:p w14:paraId="51339B10" w14:textId="77777777" w:rsidR="00A9046E" w:rsidRDefault="00A9046E" w:rsidP="00A9046E"/>
    <w:p w14:paraId="43D0A25C" w14:textId="556CAF0D" w:rsidR="00A9046E" w:rsidRDefault="00A9046E" w:rsidP="00A9046E">
      <w:r>
        <w:t xml:space="preserve">If using </w:t>
      </w:r>
      <w:r w:rsidR="009B662B">
        <w:t>an Xbox Series X|S devkit</w:t>
      </w:r>
      <w:r>
        <w:t xml:space="preserve">, set the active solution platform to </w:t>
      </w:r>
      <w:proofErr w:type="gramStart"/>
      <w:r>
        <w:t>Gaming.Xbox.Scarlett.x</w:t>
      </w:r>
      <w:proofErr w:type="gramEnd"/>
      <w:r>
        <w:t>64.</w:t>
      </w:r>
    </w:p>
    <w:p w14:paraId="1395AA99" w14:textId="77777777" w:rsidR="00817690" w:rsidRDefault="00817690" w:rsidP="00817690"/>
    <w:p w14:paraId="6FBE6A2C" w14:textId="35F16C54" w:rsidR="00817690" w:rsidRDefault="00817690" w:rsidP="00817690">
      <w:pPr>
        <w:rPr>
          <w:i/>
        </w:rPr>
      </w:pPr>
      <w:r>
        <w:rPr>
          <w:i/>
        </w:rPr>
        <w:t xml:space="preserve">For more information, see </w:t>
      </w:r>
      <w:r>
        <w:t>Running samples</w:t>
      </w:r>
      <w:r>
        <w:rPr>
          <w:i/>
        </w:rPr>
        <w:t>, in the GDK documentation</w:t>
      </w:r>
      <w:bookmarkEnd w:id="2"/>
      <w:r>
        <w:rPr>
          <w:i/>
        </w:rPr>
        <w:t>.</w:t>
      </w:r>
    </w:p>
    <w:bookmarkEnd w:id="3"/>
    <w:bookmarkEnd w:id="4"/>
    <w:p w14:paraId="09D5A23E" w14:textId="77777777" w:rsidR="00A9046E" w:rsidRDefault="00A9046E" w:rsidP="00817690"/>
    <w:p w14:paraId="33CA15E4" w14:textId="2B72247E" w:rsidR="00281D12" w:rsidRDefault="00281D12" w:rsidP="00C71B43">
      <w:pPr>
        <w:pStyle w:val="Heading1"/>
        <w:spacing w:before="0"/>
      </w:pPr>
      <w:r>
        <w:t>Using the sample</w:t>
      </w:r>
    </w:p>
    <w:p w14:paraId="55AD51C5" w14:textId="6EDF7FC7" w:rsidR="00E16AF8" w:rsidRDefault="002D4306" w:rsidP="00331038">
      <w:r>
        <w:t>The sample uses the following controls:</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Pr>
            </w:pPr>
            <w:r w:rsidRPr="00160A8A">
              <w:t>Action</w:t>
            </w:r>
          </w:p>
        </w:tc>
        <w:tc>
          <w:tcPr>
            <w:tcW w:w="2846" w:type="pct"/>
            <w:hideMark/>
          </w:tcPr>
          <w:p w14:paraId="6C99B0F8" w14:textId="77777777" w:rsidR="002D4306" w:rsidRPr="00C42F0D" w:rsidRDefault="002D4306" w:rsidP="00B05A15">
            <w:pPr>
              <w:pStyle w:val="Tableheading"/>
              <w:rPr>
                <w:bCs w:val="0"/>
              </w:rPr>
            </w:pPr>
            <w:r>
              <w:t>Gamepad</w:t>
            </w:r>
          </w:p>
        </w:tc>
      </w:tr>
      <w:tr w:rsidR="002D4306" w:rsidRPr="00C42F0D" w14:paraId="6DADED48" w14:textId="77777777" w:rsidTr="00B05A15">
        <w:trPr>
          <w:trHeight w:val="469"/>
        </w:trPr>
        <w:tc>
          <w:tcPr>
            <w:tcW w:w="2154" w:type="pct"/>
          </w:tcPr>
          <w:p w14:paraId="772EE9B3" w14:textId="1473EF63" w:rsidR="002D4306" w:rsidRPr="00C42F0D" w:rsidRDefault="006F0721" w:rsidP="00B05A15">
            <w:pPr>
              <w:pStyle w:val="Tablebody"/>
            </w:pPr>
            <w:r>
              <w:t>Exit the sample.</w:t>
            </w:r>
          </w:p>
        </w:tc>
        <w:tc>
          <w:tcPr>
            <w:tcW w:w="2846" w:type="pct"/>
          </w:tcPr>
          <w:p w14:paraId="5DC87143" w14:textId="42F74D4F" w:rsidR="002D4306" w:rsidRPr="00C42F0D" w:rsidRDefault="0040133D" w:rsidP="00B05A15">
            <w:pPr>
              <w:pStyle w:val="Tablebody"/>
            </w:pPr>
            <w:r>
              <w:t xml:space="preserve">View Button </w:t>
            </w:r>
            <w:r w:rsidRPr="0040133D">
              <w:rPr>
                <w:noProof/>
              </w:rPr>
              <w:drawing>
                <wp:inline distT="0" distB="0" distL="0" distR="0" wp14:anchorId="245DA7D1" wp14:editId="4AE243EE">
                  <wp:extent cx="374155" cy="3810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946" cy="391988"/>
                          </a:xfrm>
                          <a:prstGeom prst="rect">
                            <a:avLst/>
                          </a:prstGeom>
                        </pic:spPr>
                      </pic:pic>
                    </a:graphicData>
                  </a:graphic>
                </wp:inline>
              </w:drawing>
            </w:r>
          </w:p>
        </w:tc>
      </w:tr>
    </w:tbl>
    <w:p w14:paraId="6E31EC7A" w14:textId="77777777" w:rsidR="002D4306" w:rsidRDefault="002D4306" w:rsidP="00331038"/>
    <w:p w14:paraId="6A1DC12B" w14:textId="05467C5D" w:rsidR="006F0721" w:rsidRDefault="003D3EF7" w:rsidP="006F0721">
      <w:pPr>
        <w:spacing w:before="144" w:after="144"/>
        <w:rPr>
          <w:rFonts w:ascii="Calibri" w:eastAsia="Calibri" w:hAnsi="Calibri"/>
          <w:iCs/>
          <w:sz w:val="22"/>
        </w:rPr>
      </w:pPr>
      <w:r w:rsidRPr="006F0721">
        <w:rPr>
          <w:rStyle w:val="Heading1Char"/>
        </w:rPr>
        <w:t>Implementation notes</w:t>
      </w:r>
      <w:r w:rsidR="000A5B7C">
        <w:br/>
      </w:r>
      <w:r w:rsidR="006F0721" w:rsidRPr="006F0721">
        <w:rPr>
          <w:rFonts w:ascii="Calibri" w:eastAsia="Calibri" w:hAnsi="Calibri"/>
          <w:iCs/>
          <w:sz w:val="22"/>
        </w:rPr>
        <w:t>This sample follows the same structure as a conventional Windows ETW provider, however since a title running in the Exclusive partition cannot add its event providers to the registry some additional steps are required on the host PC to resolve generated event data correctly.</w:t>
      </w:r>
    </w:p>
    <w:p w14:paraId="7C1DBCD2" w14:textId="4A6C5EC1" w:rsidR="004C5839" w:rsidRPr="004C5839" w:rsidRDefault="004C5839" w:rsidP="006F0721">
      <w:pPr>
        <w:spacing w:before="144" w:after="144"/>
        <w:rPr>
          <w:rFonts w:ascii="Calibri" w:eastAsia="Calibri" w:hAnsi="Calibri"/>
          <w:iCs/>
          <w:sz w:val="22"/>
        </w:rPr>
      </w:pPr>
      <w:r>
        <w:rPr>
          <w:rFonts w:ascii="Calibri" w:eastAsia="Calibri" w:hAnsi="Calibri"/>
          <w:iCs/>
          <w:sz w:val="22"/>
        </w:rPr>
        <w:t xml:space="preserve">To generate events, you first need to create an event manifest file (in this sample, this can be found in </w:t>
      </w:r>
      <w:proofErr w:type="spellStart"/>
      <w:r>
        <w:rPr>
          <w:rFonts w:ascii="Calibri" w:eastAsia="Calibri" w:hAnsi="Calibri"/>
          <w:b/>
          <w:iCs/>
          <w:sz w:val="22"/>
        </w:rPr>
        <w:t>etwprovider.man</w:t>
      </w:r>
      <w:proofErr w:type="spellEnd"/>
      <w:r>
        <w:rPr>
          <w:rFonts w:ascii="Calibri" w:eastAsia="Calibri" w:hAnsi="Calibri"/>
          <w:iCs/>
          <w:sz w:val="22"/>
        </w:rPr>
        <w:t>).</w:t>
      </w:r>
    </w:p>
    <w:p w14:paraId="767CBCED" w14:textId="484C139F" w:rsidR="004C5839"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The event manifest </w:t>
      </w:r>
      <w:r w:rsidR="004C5839">
        <w:rPr>
          <w:rFonts w:ascii="Calibri" w:eastAsia="Calibri" w:hAnsi="Calibri"/>
          <w:iCs/>
          <w:sz w:val="22"/>
        </w:rPr>
        <w:t xml:space="preserve">file </w:t>
      </w:r>
      <w:r w:rsidRPr="006F0721">
        <w:rPr>
          <w:rFonts w:ascii="Calibri" w:eastAsia="Calibri" w:hAnsi="Calibri"/>
          <w:iCs/>
          <w:sz w:val="22"/>
        </w:rPr>
        <w:t xml:space="preserve">can be </w:t>
      </w:r>
      <w:r w:rsidR="004C5839">
        <w:rPr>
          <w:rFonts w:ascii="Calibri" w:eastAsia="Calibri" w:hAnsi="Calibri"/>
          <w:iCs/>
          <w:sz w:val="22"/>
        </w:rPr>
        <w:t>created</w:t>
      </w:r>
      <w:r w:rsidRPr="006F0721">
        <w:rPr>
          <w:rFonts w:ascii="Calibri" w:eastAsia="Calibri" w:hAnsi="Calibri"/>
          <w:iCs/>
          <w:sz w:val="22"/>
        </w:rPr>
        <w:t xml:space="preserve"> by hand</w:t>
      </w:r>
      <w:r w:rsidR="004C5839">
        <w:rPr>
          <w:rFonts w:ascii="Calibri" w:eastAsia="Calibri" w:hAnsi="Calibri"/>
          <w:iCs/>
          <w:sz w:val="22"/>
        </w:rPr>
        <w:t xml:space="preserve"> – it’s XML based – </w:t>
      </w:r>
      <w:r w:rsidRPr="006F0721">
        <w:rPr>
          <w:rFonts w:ascii="Calibri" w:eastAsia="Calibri" w:hAnsi="Calibri"/>
          <w:iCs/>
          <w:sz w:val="22"/>
        </w:rPr>
        <w:t xml:space="preserve">or </w:t>
      </w:r>
      <w:r w:rsidR="004C5839">
        <w:rPr>
          <w:rFonts w:ascii="Calibri" w:eastAsia="Calibri" w:hAnsi="Calibri"/>
          <w:iCs/>
          <w:sz w:val="22"/>
        </w:rPr>
        <w:t xml:space="preserve">it can be built </w:t>
      </w:r>
      <w:r w:rsidRPr="006F0721">
        <w:rPr>
          <w:rFonts w:ascii="Calibri" w:eastAsia="Calibri" w:hAnsi="Calibri"/>
          <w:iCs/>
          <w:sz w:val="22"/>
        </w:rPr>
        <w:t xml:space="preserve">using </w:t>
      </w:r>
      <w:r w:rsidRPr="004C5839">
        <w:rPr>
          <w:rFonts w:ascii="Calibri" w:eastAsia="Calibri" w:hAnsi="Calibri"/>
          <w:b/>
          <w:iCs/>
          <w:sz w:val="22"/>
        </w:rPr>
        <w:t>ecmangen.exe</w:t>
      </w:r>
      <w:r w:rsidR="004C5839">
        <w:rPr>
          <w:rFonts w:ascii="Calibri" w:eastAsia="Calibri" w:hAnsi="Calibri"/>
          <w:b/>
          <w:iCs/>
          <w:sz w:val="22"/>
        </w:rPr>
        <w:t>,</w:t>
      </w:r>
      <w:r w:rsidRPr="006F0721">
        <w:rPr>
          <w:rFonts w:ascii="Calibri" w:eastAsia="Calibri" w:hAnsi="Calibri"/>
          <w:iCs/>
          <w:sz w:val="22"/>
        </w:rPr>
        <w:t xml:space="preserve"> </w:t>
      </w:r>
      <w:r w:rsidR="004C5839">
        <w:rPr>
          <w:rFonts w:ascii="Calibri" w:eastAsia="Calibri" w:hAnsi="Calibri"/>
          <w:iCs/>
          <w:sz w:val="22"/>
        </w:rPr>
        <w:t xml:space="preserve">a GUI-based </w:t>
      </w:r>
      <w:r w:rsidRPr="006F0721">
        <w:rPr>
          <w:rFonts w:ascii="Calibri" w:eastAsia="Calibri" w:hAnsi="Calibri"/>
          <w:iCs/>
          <w:sz w:val="22"/>
        </w:rPr>
        <w:t xml:space="preserve">tool that ships as part of the Windows SDK. </w:t>
      </w:r>
      <w:r w:rsidR="004C5839">
        <w:rPr>
          <w:rFonts w:ascii="Calibri" w:eastAsia="Calibri" w:hAnsi="Calibri"/>
          <w:iCs/>
          <w:sz w:val="22"/>
        </w:rPr>
        <w:t>The Manifest Generator tool can usually be found in the following location: c:\Program Files (x</w:t>
      </w:r>
      <w:proofErr w:type="gramStart"/>
      <w:r w:rsidR="004C5839">
        <w:rPr>
          <w:rFonts w:ascii="Calibri" w:eastAsia="Calibri" w:hAnsi="Calibri"/>
          <w:iCs/>
          <w:sz w:val="22"/>
        </w:rPr>
        <w:t>86)\</w:t>
      </w:r>
      <w:proofErr w:type="gramEnd"/>
      <w:r w:rsidR="004C5839">
        <w:rPr>
          <w:rFonts w:ascii="Calibri" w:eastAsia="Calibri" w:hAnsi="Calibri"/>
          <w:iCs/>
          <w:sz w:val="22"/>
        </w:rPr>
        <w:t>Windows Kits\10\bin\{</w:t>
      </w:r>
      <w:proofErr w:type="spellStart"/>
      <w:r w:rsidR="004C5839">
        <w:rPr>
          <w:rFonts w:ascii="Calibri" w:eastAsia="Calibri" w:hAnsi="Calibri"/>
          <w:iCs/>
          <w:sz w:val="22"/>
        </w:rPr>
        <w:t>sdk</w:t>
      </w:r>
      <w:proofErr w:type="spellEnd"/>
      <w:r w:rsidR="004C5839">
        <w:rPr>
          <w:rFonts w:ascii="Calibri" w:eastAsia="Calibri" w:hAnsi="Calibri"/>
          <w:iCs/>
          <w:sz w:val="22"/>
        </w:rPr>
        <w:t xml:space="preserve"> version}\x64\ecmangen.exe</w:t>
      </w:r>
    </w:p>
    <w:p w14:paraId="128884F0" w14:textId="63E5D7C9" w:rsidR="006F0721" w:rsidRDefault="009B78F4" w:rsidP="006F0721">
      <w:pPr>
        <w:spacing w:before="144" w:after="144" w:line="259" w:lineRule="auto"/>
        <w:rPr>
          <w:rFonts w:ascii="Calibri" w:eastAsia="Calibri" w:hAnsi="Calibri"/>
          <w:iCs/>
          <w:sz w:val="22"/>
        </w:rPr>
      </w:pPr>
      <w:r>
        <w:rPr>
          <w:rFonts w:ascii="Calibri" w:eastAsia="Calibri" w:hAnsi="Calibri"/>
          <w:iCs/>
          <w:sz w:val="22"/>
        </w:rPr>
        <w:t>Once you have an event manifest, i</w:t>
      </w:r>
      <w:r w:rsidR="006F0721" w:rsidRPr="006F0721">
        <w:rPr>
          <w:rFonts w:ascii="Calibri" w:eastAsia="Calibri" w:hAnsi="Calibri"/>
          <w:iCs/>
          <w:sz w:val="22"/>
        </w:rPr>
        <w:t>t is compiled into a resource file (</w:t>
      </w:r>
      <w:proofErr w:type="spellStart"/>
      <w:r w:rsidR="006F0721" w:rsidRPr="006F0721">
        <w:rPr>
          <w:rFonts w:ascii="Calibri" w:eastAsia="Calibri" w:hAnsi="Calibri"/>
          <w:b/>
          <w:iCs/>
          <w:sz w:val="22"/>
        </w:rPr>
        <w:t>etwproviderGenerated.rc</w:t>
      </w:r>
      <w:proofErr w:type="spellEnd"/>
      <w:r w:rsidR="006F0721" w:rsidRPr="006F0721">
        <w:rPr>
          <w:rFonts w:ascii="Calibri" w:eastAsia="Calibri" w:hAnsi="Calibri"/>
          <w:iCs/>
          <w:sz w:val="22"/>
        </w:rPr>
        <w:t>) and header (</w:t>
      </w:r>
      <w:proofErr w:type="spellStart"/>
      <w:r w:rsidR="006F0721" w:rsidRPr="006F0721">
        <w:rPr>
          <w:rFonts w:ascii="Calibri" w:eastAsia="Calibri" w:hAnsi="Calibri"/>
          <w:b/>
          <w:iCs/>
          <w:sz w:val="22"/>
        </w:rPr>
        <w:t>etwproviderGenerated.h</w:t>
      </w:r>
      <w:proofErr w:type="spellEnd"/>
      <w:r w:rsidR="006F0721" w:rsidRPr="006F0721">
        <w:rPr>
          <w:rFonts w:ascii="Calibri" w:eastAsia="Calibri" w:hAnsi="Calibri"/>
          <w:iCs/>
          <w:sz w:val="22"/>
        </w:rPr>
        <w:t xml:space="preserve">) using the Visual Studio message compiler (mc.exe). Both resource file and header are included in the title project. </w:t>
      </w:r>
    </w:p>
    <w:p w14:paraId="039413B6" w14:textId="511FB576" w:rsidR="009B78F4" w:rsidRDefault="008F325C" w:rsidP="006F0721">
      <w:pPr>
        <w:spacing w:before="144" w:after="144" w:line="259" w:lineRule="auto"/>
        <w:rPr>
          <w:rFonts w:ascii="Calibri" w:eastAsia="Calibri" w:hAnsi="Calibri"/>
          <w:iCs/>
          <w:sz w:val="22"/>
        </w:rPr>
      </w:pPr>
      <w:r>
        <w:rPr>
          <w:rFonts w:ascii="Calibri" w:eastAsia="Calibri" w:hAnsi="Calibri"/>
          <w:iCs/>
          <w:sz w:val="22"/>
        </w:rPr>
        <w:t>To generate the header</w:t>
      </w:r>
      <w:r w:rsidR="00564F16">
        <w:rPr>
          <w:rFonts w:ascii="Calibri" w:eastAsia="Calibri" w:hAnsi="Calibri"/>
          <w:iCs/>
          <w:sz w:val="22"/>
        </w:rPr>
        <w:t xml:space="preserve">, </w:t>
      </w:r>
      <w:r>
        <w:rPr>
          <w:rFonts w:ascii="Calibri" w:eastAsia="Calibri" w:hAnsi="Calibri"/>
          <w:iCs/>
          <w:sz w:val="22"/>
        </w:rPr>
        <w:t>resource</w:t>
      </w:r>
      <w:r w:rsidR="00564F16">
        <w:rPr>
          <w:rFonts w:ascii="Calibri" w:eastAsia="Calibri" w:hAnsi="Calibri"/>
          <w:iCs/>
          <w:sz w:val="22"/>
        </w:rPr>
        <w:t>,</w:t>
      </w:r>
      <w:r>
        <w:rPr>
          <w:rFonts w:ascii="Calibri" w:eastAsia="Calibri" w:hAnsi="Calibri"/>
          <w:iCs/>
          <w:sz w:val="22"/>
        </w:rPr>
        <w:t xml:space="preserve"> </w:t>
      </w:r>
      <w:r w:rsidR="00564F16">
        <w:rPr>
          <w:rFonts w:ascii="Calibri" w:eastAsia="Calibri" w:hAnsi="Calibri"/>
          <w:iCs/>
          <w:sz w:val="22"/>
        </w:rPr>
        <w:t xml:space="preserve">and binary </w:t>
      </w:r>
      <w:r>
        <w:rPr>
          <w:rFonts w:ascii="Calibri" w:eastAsia="Calibri" w:hAnsi="Calibri"/>
          <w:iCs/>
          <w:sz w:val="22"/>
        </w:rPr>
        <w:t>files, mc.exe is called with the following parameters:</w:t>
      </w:r>
    </w:p>
    <w:p w14:paraId="5DC45A21" w14:textId="48813E51" w:rsidR="008F325C" w:rsidRDefault="008F325C" w:rsidP="006F0721">
      <w:pPr>
        <w:spacing w:before="144" w:after="144" w:line="259" w:lineRule="auto"/>
        <w:rPr>
          <w:rFonts w:ascii="Courier New" w:eastAsia="Calibri" w:hAnsi="Courier New" w:cs="Courier New"/>
          <w:i/>
          <w:iCs/>
        </w:rPr>
      </w:pPr>
      <w:r w:rsidRPr="008F325C">
        <w:rPr>
          <w:rFonts w:ascii="Courier New" w:eastAsia="Calibri" w:hAnsi="Courier New" w:cs="Courier New"/>
          <w:iCs/>
        </w:rPr>
        <w:tab/>
        <w:t xml:space="preserve">mc.exe </w:t>
      </w:r>
      <w:r>
        <w:rPr>
          <w:rFonts w:ascii="Courier New" w:eastAsia="Calibri" w:hAnsi="Courier New" w:cs="Courier New"/>
          <w:iCs/>
        </w:rPr>
        <w:t xml:space="preserve">-um </w:t>
      </w:r>
      <w:proofErr w:type="spellStart"/>
      <w:r w:rsidR="005F1E2F" w:rsidRPr="005F1E2F">
        <w:rPr>
          <w:rFonts w:ascii="Courier New" w:eastAsia="Calibri" w:hAnsi="Courier New" w:cs="Courier New"/>
          <w:i/>
          <w:iCs/>
        </w:rPr>
        <w:t>inputmanifestfile.man</w:t>
      </w:r>
      <w:proofErr w:type="spellEnd"/>
    </w:p>
    <w:p w14:paraId="21408A16" w14:textId="443F2AB1" w:rsidR="00564F16" w:rsidRPr="00564F16" w:rsidRDefault="00564F16" w:rsidP="00564F16">
      <w:proofErr w:type="spellStart"/>
      <w:r>
        <w:t>The.BIN</w:t>
      </w:r>
      <w:proofErr w:type="spellEnd"/>
      <w:r>
        <w:t xml:space="preserve"> files generated by this step are automatically brought in by the generated .RC file, and compiled into your executable or DLL. </w:t>
      </w:r>
    </w:p>
    <w:p w14:paraId="1A60976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 xml:space="preserve">During title initialization, the event provider is registered via a call to </w:t>
      </w:r>
      <w:proofErr w:type="spellStart"/>
      <w:r w:rsidRPr="006F0721">
        <w:rPr>
          <w:rFonts w:ascii="Calibri" w:eastAsia="Calibri" w:hAnsi="Calibri"/>
          <w:b/>
          <w:iCs/>
          <w:sz w:val="22"/>
        </w:rPr>
        <w:t>EventRegisterCEP_Main</w:t>
      </w:r>
      <w:proofErr w:type="spellEnd"/>
      <w:r w:rsidRPr="006F0721">
        <w:rPr>
          <w:rFonts w:ascii="Calibri" w:eastAsia="Calibri" w:hAnsi="Calibri"/>
          <w:iCs/>
          <w:sz w:val="22"/>
        </w:rPr>
        <w:t xml:space="preserve">, and then subsequently unregistered via a call to </w:t>
      </w:r>
      <w:proofErr w:type="spellStart"/>
      <w:r w:rsidRPr="006F0721">
        <w:rPr>
          <w:rFonts w:ascii="Calibri" w:eastAsia="Calibri" w:hAnsi="Calibri"/>
          <w:b/>
          <w:iCs/>
          <w:sz w:val="22"/>
        </w:rPr>
        <w:t>EventUnregisterCEP_Main</w:t>
      </w:r>
      <w:proofErr w:type="spellEnd"/>
      <w:r w:rsidRPr="006F0721">
        <w:rPr>
          <w:rFonts w:ascii="Calibri" w:eastAsia="Calibri" w:hAnsi="Calibri"/>
          <w:iCs/>
          <w:sz w:val="22"/>
        </w:rPr>
        <w:t xml:space="preserve"> during shutdown processing. “Mark” events are emitted via calls to </w:t>
      </w:r>
      <w:proofErr w:type="spellStart"/>
      <w:r w:rsidRPr="006F0721">
        <w:rPr>
          <w:rFonts w:ascii="Calibri" w:eastAsia="Calibri" w:hAnsi="Calibri"/>
          <w:b/>
          <w:iCs/>
          <w:sz w:val="22"/>
        </w:rPr>
        <w:t>EventWriteMark</w:t>
      </w:r>
      <w:proofErr w:type="spellEnd"/>
      <w:r w:rsidRPr="006F0721">
        <w:rPr>
          <w:rFonts w:ascii="Calibri" w:eastAsia="Calibri" w:hAnsi="Calibri"/>
          <w:iCs/>
          <w:sz w:val="22"/>
        </w:rPr>
        <w:t xml:space="preserve"> which takes a single Unicode string as a parameter. </w:t>
      </w:r>
    </w:p>
    <w:p w14:paraId="069CDDFA" w14:textId="444D7942"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The sample can be built, deployed and activated as for any other sample. Once it is running</w:t>
      </w:r>
      <w:r w:rsidR="00EC76C7">
        <w:rPr>
          <w:rFonts w:ascii="Calibri" w:eastAsia="Calibri" w:hAnsi="Calibri"/>
          <w:iCs/>
          <w:sz w:val="22"/>
        </w:rPr>
        <w:t>,</w:t>
      </w:r>
      <w:r w:rsidRPr="006F0721">
        <w:rPr>
          <w:rFonts w:ascii="Calibri" w:eastAsia="Calibri" w:hAnsi="Calibri"/>
          <w:iCs/>
          <w:sz w:val="22"/>
        </w:rPr>
        <w:t xml:space="preserve"> </w:t>
      </w:r>
      <w:r w:rsidR="00EC76C7">
        <w:rPr>
          <w:rFonts w:ascii="Calibri" w:eastAsia="Calibri" w:hAnsi="Calibri"/>
          <w:iCs/>
          <w:sz w:val="22"/>
        </w:rPr>
        <w:t xml:space="preserve">use </w:t>
      </w:r>
      <w:proofErr w:type="spellStart"/>
      <w:proofErr w:type="gramStart"/>
      <w:r w:rsidR="000915BD">
        <w:rPr>
          <w:rFonts w:ascii="Calibri" w:eastAsia="Calibri" w:hAnsi="Calibri"/>
          <w:iCs/>
          <w:sz w:val="22"/>
        </w:rPr>
        <w:t>xperf</w:t>
      </w:r>
      <w:proofErr w:type="spellEnd"/>
      <w:r w:rsidR="000915BD">
        <w:rPr>
          <w:rFonts w:ascii="Calibri" w:eastAsia="Calibri" w:hAnsi="Calibri"/>
          <w:iCs/>
          <w:sz w:val="22"/>
        </w:rPr>
        <w:t xml:space="preserve"> </w:t>
      </w:r>
      <w:r w:rsidRPr="006F0721">
        <w:rPr>
          <w:rFonts w:ascii="Calibri" w:eastAsia="Calibri" w:hAnsi="Calibri"/>
          <w:iCs/>
          <w:sz w:val="22"/>
        </w:rPr>
        <w:t xml:space="preserve"> to</w:t>
      </w:r>
      <w:proofErr w:type="gramEnd"/>
      <w:r w:rsidRPr="006F0721">
        <w:rPr>
          <w:rFonts w:ascii="Calibri" w:eastAsia="Calibri" w:hAnsi="Calibri"/>
          <w:iCs/>
          <w:sz w:val="22"/>
        </w:rPr>
        <w:t xml:space="preserve"> capture events (</w:t>
      </w:r>
      <w:proofErr w:type="spellStart"/>
      <w:r w:rsidR="000915BD">
        <w:rPr>
          <w:rFonts w:ascii="Calibri" w:eastAsia="Calibri" w:hAnsi="Calibri"/>
          <w:iCs/>
          <w:sz w:val="22"/>
        </w:rPr>
        <w:t>tracelog</w:t>
      </w:r>
      <w:proofErr w:type="spellEnd"/>
      <w:r w:rsidR="000915BD">
        <w:rPr>
          <w:rFonts w:ascii="Calibri" w:eastAsia="Calibri" w:hAnsi="Calibri"/>
          <w:iCs/>
          <w:sz w:val="22"/>
        </w:rPr>
        <w:t xml:space="preserve"> lacks the ability to merge ETL provider events, and </w:t>
      </w:r>
      <w:proofErr w:type="spellStart"/>
      <w:r w:rsidRPr="006F0721">
        <w:rPr>
          <w:rFonts w:ascii="Calibri" w:eastAsia="Calibri" w:hAnsi="Calibri"/>
          <w:iCs/>
          <w:sz w:val="22"/>
        </w:rPr>
        <w:t>xbperf</w:t>
      </w:r>
      <w:proofErr w:type="spellEnd"/>
      <w:r w:rsidRPr="006F0721">
        <w:rPr>
          <w:rFonts w:ascii="Calibri" w:eastAsia="Calibri" w:hAnsi="Calibri"/>
          <w:iCs/>
          <w:sz w:val="22"/>
        </w:rPr>
        <w:t xml:space="preserve"> lacks the capability to specify custom event providers). Since the title’s event provider hasn’t been added to the registry it has to be identified via GUID, not by name (note that the GUID must match the provider GUID specified in the event manifest):</w:t>
      </w:r>
    </w:p>
    <w:p w14:paraId="4AFC82F5" w14:textId="2E0FEEA3" w:rsid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C:\temp&gt;xbrun /x/title /O </w:t>
      </w:r>
      <w:proofErr w:type="spellStart"/>
      <w:r w:rsidR="00E72E7A" w:rsidRPr="00E72E7A">
        <w:rPr>
          <w:rFonts w:ascii="Courier New" w:eastAsia="Calibri" w:hAnsi="Courier New" w:cs="Courier New"/>
          <w:iCs/>
        </w:rPr>
        <w:t>xperf</w:t>
      </w:r>
      <w:proofErr w:type="spellEnd"/>
      <w:r w:rsidR="00E72E7A" w:rsidRPr="00E72E7A">
        <w:rPr>
          <w:rFonts w:ascii="Courier New" w:eastAsia="Calibri" w:hAnsi="Courier New" w:cs="Courier New"/>
          <w:iCs/>
        </w:rPr>
        <w:t xml:space="preserve"> -start -on PROC_THREAD+LOADER+DPC+INTERRUPT+CSWITCH+PROFILE -</w:t>
      </w:r>
      <w:proofErr w:type="spellStart"/>
      <w:r w:rsidR="00E72E7A" w:rsidRPr="00E72E7A">
        <w:rPr>
          <w:rFonts w:ascii="Courier New" w:eastAsia="Calibri" w:hAnsi="Courier New" w:cs="Courier New"/>
          <w:iCs/>
        </w:rPr>
        <w:t>stackwalk</w:t>
      </w:r>
      <w:proofErr w:type="spellEnd"/>
      <w:r w:rsidR="00E72E7A" w:rsidRPr="00E72E7A">
        <w:rPr>
          <w:rFonts w:ascii="Courier New" w:eastAsia="Calibri" w:hAnsi="Courier New" w:cs="Courier New"/>
          <w:iCs/>
        </w:rPr>
        <w:t xml:space="preserve"> PROFILE+CSWITCH -f d:\kernel.etl</w:t>
      </w:r>
    </w:p>
    <w:p w14:paraId="3442AD05" w14:textId="4863CE44" w:rsidR="00F91E91" w:rsidRPr="006F0721" w:rsidRDefault="00F91E9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Pr="000915BD">
        <w:t xml:space="preserve"> </w:t>
      </w:r>
      <w:proofErr w:type="spellStart"/>
      <w:r w:rsidRPr="000915BD">
        <w:rPr>
          <w:rFonts w:ascii="Courier New" w:eastAsia="Calibri" w:hAnsi="Courier New" w:cs="Courier New"/>
          <w:iCs/>
        </w:rPr>
        <w:t>xbrun</w:t>
      </w:r>
      <w:proofErr w:type="spellEnd"/>
      <w:r w:rsidRPr="000915BD">
        <w:rPr>
          <w:rFonts w:ascii="Courier New" w:eastAsia="Calibri" w:hAnsi="Courier New" w:cs="Courier New"/>
          <w:iCs/>
        </w:rPr>
        <w:t xml:space="preserve"> /x/title /O </w:t>
      </w:r>
      <w:proofErr w:type="spellStart"/>
      <w:r w:rsidRPr="000915BD">
        <w:rPr>
          <w:rFonts w:ascii="Courier New" w:eastAsia="Calibri" w:hAnsi="Courier New" w:cs="Courier New"/>
          <w:iCs/>
        </w:rPr>
        <w:t>xperf</w:t>
      </w:r>
      <w:proofErr w:type="spellEnd"/>
      <w:r w:rsidRPr="000915BD">
        <w:rPr>
          <w:rFonts w:ascii="Courier New" w:eastAsia="Calibri" w:hAnsi="Courier New" w:cs="Courier New"/>
          <w:iCs/>
        </w:rPr>
        <w:t xml:space="preserve"> -start "user" -on A4A76336-4BA7-4CD9-85C3-B9C236D3041C -f d:\user.etl</w:t>
      </w:r>
    </w:p>
    <w:p w14:paraId="5438C140" w14:textId="2366449B" w:rsid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Once the required data has been captured, the session can be stopped in the usual way</w:t>
      </w:r>
      <w:r w:rsidR="00F91E91">
        <w:rPr>
          <w:rFonts w:ascii="Calibri" w:eastAsia="Calibri" w:hAnsi="Calibri"/>
          <w:iCs/>
          <w:sz w:val="22"/>
        </w:rPr>
        <w:t>.  Also m</w:t>
      </w:r>
      <w:r w:rsidR="00F91E91" w:rsidRPr="006F0721">
        <w:rPr>
          <w:rFonts w:ascii="Calibri" w:eastAsia="Calibri" w:hAnsi="Calibri"/>
          <w:iCs/>
          <w:sz w:val="22"/>
        </w:rPr>
        <w:t xml:space="preserve">erge the ETL file on the devkit to resolve the system event providers. This will </w:t>
      </w:r>
      <w:r w:rsidR="00F91E91" w:rsidRPr="006F0721">
        <w:rPr>
          <w:rFonts w:ascii="Calibri" w:eastAsia="Calibri" w:hAnsi="Calibri"/>
          <w:i/>
          <w:iCs/>
          <w:sz w:val="22"/>
        </w:rPr>
        <w:t>not</w:t>
      </w:r>
      <w:r w:rsidR="00F91E91" w:rsidRPr="006F0721">
        <w:rPr>
          <w:rFonts w:ascii="Calibri" w:eastAsia="Calibri" w:hAnsi="Calibri"/>
          <w:iCs/>
          <w:sz w:val="22"/>
        </w:rPr>
        <w:t xml:space="preserve"> resolve our custom event provider:</w:t>
      </w:r>
    </w:p>
    <w:p w14:paraId="3849BEE1" w14:textId="48474B61" w:rsidR="00F91E91" w:rsidRPr="00F91E91" w:rsidRDefault="00F91E9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Pr="000915BD">
        <w:t xml:space="preserve"> </w:t>
      </w:r>
      <w:proofErr w:type="spellStart"/>
      <w:r w:rsidRPr="000915BD">
        <w:rPr>
          <w:rFonts w:ascii="Courier New" w:eastAsia="Calibri" w:hAnsi="Courier New" w:cs="Courier New"/>
          <w:iCs/>
        </w:rPr>
        <w:t>xbrun</w:t>
      </w:r>
      <w:proofErr w:type="spellEnd"/>
      <w:r w:rsidRPr="000915BD">
        <w:rPr>
          <w:rFonts w:ascii="Courier New" w:eastAsia="Calibri" w:hAnsi="Courier New" w:cs="Courier New"/>
          <w:iCs/>
        </w:rPr>
        <w:t xml:space="preserve"> /x/title /O </w:t>
      </w:r>
      <w:proofErr w:type="spellStart"/>
      <w:r w:rsidRPr="000915BD">
        <w:rPr>
          <w:rFonts w:ascii="Courier New" w:eastAsia="Calibri" w:hAnsi="Courier New" w:cs="Courier New"/>
          <w:iCs/>
        </w:rPr>
        <w:t>xperf</w:t>
      </w:r>
      <w:proofErr w:type="spellEnd"/>
      <w:r w:rsidRPr="000915BD">
        <w:rPr>
          <w:rFonts w:ascii="Courier New" w:eastAsia="Calibri" w:hAnsi="Courier New" w:cs="Courier New"/>
          <w:iCs/>
        </w:rPr>
        <w:t xml:space="preserve"> -stop -stop "user" -d d:\merged.etl</w:t>
      </w:r>
    </w:p>
    <w:p w14:paraId="72E321C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Now the merged file can be copied back to the host PC:</w:t>
      </w:r>
    </w:p>
    <w:p w14:paraId="0E94EAF4" w14:textId="58C58688"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xbcp</w:t>
      </w:r>
      <w:proofErr w:type="spellEnd"/>
      <w:r w:rsidR="000915BD" w:rsidRPr="000915BD">
        <w:rPr>
          <w:rFonts w:ascii="Courier New" w:eastAsia="Calibri" w:hAnsi="Courier New" w:cs="Courier New"/>
          <w:iCs/>
        </w:rPr>
        <w:t xml:space="preserve"> </w:t>
      </w:r>
      <w:proofErr w:type="spellStart"/>
      <w:proofErr w:type="gramStart"/>
      <w:r w:rsidR="000915BD" w:rsidRPr="000915BD">
        <w:rPr>
          <w:rFonts w:ascii="Courier New" w:eastAsia="Calibri" w:hAnsi="Courier New" w:cs="Courier New"/>
          <w:iCs/>
        </w:rPr>
        <w:t>xd</w:t>
      </w:r>
      <w:proofErr w:type="spellEnd"/>
      <w:r w:rsidR="000915BD" w:rsidRPr="000915BD">
        <w:rPr>
          <w:rFonts w:ascii="Courier New" w:eastAsia="Calibri" w:hAnsi="Courier New" w:cs="Courier New"/>
          <w:iCs/>
        </w:rPr>
        <w:t>:\</w:t>
      </w:r>
      <w:proofErr w:type="spellStart"/>
      <w:r w:rsidR="000915BD" w:rsidRPr="000915BD">
        <w:rPr>
          <w:rFonts w:ascii="Courier New" w:eastAsia="Calibri" w:hAnsi="Courier New" w:cs="Courier New"/>
          <w:iCs/>
        </w:rPr>
        <w:t>merged.etl</w:t>
      </w:r>
      <w:proofErr w:type="spellEnd"/>
      <w:r w:rsidR="000915BD">
        <w:rPr>
          <w:rFonts w:ascii="Courier New" w:eastAsia="Calibri" w:hAnsi="Courier New" w:cs="Courier New"/>
          <w:iCs/>
        </w:rPr>
        <w:t xml:space="preserve"> </w:t>
      </w:r>
      <w:r w:rsidRPr="006F0721">
        <w:rPr>
          <w:rFonts w:ascii="Courier New" w:eastAsia="Calibri" w:hAnsi="Courier New" w:cs="Courier New"/>
          <w:iCs/>
        </w:rPr>
        <w:t>.</w:t>
      </w:r>
      <w:proofErr w:type="gramEnd"/>
    </w:p>
    <w:p w14:paraId="020643B9"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This file can be loaded into WPA, and the custom events will appear in the “Generic Events” graph within the “System Activity” group. </w:t>
      </w:r>
      <w:proofErr w:type="gramStart"/>
      <w:r w:rsidRPr="006F0721">
        <w:rPr>
          <w:rFonts w:ascii="Calibri" w:eastAsia="Calibri" w:hAnsi="Calibri"/>
          <w:iCs/>
          <w:sz w:val="22"/>
        </w:rPr>
        <w:t>However</w:t>
      </w:r>
      <w:proofErr w:type="gramEnd"/>
      <w:r w:rsidRPr="006F0721">
        <w:rPr>
          <w:rFonts w:ascii="Calibri" w:eastAsia="Calibri" w:hAnsi="Calibri"/>
          <w:iCs/>
          <w:sz w:val="22"/>
        </w:rPr>
        <w:t xml:space="preserve"> at this point the events will only be identified by GUID, and information like the Task Name and Opcode Name will not be visible. More importantly, the custom data we provided for each event (the Unicode string) will not be displayed either.</w:t>
      </w:r>
    </w:p>
    <w:p w14:paraId="4560C2B5" w14:textId="77777777" w:rsidR="006F0721" w:rsidRPr="006F0721" w:rsidRDefault="006F0721" w:rsidP="006F0721">
      <w:pPr>
        <w:spacing w:before="144" w:after="144" w:line="259" w:lineRule="auto"/>
        <w:rPr>
          <w:rFonts w:ascii="Calibri" w:eastAsia="Calibri" w:hAnsi="Calibri"/>
          <w:iCs/>
          <w:sz w:val="22"/>
        </w:rPr>
      </w:pPr>
    </w:p>
    <w:p w14:paraId="2C1A83E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8B9B65E" wp14:editId="3796249E">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5735"/>
                    </a:xfrm>
                    <a:prstGeom prst="rect">
                      <a:avLst/>
                    </a:prstGeom>
                  </pic:spPr>
                </pic:pic>
              </a:graphicData>
            </a:graphic>
          </wp:inline>
        </w:drawing>
      </w:r>
    </w:p>
    <w:p w14:paraId="10441AB4" w14:textId="77777777" w:rsidR="006F0721" w:rsidRPr="006F0721" w:rsidRDefault="006F0721" w:rsidP="006F0721">
      <w:pPr>
        <w:spacing w:before="144" w:after="144" w:line="259" w:lineRule="auto"/>
        <w:rPr>
          <w:rFonts w:ascii="Calibri" w:eastAsia="Calibri" w:hAnsi="Calibri"/>
          <w:iCs/>
          <w:sz w:val="22"/>
        </w:rPr>
      </w:pPr>
    </w:p>
    <w:p w14:paraId="1FC12BA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In order to display the full information for each custom event, we make use of a trick – </w:t>
      </w:r>
      <w:r w:rsidRPr="006F0721">
        <w:rPr>
          <w:rFonts w:ascii="Calibri" w:eastAsia="Calibri" w:hAnsi="Calibri"/>
          <w:i/>
          <w:iCs/>
          <w:sz w:val="22"/>
        </w:rPr>
        <w:t>we register the event provider on the host PC, rather than the devkit, and resolve the events there.</w:t>
      </w:r>
    </w:p>
    <w:p w14:paraId="50B58634"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First, edit the provider node of the event manifest (</w:t>
      </w:r>
      <w:proofErr w:type="spellStart"/>
      <w:r w:rsidRPr="006F0721">
        <w:rPr>
          <w:rFonts w:ascii="Calibri" w:eastAsia="Calibri" w:hAnsi="Calibri"/>
          <w:iCs/>
          <w:sz w:val="22"/>
        </w:rPr>
        <w:t>evtprovider.man</w:t>
      </w:r>
      <w:proofErr w:type="spellEnd"/>
      <w:r w:rsidRPr="006F0721">
        <w:rPr>
          <w:rFonts w:ascii="Calibri" w:eastAsia="Calibri" w:hAnsi="Calibri"/>
          <w:iCs/>
          <w:sz w:val="22"/>
        </w:rPr>
        <w:t xml:space="preserve">) and make sure that the </w:t>
      </w:r>
      <w:proofErr w:type="spellStart"/>
      <w:r w:rsidRPr="006F0721">
        <w:rPr>
          <w:rFonts w:ascii="Calibri" w:eastAsia="Calibri" w:hAnsi="Calibri"/>
          <w:b/>
          <w:iCs/>
          <w:sz w:val="22"/>
        </w:rPr>
        <w:t>resourceFileName</w:t>
      </w:r>
      <w:proofErr w:type="spellEnd"/>
      <w:r w:rsidRPr="006F0721">
        <w:rPr>
          <w:rFonts w:ascii="Calibri" w:eastAsia="Calibri" w:hAnsi="Calibri"/>
          <w:iCs/>
          <w:sz w:val="22"/>
        </w:rPr>
        <w:t xml:space="preserve"> and </w:t>
      </w:r>
      <w:proofErr w:type="spellStart"/>
      <w:r w:rsidRPr="006F0721">
        <w:rPr>
          <w:rFonts w:ascii="Calibri" w:eastAsia="Calibri" w:hAnsi="Calibri"/>
          <w:b/>
          <w:iCs/>
          <w:sz w:val="22"/>
        </w:rPr>
        <w:t>messageFileName</w:t>
      </w:r>
      <w:proofErr w:type="spellEnd"/>
      <w:r w:rsidRPr="006F0721">
        <w:rPr>
          <w:rFonts w:ascii="Calibri" w:eastAsia="Calibri" w:hAnsi="Calibri"/>
          <w:iCs/>
          <w:sz w:val="22"/>
        </w:rPr>
        <w:t xml:space="preserve"> attributes point at the location on your development PC where the Xbox One executable is built:</w:t>
      </w:r>
    </w:p>
    <w:p w14:paraId="5EEA6A7B" w14:textId="26B58510"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Cs w:val="20"/>
          <w:lang w:eastAsia="en-GB"/>
        </w:rPr>
      </w:pPr>
      <w:r w:rsidRPr="006F0721">
        <w:rPr>
          <w:rFonts w:ascii="Consolas" w:eastAsia="Times New Roman" w:hAnsi="Consolas" w:cs="Consolas"/>
          <w:color w:val="0000FF"/>
          <w:szCs w:val="20"/>
          <w:lang w:eastAsia="en-GB"/>
        </w:rPr>
        <w:t>&lt;</w:t>
      </w:r>
      <w:r w:rsidRPr="006F0721">
        <w:rPr>
          <w:rFonts w:ascii="Consolas" w:eastAsia="Times New Roman" w:hAnsi="Consolas" w:cs="Consolas"/>
          <w:color w:val="A31515"/>
          <w:szCs w:val="20"/>
          <w:lang w:eastAsia="en-GB"/>
        </w:rPr>
        <w:t>provider</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guid</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{A4A76336-4BA7-4CD9-85C3-B9C236D3041C}</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symbol</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CEP_MAIN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resourceFileName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rPr>
          <w:rFonts w:ascii="Consolas" w:eastAsia="Times New Roman" w:hAnsi="Consolas" w:cs="Consolas"/>
          <w:color w:val="000000"/>
          <w:szCs w:val="20"/>
          <w:lang w:eastAsia="en-GB"/>
        </w:rPr>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messageFileName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&gt;</w:t>
      </w:r>
    </w:p>
    <w:p w14:paraId="6203D89B"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Next, register the event provider on your host PC by running the wevtutil.exe tool from an elevated command prompt:</w:t>
      </w:r>
    </w:p>
    <w:p w14:paraId="4899B00A"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w:t>
      </w:r>
      <w:proofErr w:type="spellStart"/>
      <w:r w:rsidRPr="006F0721">
        <w:rPr>
          <w:rFonts w:ascii="Courier New" w:eastAsia="Calibri" w:hAnsi="Courier New" w:cs="Courier New"/>
          <w:iCs/>
          <w:sz w:val="22"/>
        </w:rPr>
        <w:t>im</w:t>
      </w:r>
      <w:proofErr w:type="spellEnd"/>
      <w:r w:rsidRPr="006F0721">
        <w:rPr>
          <w:rFonts w:ascii="Courier New" w:eastAsia="Calibri" w:hAnsi="Courier New" w:cs="Courier New"/>
          <w:iCs/>
          <w:sz w:val="22"/>
        </w:rPr>
        <w:t xml:space="preserve"> </w:t>
      </w:r>
      <w:proofErr w:type="spellStart"/>
      <w:r w:rsidRPr="006F0721">
        <w:rPr>
          <w:rFonts w:ascii="Courier New" w:eastAsia="Calibri" w:hAnsi="Courier New" w:cs="Courier New"/>
          <w:iCs/>
          <w:sz w:val="22"/>
        </w:rPr>
        <w:t>etwprovider.man</w:t>
      </w:r>
      <w:proofErr w:type="spellEnd"/>
    </w:p>
    <w:p w14:paraId="4B034187"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If you check in the registry on your host PC, you should see the provider listed under HKLM\SOFTWARE\Microsoft\Windows\CurrentVersion\WINEVT\Publishers</w:t>
      </w:r>
    </w:p>
    <w:p w14:paraId="56F5C65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16078D87" wp14:editId="3ACD3C80">
            <wp:extent cx="594360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0035"/>
                    </a:xfrm>
                    <a:prstGeom prst="rect">
                      <a:avLst/>
                    </a:prstGeom>
                  </pic:spPr>
                </pic:pic>
              </a:graphicData>
            </a:graphic>
          </wp:inline>
        </w:drawing>
      </w:r>
    </w:p>
    <w:p w14:paraId="2DC6B97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Finally, resolve the ETL file on your host PC using </w:t>
      </w:r>
      <w:proofErr w:type="spellStart"/>
      <w:r w:rsidRPr="006F0721">
        <w:rPr>
          <w:rFonts w:ascii="Calibri" w:eastAsia="Calibri" w:hAnsi="Calibri"/>
          <w:iCs/>
          <w:sz w:val="22"/>
        </w:rPr>
        <w:t>xperf</w:t>
      </w:r>
      <w:proofErr w:type="spellEnd"/>
      <w:r w:rsidRPr="006F0721">
        <w:rPr>
          <w:rFonts w:ascii="Calibri" w:eastAsia="Calibri" w:hAnsi="Calibri"/>
          <w:iCs/>
          <w:sz w:val="22"/>
        </w:rPr>
        <w:t>:</w:t>
      </w:r>
    </w:p>
    <w:p w14:paraId="3BC5FD79" w14:textId="7BDCDC3F"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C:\temp\custom03&gt;xperf -merge </w:t>
      </w:r>
      <w:proofErr w:type="spellStart"/>
      <w:r w:rsidR="0044391B">
        <w:rPr>
          <w:rFonts w:ascii="Courier New" w:eastAsia="Calibri" w:hAnsi="Courier New" w:cs="Courier New"/>
          <w:iCs/>
        </w:rPr>
        <w:t>merged</w:t>
      </w:r>
      <w:r w:rsidRPr="006F0721">
        <w:rPr>
          <w:rFonts w:ascii="Courier New" w:eastAsia="Calibri" w:hAnsi="Courier New" w:cs="Courier New"/>
          <w:iCs/>
        </w:rPr>
        <w:t>.etl</w:t>
      </w:r>
      <w:proofErr w:type="spellEnd"/>
      <w:r w:rsidRPr="006F0721">
        <w:rPr>
          <w:rFonts w:ascii="Courier New" w:eastAsia="Calibri" w:hAnsi="Courier New" w:cs="Courier New"/>
          <w:iCs/>
        </w:rPr>
        <w:t xml:space="preserve"> </w:t>
      </w:r>
      <w:proofErr w:type="spellStart"/>
      <w:r w:rsidR="0044391B">
        <w:rPr>
          <w:rFonts w:ascii="Courier New" w:eastAsia="Calibri" w:hAnsi="Courier New" w:cs="Courier New"/>
          <w:iCs/>
        </w:rPr>
        <w:t>final</w:t>
      </w:r>
      <w:r w:rsidRPr="006F0721">
        <w:rPr>
          <w:rFonts w:ascii="Courier New" w:eastAsia="Calibri" w:hAnsi="Courier New" w:cs="Courier New"/>
          <w:iCs/>
        </w:rPr>
        <w:t>.etl</w:t>
      </w:r>
      <w:proofErr w:type="spellEnd"/>
    </w:p>
    <w:p w14:paraId="3599CC5F" w14:textId="6378457A"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If the host merged ETL file </w:t>
      </w:r>
      <w:r w:rsidR="0044391B">
        <w:rPr>
          <w:rFonts w:ascii="Calibri" w:eastAsia="Calibri" w:hAnsi="Calibri"/>
          <w:iCs/>
          <w:sz w:val="22"/>
        </w:rPr>
        <w:t>(</w:t>
      </w:r>
      <w:proofErr w:type="spellStart"/>
      <w:r w:rsidR="0044391B" w:rsidRPr="0044391B">
        <w:rPr>
          <w:rFonts w:ascii="Calibri" w:eastAsia="Calibri" w:hAnsi="Calibri"/>
          <w:b/>
          <w:iCs/>
          <w:sz w:val="22"/>
        </w:rPr>
        <w:t>final.etl</w:t>
      </w:r>
      <w:proofErr w:type="spellEnd"/>
      <w:r w:rsidR="0044391B">
        <w:rPr>
          <w:rFonts w:ascii="Calibri" w:eastAsia="Calibri" w:hAnsi="Calibri"/>
          <w:iCs/>
          <w:sz w:val="22"/>
        </w:rPr>
        <w:t xml:space="preserve">) </w:t>
      </w:r>
      <w:r w:rsidRPr="006F0721">
        <w:rPr>
          <w:rFonts w:ascii="Calibri" w:eastAsia="Calibri" w:hAnsi="Calibri"/>
          <w:iCs/>
          <w:sz w:val="22"/>
        </w:rPr>
        <w:t>is loaded into WPA you should now see the events correctly resolved:</w:t>
      </w:r>
    </w:p>
    <w:p w14:paraId="684221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E96C6C6" wp14:editId="295496B0">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1590"/>
                    </a:xfrm>
                    <a:prstGeom prst="rect">
                      <a:avLst/>
                    </a:prstGeom>
                  </pic:spPr>
                </pic:pic>
              </a:graphicData>
            </a:graphic>
          </wp:inline>
        </w:drawing>
      </w:r>
    </w:p>
    <w:p w14:paraId="4C1CF4B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Note how the Description (Field 1) column now contains the strings that were logged with the events. We can also see the Task and Opcode names.</w:t>
      </w:r>
    </w:p>
    <w:p w14:paraId="0DE3F17C"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When you have finished your performance analysis session, you can remove the provider from your host PC:</w:t>
      </w:r>
    </w:p>
    <w:p w14:paraId="7CB3EAF3"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um </w:t>
      </w:r>
      <w:proofErr w:type="spellStart"/>
      <w:r w:rsidRPr="006F0721">
        <w:rPr>
          <w:rFonts w:ascii="Courier New" w:eastAsia="Calibri" w:hAnsi="Courier New" w:cs="Courier New"/>
          <w:iCs/>
          <w:sz w:val="22"/>
        </w:rPr>
        <w:t>etwprovider.man</w:t>
      </w:r>
      <w:proofErr w:type="spellEnd"/>
    </w:p>
    <w:p w14:paraId="1D49625E" w14:textId="77777777" w:rsidR="006F0721" w:rsidRPr="006F0721" w:rsidRDefault="006F0721" w:rsidP="006F0721">
      <w:pPr>
        <w:spacing w:before="144" w:after="144" w:line="259" w:lineRule="auto"/>
        <w:rPr>
          <w:rFonts w:ascii="Calibri" w:eastAsia="Calibri" w:hAnsi="Calibri"/>
          <w:iCs/>
          <w:sz w:val="22"/>
        </w:rPr>
      </w:pPr>
      <w:bookmarkStart w:id="5" w:name="ID2EMD"/>
      <w:bookmarkEnd w:id="5"/>
      <w:r w:rsidRPr="006F0721">
        <w:rPr>
          <w:rFonts w:ascii="Calibri" w:eastAsia="Calibri" w:hAnsi="Calibri"/>
          <w:iCs/>
          <w:sz w:val="22"/>
        </w:rPr>
        <w:t>The BlockCulled event is similar to the Mark event, save in the respect that it has a single UInt32 payload rather than a string payload. Unfortunately, at present it is not possible to graph a numeric field of a custom event within WPA.</w:t>
      </w:r>
    </w:p>
    <w:p w14:paraId="234F6DD1" w14:textId="77777777" w:rsidR="006F0721" w:rsidRPr="006F0721" w:rsidRDefault="006F0721" w:rsidP="006F0721">
      <w:pPr>
        <w:spacing w:before="144" w:after="144" w:line="259" w:lineRule="auto"/>
        <w:rPr>
          <w:rFonts w:ascii="Calibri" w:eastAsia="Calibri" w:hAnsi="Calibri"/>
          <w:b/>
          <w:iCs/>
          <w:sz w:val="22"/>
        </w:rPr>
      </w:pPr>
      <w:r w:rsidRPr="006F0721">
        <w:rPr>
          <w:rFonts w:ascii="Calibri" w:eastAsia="Calibri" w:hAnsi="Calibri"/>
          <w:b/>
          <w:iCs/>
          <w:sz w:val="22"/>
        </w:rPr>
        <w:t>Regions of Interest</w:t>
      </w:r>
    </w:p>
    <w:p w14:paraId="3934B13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Since October 2013, WPA has supported the concept of </w:t>
      </w:r>
      <w:hyperlink r:id="rId13" w:history="1">
        <w:r w:rsidRPr="006F0721">
          <w:rPr>
            <w:rFonts w:ascii="Calibri" w:eastAsia="Calibri" w:hAnsi="Calibri"/>
            <w:color w:val="4067A0"/>
            <w:sz w:val="22"/>
          </w:rPr>
          <w:t>Regions of Interest</w:t>
        </w:r>
      </w:hyperlink>
      <w:r w:rsidRPr="006F0721">
        <w:rPr>
          <w:rFonts w:ascii="Calibri" w:eastAsia="Calibri" w:hAnsi="Calibri"/>
          <w:iCs/>
          <w:sz w:val="22"/>
        </w:rPr>
        <w:t xml:space="preserve">: the capability to denote and label temporal ranges within a capture. The </w:t>
      </w:r>
      <w:proofErr w:type="spellStart"/>
      <w:r w:rsidRPr="006F0721">
        <w:rPr>
          <w:rFonts w:ascii="Calibri" w:eastAsia="Calibri" w:hAnsi="Calibri"/>
          <w:b/>
          <w:iCs/>
          <w:sz w:val="22"/>
        </w:rPr>
        <w:t>EtwScopedEvent</w:t>
      </w:r>
      <w:proofErr w:type="spellEnd"/>
      <w:r w:rsidRPr="006F0721">
        <w:rPr>
          <w:rFonts w:ascii="Calibri" w:eastAsia="Calibri" w:hAnsi="Calibri"/>
          <w:iCs/>
          <w:sz w:val="22"/>
        </w:rPr>
        <w:t xml:space="preserve"> class and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macro demonstrate how, with the appropriate payload, Regions of Interest (ROI) can be used to provide bracketing functionality analogous to </w:t>
      </w:r>
      <w:proofErr w:type="spellStart"/>
      <w:r w:rsidRPr="006F0721">
        <w:rPr>
          <w:rFonts w:ascii="Calibri" w:eastAsia="Calibri" w:hAnsi="Calibri"/>
          <w:b/>
          <w:iCs/>
          <w:sz w:val="22"/>
        </w:rPr>
        <w:t>PIXBeginEvent</w:t>
      </w:r>
      <w:proofErr w:type="spellEnd"/>
      <w:r w:rsidRPr="006F0721">
        <w:rPr>
          <w:rFonts w:ascii="Calibri" w:eastAsia="Calibri" w:hAnsi="Calibri"/>
          <w:b/>
          <w:iCs/>
          <w:sz w:val="22"/>
        </w:rPr>
        <w:t>()</w:t>
      </w:r>
      <w:r w:rsidRPr="006F0721">
        <w:rPr>
          <w:rFonts w:ascii="Calibri" w:eastAsia="Calibri" w:hAnsi="Calibri"/>
          <w:iCs/>
          <w:sz w:val="22"/>
        </w:rPr>
        <w:t xml:space="preserve"> and </w:t>
      </w:r>
      <w:proofErr w:type="spellStart"/>
      <w:r w:rsidRPr="006F0721">
        <w:rPr>
          <w:rFonts w:ascii="Calibri" w:eastAsia="Calibri" w:hAnsi="Calibri"/>
          <w:b/>
          <w:iCs/>
          <w:sz w:val="22"/>
        </w:rPr>
        <w:t>PIXEndEvent</w:t>
      </w:r>
      <w:proofErr w:type="spellEnd"/>
      <w:r w:rsidRPr="006F0721">
        <w:rPr>
          <w:rFonts w:ascii="Calibri" w:eastAsia="Calibri" w:hAnsi="Calibri"/>
          <w:b/>
          <w:iCs/>
          <w:sz w:val="22"/>
        </w:rPr>
        <w:t>()</w:t>
      </w:r>
      <w:r w:rsidRPr="006F0721">
        <w:rPr>
          <w:rFonts w:ascii="Calibri" w:eastAsia="Calibri" w:hAnsi="Calibri"/>
          <w:iCs/>
          <w:sz w:val="22"/>
        </w:rPr>
        <w:t xml:space="preserve">. </w:t>
      </w:r>
    </w:p>
    <w:p w14:paraId="357F26A1"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To show ROI you will first need to load the region definition file. From the Trace menu choose Trace Properties and then load the regions.xml definition that ships with the sample. </w:t>
      </w:r>
    </w:p>
    <w:p w14:paraId="69F9C9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D25A20C" wp14:editId="17C68479">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22800"/>
                    </a:xfrm>
                    <a:prstGeom prst="rect">
                      <a:avLst/>
                    </a:prstGeom>
                  </pic:spPr>
                </pic:pic>
              </a:graphicData>
            </a:graphic>
          </wp:inline>
        </w:drawing>
      </w:r>
    </w:p>
    <w:p w14:paraId="2EAC6E82" w14:textId="05969C50"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You should now see the Regions of Interest graph available under the Generic Events graph. Drag the ROI graph over to the analysis area to expand it; the default view preset (on the toolbar) should be “Regions of Interest”. Add the Region column to the table (so that each region gets a unique color), and expand the Root node; you should see a display similar to this:</w:t>
      </w:r>
    </w:p>
    <w:p w14:paraId="28183B6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35D4CED4" wp14:editId="400F6FAF">
            <wp:extent cx="5943600" cy="311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44ABD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Region nodes of the table will give you information on the individual brackets:</w:t>
      </w:r>
    </w:p>
    <w:p w14:paraId="0F859713"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B3C7028" wp14:editId="48A7715E">
            <wp:extent cx="5943600" cy="311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1301808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As you can see, the labels that were provided in the calls to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are visible here (the number is the instance of a particular label).</w:t>
      </w:r>
    </w:p>
    <w:p w14:paraId="3BAD9A75"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graph will show each region’s timeline separately:</w:t>
      </w:r>
    </w:p>
    <w:p w14:paraId="0E0B50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5AB4FDE3" wp14:editId="6C7CC607">
            <wp:extent cx="5943600" cy="311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63144C9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Better still, you can now correlate regions with data from a sampling capture, if you had this enabled:</w:t>
      </w:r>
    </w:p>
    <w:p w14:paraId="1CCC6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09C5EF36" wp14:editId="0976970E">
            <wp:extent cx="5943600" cy="311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9120"/>
                    </a:xfrm>
                    <a:prstGeom prst="rect">
                      <a:avLst/>
                    </a:prstGeom>
                  </pic:spPr>
                </pic:pic>
              </a:graphicData>
            </a:graphic>
          </wp:inline>
        </w:drawing>
      </w:r>
    </w:p>
    <w:p w14:paraId="5D7BB527" w14:textId="593FEE03" w:rsidR="006F0721" w:rsidRDefault="006F0721" w:rsidP="006F0721">
      <w:pPr>
        <w:pStyle w:val="Heading1"/>
      </w:pPr>
      <w:r>
        <w:t>Known Issues</w:t>
      </w:r>
    </w:p>
    <w:p w14:paraId="049AC3D5" w14:textId="3200998F" w:rsidR="006F0721" w:rsidRDefault="006F0721" w:rsidP="006F0721"/>
    <w:p w14:paraId="009D4063" w14:textId="660EB874" w:rsidR="006F0721" w:rsidRDefault="006F0721" w:rsidP="006F0721">
      <w:r>
        <w:t xml:space="preserve">Since we resolve the event provider GUID on the host PC, it is essential that no ETW providers with that ID have already been registered. If you create a new event manifest from the one in the sample, regenerate the GUIDs using </w:t>
      </w:r>
      <w:proofErr w:type="spellStart"/>
      <w:r w:rsidRPr="00EA3A40">
        <w:rPr>
          <w:b/>
        </w:rPr>
        <w:t>ecmangen</w:t>
      </w:r>
      <w:proofErr w:type="spellEnd"/>
      <w:r>
        <w:t xml:space="preserve"> when the manifest is being edited, or use guidgen.exe (provided with Visual Studio) to generate new GUIDs.</w:t>
      </w:r>
    </w:p>
    <w:p w14:paraId="5DC715C7" w14:textId="77777777" w:rsidR="006F0721" w:rsidRDefault="006F0721" w:rsidP="006F0721"/>
    <w:p w14:paraId="5C0FC69C" w14:textId="2BBBCE9D" w:rsidR="006F0721" w:rsidRPr="006F0721" w:rsidRDefault="006F0721" w:rsidP="006F0721">
      <w:r>
        <w:t>When the ETL file is resolved on the host PC you may see some additional event providers appear in the Generic Events view; these can be ignored.</w:t>
      </w:r>
    </w:p>
    <w:p w14:paraId="627388F4" w14:textId="77777777" w:rsidR="006F0721" w:rsidRDefault="006F0721" w:rsidP="006F0721">
      <w:pPr>
        <w:pStyle w:val="Heading1"/>
      </w:pPr>
    </w:p>
    <w:p w14:paraId="4BCC607B" w14:textId="5A615AC7" w:rsidR="00E82D7C" w:rsidRDefault="009B78F4" w:rsidP="006F0721">
      <w:pPr>
        <w:pStyle w:val="Heading1"/>
      </w:pPr>
      <w:r>
        <w:t>Other Resources</w:t>
      </w:r>
    </w:p>
    <w:p w14:paraId="63E47296" w14:textId="640DF8AE" w:rsidR="009B78F4" w:rsidRDefault="009B78F4" w:rsidP="009B78F4"/>
    <w:p w14:paraId="070A1BFB" w14:textId="47BE6918" w:rsidR="009B78F4" w:rsidRDefault="009B78F4" w:rsidP="009B78F4">
      <w:pPr>
        <w:pStyle w:val="Heading2"/>
      </w:pPr>
      <w:r>
        <w:t>Creating an Event Manifest</w:t>
      </w:r>
    </w:p>
    <w:p w14:paraId="6ED28A4B" w14:textId="0C3D9739" w:rsidR="009B78F4" w:rsidRDefault="002C47F5" w:rsidP="009B78F4">
      <w:pPr>
        <w:pStyle w:val="ListParagraph"/>
        <w:numPr>
          <w:ilvl w:val="0"/>
          <w:numId w:val="19"/>
        </w:numPr>
      </w:pPr>
      <w:hyperlink r:id="rId19" w:history="1">
        <w:r w:rsidR="009B78F4" w:rsidRPr="009B78F4">
          <w:rPr>
            <w:rStyle w:val="Hyperlink"/>
          </w:rPr>
          <w:t>Using Windows Event Log</w:t>
        </w:r>
      </w:hyperlink>
    </w:p>
    <w:p w14:paraId="260EDD47" w14:textId="31DF16C9" w:rsidR="009B78F4" w:rsidRDefault="002C47F5" w:rsidP="009B78F4">
      <w:pPr>
        <w:pStyle w:val="ListParagraph"/>
        <w:numPr>
          <w:ilvl w:val="0"/>
          <w:numId w:val="19"/>
        </w:numPr>
      </w:pPr>
      <w:hyperlink r:id="rId20" w:history="1">
        <w:r w:rsidR="009B78F4" w:rsidRPr="009B78F4">
          <w:rPr>
            <w:rStyle w:val="Hyperlink"/>
          </w:rPr>
          <w:t>Writing an Instrumentation Manifest</w:t>
        </w:r>
      </w:hyperlink>
    </w:p>
    <w:p w14:paraId="5679F5E2" w14:textId="0AAE05A6" w:rsidR="009B78F4" w:rsidRPr="00DA355E" w:rsidRDefault="002C47F5" w:rsidP="009B78F4">
      <w:pPr>
        <w:pStyle w:val="ListParagraph"/>
        <w:numPr>
          <w:ilvl w:val="0"/>
          <w:numId w:val="19"/>
        </w:numPr>
        <w:rPr>
          <w:rStyle w:val="Hyperlink"/>
          <w:color w:val="auto"/>
          <w:u w:val="none"/>
        </w:rPr>
      </w:pPr>
      <w:hyperlink r:id="rId21" w:history="1">
        <w:r w:rsidR="009B78F4" w:rsidRPr="009B78F4">
          <w:rPr>
            <w:rStyle w:val="Hyperlink"/>
          </w:rPr>
          <w:t>Compiling an Instrumentation Manifest</w:t>
        </w:r>
      </w:hyperlink>
    </w:p>
    <w:p w14:paraId="511B6322" w14:textId="2781D510" w:rsidR="00DA355E" w:rsidRPr="009B78F4" w:rsidRDefault="002C47F5" w:rsidP="009B78F4">
      <w:pPr>
        <w:pStyle w:val="ListParagraph"/>
        <w:numPr>
          <w:ilvl w:val="0"/>
          <w:numId w:val="19"/>
        </w:numPr>
      </w:pPr>
      <w:hyperlink r:id="rId22" w:history="1">
        <w:r w:rsidR="00DA355E" w:rsidRPr="00DA355E">
          <w:rPr>
            <w:rStyle w:val="Hyperlink"/>
          </w:rPr>
          <w:t>Message Compiler (mc.exe)</w:t>
        </w:r>
      </w:hyperlink>
    </w:p>
    <w:p w14:paraId="26A6B22C" w14:textId="77777777" w:rsidR="009B78F4" w:rsidRDefault="009B78F4" w:rsidP="009B78F4"/>
    <w:p w14:paraId="6B0A9D6D" w14:textId="47DB12DC" w:rsidR="009B78F4" w:rsidRDefault="009B78F4" w:rsidP="009B78F4">
      <w:pPr>
        <w:pStyle w:val="Heading2"/>
      </w:pPr>
      <w:r>
        <w:t>Windows Performance Analyzer</w:t>
      </w:r>
    </w:p>
    <w:p w14:paraId="22876928" w14:textId="5CBC4C13" w:rsidR="009B78F4" w:rsidRDefault="002C47F5" w:rsidP="009B78F4">
      <w:pPr>
        <w:pStyle w:val="ListParagraph"/>
        <w:numPr>
          <w:ilvl w:val="0"/>
          <w:numId w:val="18"/>
        </w:numPr>
      </w:pPr>
      <w:hyperlink r:id="rId23" w:history="1">
        <w:r w:rsidR="009B78F4" w:rsidRPr="009B78F4">
          <w:rPr>
            <w:rStyle w:val="Hyperlink"/>
          </w:rPr>
          <w:t>Windows Performance Analyzer</w:t>
        </w:r>
      </w:hyperlink>
    </w:p>
    <w:p w14:paraId="3A6F4F8C" w14:textId="15E58E0E" w:rsidR="009B78F4" w:rsidRDefault="002C47F5" w:rsidP="009B78F4">
      <w:pPr>
        <w:pStyle w:val="ListParagraph"/>
        <w:numPr>
          <w:ilvl w:val="0"/>
          <w:numId w:val="18"/>
        </w:numPr>
      </w:pPr>
      <w:hyperlink r:id="rId24" w:history="1">
        <w:r w:rsidR="009B78F4" w:rsidRPr="009B78F4">
          <w:rPr>
            <w:rStyle w:val="Hyperlink"/>
          </w:rPr>
          <w:t>Regions of Interest</w:t>
        </w:r>
      </w:hyperlink>
    </w:p>
    <w:p w14:paraId="33D96C26" w14:textId="61522DE5" w:rsidR="009B78F4" w:rsidRPr="00CF4266" w:rsidRDefault="002C47F5" w:rsidP="009B78F4">
      <w:pPr>
        <w:pStyle w:val="ListParagraph"/>
        <w:numPr>
          <w:ilvl w:val="0"/>
          <w:numId w:val="18"/>
        </w:numPr>
        <w:rPr>
          <w:rStyle w:val="Hyperlink"/>
          <w:color w:val="auto"/>
          <w:u w:val="none"/>
        </w:rPr>
      </w:pPr>
      <w:hyperlink r:id="rId25" w:history="1">
        <w:r w:rsidR="009B78F4" w:rsidRPr="009B78F4">
          <w:rPr>
            <w:rStyle w:val="Hyperlink"/>
          </w:rPr>
          <w:t>Creating a Regions of Interest file</w:t>
        </w:r>
      </w:hyperlink>
    </w:p>
    <w:p w14:paraId="3EF0055D" w14:textId="77777777" w:rsidR="00CF4266" w:rsidRDefault="00CF4266" w:rsidP="00CF4266"/>
    <w:p w14:paraId="62528ED1" w14:textId="77777777" w:rsidR="00CF4266" w:rsidRDefault="00CF4266" w:rsidP="00CF4266">
      <w:pPr>
        <w:pStyle w:val="Heading1"/>
        <w:rPr>
          <w:rFonts w:ascii="Segoe UI Semilight" w:eastAsia="Times New Roman" w:hAnsi="Segoe UI Semilight"/>
        </w:rPr>
      </w:pPr>
      <w:r>
        <w:rPr>
          <w:rFonts w:eastAsia="Times New Roman"/>
        </w:rPr>
        <w:t>Privacy statement</w:t>
      </w:r>
    </w:p>
    <w:p w14:paraId="143DCC2F" w14:textId="77777777" w:rsidR="00CF4266" w:rsidRDefault="00CF4266" w:rsidP="00CF4266">
      <w:r>
        <w:t>When compiling and running a sample, the file name of the sample executable will be sent to Microsoft to help track sample usage. To opt-out of this data collection, you can remove the block of code in Main.cpp labeled “Sample Usage Telemetry”.</w:t>
      </w:r>
    </w:p>
    <w:p w14:paraId="21CEDBE7" w14:textId="77777777" w:rsidR="00CF4266" w:rsidRDefault="00CF4266" w:rsidP="00CF4266"/>
    <w:p w14:paraId="17D6E292" w14:textId="77777777" w:rsidR="00CF4266" w:rsidRPr="00331038" w:rsidRDefault="00CF4266" w:rsidP="00CF4266">
      <w:r>
        <w:t xml:space="preserve">For more information about Microsoft’s privacy policies in general, see the </w:t>
      </w:r>
      <w:hyperlink r:id="rId26" w:history="1">
        <w:r>
          <w:rPr>
            <w:rStyle w:val="Hyperlink"/>
          </w:rPr>
          <w:t>Microsoft Privacy Statement</w:t>
        </w:r>
      </w:hyperlink>
      <w:r>
        <w:t>.</w:t>
      </w:r>
    </w:p>
    <w:p w14:paraId="114D6CC5" w14:textId="77777777" w:rsidR="00CF4266" w:rsidRPr="009B78F4" w:rsidRDefault="00CF4266" w:rsidP="00CF4266"/>
    <w:sectPr w:rsidR="00CF4266" w:rsidRPr="009B78F4" w:rsidSect="00937E3A">
      <w:footerReference w:type="default" r:id="rId27"/>
      <w:headerReference w:type="first" r:id="rId28"/>
      <w:footerReference w:type="first" r:id="rId2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BFB3" w14:textId="77777777" w:rsidR="002C47F5" w:rsidRDefault="002C47F5" w:rsidP="0074610F">
      <w:r>
        <w:separator/>
      </w:r>
    </w:p>
  </w:endnote>
  <w:endnote w:type="continuationSeparator" w:id="0">
    <w:p w14:paraId="5843A32F" w14:textId="77777777" w:rsidR="002C47F5" w:rsidRDefault="002C47F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1723CC45" w:rsidR="00843058" w:rsidRPr="00097CCA" w:rsidRDefault="00683D94" w:rsidP="002D301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91E91">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F0721">
            <w:rPr>
              <w:rFonts w:cs="Segoe UI"/>
              <w:color w:val="808080" w:themeColor="background1" w:themeShade="80"/>
              <w:szCs w:val="20"/>
            </w:rPr>
            <w:t>Custom Event Provider</w:t>
          </w:r>
        </w:p>
      </w:tc>
      <w:tc>
        <w:tcPr>
          <w:tcW w:w="500" w:type="pct"/>
          <w:tcBorders>
            <w:top w:val="single" w:sz="4" w:space="0" w:color="808080" w:themeColor="background1" w:themeShade="80"/>
          </w:tcBorders>
          <w:shd w:val="clear" w:color="auto" w:fill="auto"/>
        </w:tcPr>
        <w:p w14:paraId="26814AF5" w14:textId="7E4763E2"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D4D0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B08BD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4B94E94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91E9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7757" w14:textId="77777777" w:rsidR="002C47F5" w:rsidRDefault="002C47F5" w:rsidP="0074610F">
      <w:r>
        <w:separator/>
      </w:r>
    </w:p>
  </w:footnote>
  <w:footnote w:type="continuationSeparator" w:id="0">
    <w:p w14:paraId="318F9106" w14:textId="77777777" w:rsidR="002C47F5" w:rsidRDefault="002C47F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rPr>
                  <w:t xml:space="preserve">         </w:t>
                </w:r>
              </w:p>
              <w:p w14:paraId="608E00F5" w14:textId="77777777" w:rsidR="000B6D5E" w:rsidRPr="00CF3729" w:rsidRDefault="000B6D5E" w:rsidP="00CF3729">
                <w:pPr>
                  <w:rPr>
                    <w:sz w:val="2"/>
                    <w:szCs w:val="2"/>
                  </w:rPr>
                </w:pPr>
                <w:r>
                  <w:rPr>
                    <w:noProof/>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A00647"/>
    <w:multiLevelType w:val="hybridMultilevel"/>
    <w:tmpl w:val="9642DFA0"/>
    <w:lvl w:ilvl="0" w:tplc="558AEE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5F10"/>
    <w:multiLevelType w:val="hybridMultilevel"/>
    <w:tmpl w:val="35324904"/>
    <w:lvl w:ilvl="0" w:tplc="85F201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AD6468"/>
    <w:multiLevelType w:val="hybridMultilevel"/>
    <w:tmpl w:val="D54C6824"/>
    <w:lvl w:ilvl="0" w:tplc="E9D8B4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6"/>
  </w:num>
  <w:num w:numId="9">
    <w:abstractNumId w:val="11"/>
  </w:num>
  <w:num w:numId="10">
    <w:abstractNumId w:val="8"/>
  </w:num>
  <w:num w:numId="11">
    <w:abstractNumId w:val="5"/>
  </w:num>
  <w:num w:numId="12">
    <w:abstractNumId w:val="1"/>
  </w:num>
  <w:num w:numId="13">
    <w:abstractNumId w:val="9"/>
  </w:num>
  <w:num w:numId="14">
    <w:abstractNumId w:val="0"/>
  </w:num>
  <w:num w:numId="15">
    <w:abstractNumId w:val="4"/>
  </w:num>
  <w:num w:numId="16">
    <w:abstractNumId w:val="7"/>
  </w:num>
  <w:num w:numId="17">
    <w:abstractNumId w:val="3"/>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56723"/>
    <w:rsid w:val="000915BD"/>
    <w:rsid w:val="00097CCA"/>
    <w:rsid w:val="000A5B7C"/>
    <w:rsid w:val="000B673C"/>
    <w:rsid w:val="000B6D5E"/>
    <w:rsid w:val="000D0D95"/>
    <w:rsid w:val="00150ED8"/>
    <w:rsid w:val="001C132C"/>
    <w:rsid w:val="00203869"/>
    <w:rsid w:val="00204303"/>
    <w:rsid w:val="00224A51"/>
    <w:rsid w:val="00225A12"/>
    <w:rsid w:val="00226E07"/>
    <w:rsid w:val="00235FA6"/>
    <w:rsid w:val="0024713D"/>
    <w:rsid w:val="002741D2"/>
    <w:rsid w:val="002748E9"/>
    <w:rsid w:val="00281D12"/>
    <w:rsid w:val="00287A4C"/>
    <w:rsid w:val="00294A1B"/>
    <w:rsid w:val="002A4B5F"/>
    <w:rsid w:val="002B33C0"/>
    <w:rsid w:val="002C47F5"/>
    <w:rsid w:val="002D301B"/>
    <w:rsid w:val="002D4306"/>
    <w:rsid w:val="002E3F38"/>
    <w:rsid w:val="002E7BBB"/>
    <w:rsid w:val="00303D44"/>
    <w:rsid w:val="00321170"/>
    <w:rsid w:val="00331038"/>
    <w:rsid w:val="0034606B"/>
    <w:rsid w:val="00346CEE"/>
    <w:rsid w:val="00355166"/>
    <w:rsid w:val="003D3EF7"/>
    <w:rsid w:val="003F1E9D"/>
    <w:rsid w:val="0040133D"/>
    <w:rsid w:val="004106BE"/>
    <w:rsid w:val="00425592"/>
    <w:rsid w:val="00435523"/>
    <w:rsid w:val="0044391B"/>
    <w:rsid w:val="00447517"/>
    <w:rsid w:val="00466F7F"/>
    <w:rsid w:val="004803CE"/>
    <w:rsid w:val="004B7DDA"/>
    <w:rsid w:val="004C5839"/>
    <w:rsid w:val="004D5D2A"/>
    <w:rsid w:val="004F17F3"/>
    <w:rsid w:val="004F7126"/>
    <w:rsid w:val="00520B3D"/>
    <w:rsid w:val="005640ED"/>
    <w:rsid w:val="00564F16"/>
    <w:rsid w:val="00575766"/>
    <w:rsid w:val="00575F36"/>
    <w:rsid w:val="00585527"/>
    <w:rsid w:val="005B4DA9"/>
    <w:rsid w:val="005E3DA1"/>
    <w:rsid w:val="005F1E2F"/>
    <w:rsid w:val="00672EB3"/>
    <w:rsid w:val="00673A1E"/>
    <w:rsid w:val="00683D94"/>
    <w:rsid w:val="006A0FCE"/>
    <w:rsid w:val="006A532D"/>
    <w:rsid w:val="006B7433"/>
    <w:rsid w:val="006F0493"/>
    <w:rsid w:val="006F0721"/>
    <w:rsid w:val="006F2F84"/>
    <w:rsid w:val="00707E22"/>
    <w:rsid w:val="0074610F"/>
    <w:rsid w:val="007624A4"/>
    <w:rsid w:val="00764B3A"/>
    <w:rsid w:val="007806DC"/>
    <w:rsid w:val="007A0848"/>
    <w:rsid w:val="007B2ED7"/>
    <w:rsid w:val="00817690"/>
    <w:rsid w:val="008361F5"/>
    <w:rsid w:val="00843058"/>
    <w:rsid w:val="0084754D"/>
    <w:rsid w:val="00856B56"/>
    <w:rsid w:val="00881CE2"/>
    <w:rsid w:val="00882222"/>
    <w:rsid w:val="00886E89"/>
    <w:rsid w:val="00887700"/>
    <w:rsid w:val="008A04CC"/>
    <w:rsid w:val="008F325C"/>
    <w:rsid w:val="00917557"/>
    <w:rsid w:val="00937E3A"/>
    <w:rsid w:val="00943D2D"/>
    <w:rsid w:val="00965B4F"/>
    <w:rsid w:val="00985949"/>
    <w:rsid w:val="00987A88"/>
    <w:rsid w:val="009B4465"/>
    <w:rsid w:val="009B662B"/>
    <w:rsid w:val="009B6E2E"/>
    <w:rsid w:val="009B78F4"/>
    <w:rsid w:val="009D4D05"/>
    <w:rsid w:val="00A0279B"/>
    <w:rsid w:val="00A515F2"/>
    <w:rsid w:val="00A77C54"/>
    <w:rsid w:val="00A9046E"/>
    <w:rsid w:val="00AE567F"/>
    <w:rsid w:val="00B14C49"/>
    <w:rsid w:val="00B15AAA"/>
    <w:rsid w:val="00B34D92"/>
    <w:rsid w:val="00B3532D"/>
    <w:rsid w:val="00B62C6B"/>
    <w:rsid w:val="00BC1F23"/>
    <w:rsid w:val="00BD5764"/>
    <w:rsid w:val="00BF7428"/>
    <w:rsid w:val="00C26428"/>
    <w:rsid w:val="00C712CE"/>
    <w:rsid w:val="00C71B43"/>
    <w:rsid w:val="00CB7166"/>
    <w:rsid w:val="00CF3729"/>
    <w:rsid w:val="00CF4266"/>
    <w:rsid w:val="00D0445E"/>
    <w:rsid w:val="00D55DB0"/>
    <w:rsid w:val="00D63A44"/>
    <w:rsid w:val="00DA1C2C"/>
    <w:rsid w:val="00DA355E"/>
    <w:rsid w:val="00DA6AD9"/>
    <w:rsid w:val="00DC7DFC"/>
    <w:rsid w:val="00DD0606"/>
    <w:rsid w:val="00E16AF8"/>
    <w:rsid w:val="00E171B5"/>
    <w:rsid w:val="00E40BDE"/>
    <w:rsid w:val="00E6273F"/>
    <w:rsid w:val="00E72E7A"/>
    <w:rsid w:val="00E82D7C"/>
    <w:rsid w:val="00EA14DF"/>
    <w:rsid w:val="00EA2C91"/>
    <w:rsid w:val="00EA3A40"/>
    <w:rsid w:val="00EC5954"/>
    <w:rsid w:val="00EC76C7"/>
    <w:rsid w:val="00ED4823"/>
    <w:rsid w:val="00EE2624"/>
    <w:rsid w:val="00F40AC7"/>
    <w:rsid w:val="00F70459"/>
    <w:rsid w:val="00F76129"/>
    <w:rsid w:val="00F86B0D"/>
    <w:rsid w:val="00F91E91"/>
    <w:rsid w:val="00FA185A"/>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 w:type="paragraph" w:styleId="BalloonText">
    <w:name w:val="Balloon Text"/>
    <w:basedOn w:val="Normal"/>
    <w:link w:val="BalloonTextChar"/>
    <w:uiPriority w:val="99"/>
    <w:semiHidden/>
    <w:unhideWhenUsed/>
    <w:rsid w:val="00E72E7A"/>
    <w:rPr>
      <w:rFonts w:cs="Segoe UI"/>
      <w:sz w:val="18"/>
      <w:szCs w:val="18"/>
    </w:rPr>
  </w:style>
  <w:style w:type="character" w:customStyle="1" w:styleId="BalloonTextChar">
    <w:name w:val="Balloon Text Char"/>
    <w:basedOn w:val="DefaultParagraphFont"/>
    <w:link w:val="BalloonText"/>
    <w:uiPriority w:val="99"/>
    <w:semiHidden/>
    <w:rsid w:val="00E72E7A"/>
    <w:rPr>
      <w:rFonts w:ascii="Segoe UI" w:hAnsi="Segoe UI" w:cs="Segoe UI"/>
      <w:sz w:val="18"/>
      <w:szCs w:val="18"/>
    </w:rPr>
  </w:style>
  <w:style w:type="character" w:customStyle="1" w:styleId="UnresolvedMention1">
    <w:name w:val="Unresolved Mention1"/>
    <w:basedOn w:val="DefaultParagraphFont"/>
    <w:uiPriority w:val="99"/>
    <w:semiHidden/>
    <w:unhideWhenUsed/>
    <w:rsid w:val="009B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45582981">
      <w:bodyDiv w:val="1"/>
      <w:marLeft w:val="0"/>
      <w:marRight w:val="0"/>
      <w:marTop w:val="0"/>
      <w:marBottom w:val="0"/>
      <w:divBdr>
        <w:top w:val="none" w:sz="0" w:space="0" w:color="auto"/>
        <w:left w:val="none" w:sz="0" w:space="0" w:color="auto"/>
        <w:bottom w:val="none" w:sz="0" w:space="0" w:color="auto"/>
        <w:right w:val="none" w:sz="0" w:space="0" w:color="auto"/>
      </w:divBdr>
    </w:div>
    <w:div w:id="466093074">
      <w:bodyDiv w:val="1"/>
      <w:marLeft w:val="0"/>
      <w:marRight w:val="0"/>
      <w:marTop w:val="0"/>
      <w:marBottom w:val="0"/>
      <w:divBdr>
        <w:top w:val="none" w:sz="0" w:space="0" w:color="auto"/>
        <w:left w:val="none" w:sz="0" w:space="0" w:color="auto"/>
        <w:bottom w:val="none" w:sz="0" w:space="0" w:color="auto"/>
        <w:right w:val="none" w:sz="0" w:space="0" w:color="auto"/>
      </w:divBdr>
      <w:divsChild>
        <w:div w:id="2100132853">
          <w:marLeft w:val="0"/>
          <w:marRight w:val="0"/>
          <w:marTop w:val="0"/>
          <w:marBottom w:val="0"/>
          <w:divBdr>
            <w:top w:val="none" w:sz="0" w:space="0" w:color="auto"/>
            <w:left w:val="none" w:sz="0" w:space="0" w:color="auto"/>
            <w:bottom w:val="none" w:sz="0" w:space="0" w:color="auto"/>
            <w:right w:val="none" w:sz="0" w:space="0" w:color="auto"/>
          </w:divBdr>
        </w:div>
      </w:divsChild>
    </w:div>
    <w:div w:id="613169055">
      <w:bodyDiv w:val="1"/>
      <w:marLeft w:val="0"/>
      <w:marRight w:val="0"/>
      <w:marTop w:val="0"/>
      <w:marBottom w:val="0"/>
      <w:divBdr>
        <w:top w:val="none" w:sz="0" w:space="0" w:color="auto"/>
        <w:left w:val="none" w:sz="0" w:space="0" w:color="auto"/>
        <w:bottom w:val="none" w:sz="0" w:space="0" w:color="auto"/>
        <w:right w:val="none" w:sz="0" w:space="0" w:color="auto"/>
      </w:divBdr>
    </w:div>
    <w:div w:id="79895475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7540389">
      <w:bodyDiv w:val="1"/>
      <w:marLeft w:val="0"/>
      <w:marRight w:val="0"/>
      <w:marTop w:val="0"/>
      <w:marBottom w:val="0"/>
      <w:divBdr>
        <w:top w:val="none" w:sz="0" w:space="0" w:color="auto"/>
        <w:left w:val="none" w:sz="0" w:space="0" w:color="auto"/>
        <w:bottom w:val="none" w:sz="0" w:space="0" w:color="auto"/>
        <w:right w:val="none" w:sz="0" w:space="0" w:color="auto"/>
      </w:divBdr>
    </w:div>
    <w:div w:id="1512333690">
      <w:bodyDiv w:val="1"/>
      <w:marLeft w:val="0"/>
      <w:marRight w:val="0"/>
      <w:marTop w:val="0"/>
      <w:marBottom w:val="0"/>
      <w:divBdr>
        <w:top w:val="none" w:sz="0" w:space="0" w:color="auto"/>
        <w:left w:val="none" w:sz="0" w:space="0" w:color="auto"/>
        <w:bottom w:val="none" w:sz="0" w:space="0" w:color="auto"/>
        <w:right w:val="none" w:sz="0" w:space="0" w:color="auto"/>
      </w:divBdr>
    </w:div>
    <w:div w:id="190317135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windows/hardware/dn450838.aspx" TargetMode="External"/><Relationship Id="rId18" Type="http://schemas.openxmlformats.org/officeDocument/2006/relationships/image" Target="media/image11.png"/><Relationship Id="rId26" Type="http://schemas.openxmlformats.org/officeDocument/2006/relationships/hyperlink" Target="https://privacy.microsoft.com/en-us/privacystatement/" TargetMode="External"/><Relationship Id="rId3" Type="http://schemas.openxmlformats.org/officeDocument/2006/relationships/settings" Target="settings.xml"/><Relationship Id="rId21" Type="http://schemas.openxmlformats.org/officeDocument/2006/relationships/hyperlink" Target="https://docs.microsoft.com/en-us/windows/desktop/WES/compiling-an-instrumentation-manife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ocs.microsoft.com/en-us/windows-hardware/test/wpt/creating-a-regions-of-interest-fi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windows/desktop/WES/writing-an-instrumentation-manifes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windows-hardware/test/wpt/regions-of-interes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microsoft.com/en-us/windows-hardware/test/wpt/windows-performance-analyzer"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cs.microsoft.com/en-us/windows/desktop/WES/using-windows-event-lo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windows/desktop/WES/message-compiler--mc-exe-"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2021-08-03T21:45:00Z</dcterms:created>
  <dcterms:modified xsi:type="dcterms:W3CDTF">2021-11-12T18:50:00Z</dcterms:modified>
</cp:coreProperties>
</file>