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C3D5" w14:textId="38D6BB50" w:rsidR="008B3091" w:rsidRDefault="008B3091" w:rsidP="00AE567F">
      <w:pPr>
        <w:pStyle w:val="Title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CCC7F" wp14:editId="1F5881BA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2005AF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6D0A465A" w14:textId="0BEF5F40" w:rsidR="00764B3A" w:rsidRPr="00AE567F" w:rsidRDefault="00A95998" w:rsidP="00AE567F">
      <w:pPr>
        <w:pStyle w:val="Title"/>
      </w:pPr>
      <w:r>
        <w:rPr>
          <w:rFonts w:ascii="Microsoft YaHei UI" w:eastAsia="Microsoft YaHei UI" w:hAnsi="Microsoft YaHei UI" w:cs="Microsoft YaHei UI"/>
          <w:lang w:val="zh-CN" w:bidi="zh-CN"/>
        </w:rPr>
        <w:t>SimpleFFBWheel 示例</w:t>
      </w:r>
    </w:p>
    <w:p w14:paraId="5C38D706" w14:textId="3DA4FF69" w:rsidR="00A153DA" w:rsidRDefault="00593871" w:rsidP="00A153DA">
      <w:pPr>
        <w:rPr>
          <w:i/>
        </w:rPr>
      </w:pPr>
      <w:r>
        <w:rPr>
          <w:rFonts w:ascii="Microsoft YaHei UI" w:eastAsia="Microsoft YaHei UI" w:hAnsi="Microsoft YaHei UI" w:cs="Microsoft YaHei UI"/>
          <w:i/>
          <w:lang w:val="zh-CN" w:bidi="zh-CN"/>
        </w:rPr>
        <w:t>此示例兼容于 Microsoft 游戏开发工具包（2020 年 6 月）</w:t>
      </w:r>
    </w:p>
    <w:p w14:paraId="7DE738FB" w14:textId="77777777" w:rsidR="00593871" w:rsidRPr="00A153DA" w:rsidRDefault="00593871" w:rsidP="00A153DA"/>
    <w:p w14:paraId="37E9A7C9" w14:textId="77777777" w:rsidR="00A93E87" w:rsidRDefault="00A93E87" w:rsidP="00A93E87">
      <w:pPr>
        <w:pStyle w:val="Heading1"/>
        <w:spacing w:before="0"/>
      </w:pPr>
      <w:r>
        <w:rPr>
          <w:rFonts w:ascii="Microsoft YaHei UI" w:eastAsia="Microsoft YaHei UI" w:hAnsi="Microsoft YaHei UI" w:cs="Microsoft YaHei UI"/>
          <w:lang w:val="zh-CN" w:bidi="zh-CN"/>
        </w:rPr>
        <w:t>说明</w:t>
      </w:r>
    </w:p>
    <w:p w14:paraId="19D6A044" w14:textId="280DA3F5" w:rsidR="00A93E87" w:rsidRDefault="00A93E87" w:rsidP="00A93E87">
      <w:r>
        <w:rPr>
          <w:rFonts w:ascii="Microsoft YaHei UI" w:eastAsia="Microsoft YaHei UI" w:hAnsi="Microsoft YaHei UI" w:cs="Microsoft YaHei UI"/>
          <w:lang w:val="zh-CN" w:bidi="zh-CN"/>
        </w:rPr>
        <w:t>此示例演示如何在 GDK 中使用力反馈方向盘。</w:t>
      </w:r>
    </w:p>
    <w:p w14:paraId="1C503496" w14:textId="77777777" w:rsidR="00593871" w:rsidRDefault="00593871" w:rsidP="00593871">
      <w:pPr>
        <w:pStyle w:val="Heading1"/>
      </w:pPr>
      <w:bookmarkStart w:id="0" w:name="_Hlk41511358"/>
      <w:r>
        <w:rPr>
          <w:rFonts w:ascii="Microsoft YaHei UI" w:eastAsia="Microsoft YaHei UI" w:hAnsi="Microsoft YaHei UI" w:cs="Microsoft YaHei UI"/>
          <w:lang w:val="zh-CN" w:bidi="zh-CN"/>
        </w:rPr>
        <w:t>生成示例</w:t>
      </w:r>
    </w:p>
    <w:p w14:paraId="4BFE1FC1" w14:textId="77777777" w:rsidR="00593871" w:rsidRDefault="00593871" w:rsidP="00593871">
      <w:bookmarkStart w:id="1" w:name="_Hlk41511504"/>
      <w:r>
        <w:rPr>
          <w:rFonts w:ascii="Microsoft YaHei UI" w:eastAsia="Microsoft YaHei UI" w:hAnsi="Microsoft YaHei UI" w:cs="Microsoft YaHei UI"/>
          <w:lang w:val="zh-CN" w:bidi="zh-CN"/>
        </w:rPr>
        <w:t>如果使用 Xbox One 开发工具包，请将活动解决方案平台设置为 Gaming.Xbox.XboxOne.x64。</w:t>
      </w:r>
    </w:p>
    <w:p w14:paraId="6F1510F8" w14:textId="77777777" w:rsidR="00593871" w:rsidRDefault="00593871" w:rsidP="00593871"/>
    <w:p w14:paraId="1638DC7A" w14:textId="17D3F25F" w:rsidR="00593871" w:rsidRDefault="00593871" w:rsidP="00593871">
      <w:r>
        <w:rPr>
          <w:rFonts w:ascii="Microsoft YaHei UI" w:eastAsia="Microsoft YaHei UI" w:hAnsi="Microsoft YaHei UI" w:cs="Microsoft YaHei UI"/>
          <w:lang w:val="zh-CN" w:bidi="zh-CN"/>
        </w:rPr>
        <w:t>如果使用 Xbox Series X|S 开发工具包，请将活动解决方案平台设置为 Gaming.Xbox.Scarlett.x64。</w:t>
      </w:r>
    </w:p>
    <w:p w14:paraId="1E6EFAD5" w14:textId="77777777" w:rsidR="00593871" w:rsidRDefault="00593871" w:rsidP="00593871"/>
    <w:p w14:paraId="22996DEF" w14:textId="77777777" w:rsidR="00593871" w:rsidRDefault="00593871" w:rsidP="00593871">
      <w:pPr>
        <w:rPr>
          <w:i/>
        </w:rPr>
      </w:pPr>
      <w:r>
        <w:rPr>
          <w:rFonts w:ascii="Microsoft YaHei UI" w:eastAsia="Microsoft YaHei UI" w:hAnsi="Microsoft YaHei UI" w:cs="Microsoft YaHei UI"/>
          <w:i/>
          <w:lang w:val="zh-CN" w:bidi="zh-CN"/>
        </w:rPr>
        <w:t>有关详细信息，请参阅 GDK 文档中的</w:t>
      </w:r>
      <w:r>
        <w:rPr>
          <w:rFonts w:ascii="Microsoft YaHei UI" w:eastAsia="Microsoft YaHei UI" w:hAnsi="Microsoft YaHei UI" w:cs="Microsoft YaHei UI"/>
          <w:lang w:val="zh-CN" w:bidi="zh-CN"/>
        </w:rPr>
        <w:t>“运行示例”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>。</w:t>
      </w:r>
    </w:p>
    <w:bookmarkEnd w:id="0"/>
    <w:bookmarkEnd w:id="1"/>
    <w:p w14:paraId="47805D7E" w14:textId="77777777" w:rsidR="00281D12" w:rsidRDefault="00281D12" w:rsidP="00281D12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使用示例</w:t>
      </w:r>
    </w:p>
    <w:p w14:paraId="4767452A" w14:textId="09E9221E" w:rsidR="00A93E87" w:rsidRDefault="00A95998" w:rsidP="00A93E87">
      <w:r>
        <w:rPr>
          <w:rFonts w:ascii="Microsoft YaHei UI" w:eastAsia="Microsoft YaHei UI" w:hAnsi="Microsoft YaHei UI" w:cs="Microsoft YaHei UI"/>
          <w:lang w:val="zh-CN" w:bidi="zh-CN"/>
        </w:rPr>
        <w:t>确保已连接支持力反馈的滚轮。提供输入以查看屏幕上的阅读内容。按 A 启用强制反馈，按 B 禁用。</w:t>
      </w:r>
    </w:p>
    <w:p w14:paraId="77F90008" w14:textId="77777777" w:rsidR="003D3EF7" w:rsidRDefault="003D3EF7" w:rsidP="003D3EF7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实现说明</w:t>
      </w:r>
    </w:p>
    <w:p w14:paraId="26831E6E" w14:textId="1EE35D33" w:rsidR="00AD00F5" w:rsidRDefault="00445092" w:rsidP="003D3EF7">
      <w:r>
        <w:rPr>
          <w:rFonts w:ascii="Microsoft YaHei UI" w:eastAsia="Microsoft YaHei UI" w:hAnsi="Microsoft YaHei UI" w:cs="Microsoft YaHei UI"/>
          <w:lang w:val="zh-CN" w:bidi="zh-CN"/>
        </w:rPr>
        <w:t>此示例演示如何使用新的 GameInput API 从赛车方向盘读取输入并提供力反馈。</w:t>
      </w:r>
    </w:p>
    <w:p w14:paraId="19C2D508" w14:textId="77777777" w:rsidR="00527531" w:rsidRDefault="00527531" w:rsidP="00527531">
      <w:pPr>
        <w:pStyle w:val="Heading1"/>
      </w:pPr>
      <w:bookmarkStart w:id="2" w:name="ID2EMD"/>
      <w:bookmarkEnd w:id="2"/>
      <w:r>
        <w:rPr>
          <w:rFonts w:ascii="Microsoft YaHei UI" w:eastAsia="Microsoft YaHei UI" w:hAnsi="Microsoft YaHei UI" w:cs="Microsoft YaHei UI"/>
          <w:lang w:val="zh-CN" w:bidi="zh-CN"/>
        </w:rPr>
        <w:t>隐私声明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ascii="Microsoft YaHei UI" w:eastAsia="Microsoft YaHei UI" w:hAnsi="Microsoft YaHei UI" w:cs="Microsoft YaHei UI"/>
          <w:szCs w:val="20"/>
          <w:lang w:val="zh-CN" w:bidi="zh-CN"/>
        </w:rPr>
        <w:t>在编译和运行示例时，将向 Microsoft 发送示例可执行文件的文件名以帮助跟踪示例使用情况。若要选择退出此数据收集，你可以删除 Main.cpp 中标记为“示例使用遥测”的代码块。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ascii="Microsoft YaHei UI" w:eastAsia="Microsoft YaHei UI" w:hAnsi="Microsoft YaHei UI" w:cs="Microsoft YaHei UI"/>
          <w:szCs w:val="20"/>
          <w:lang w:val="zh-CN" w:bidi="zh-CN"/>
        </w:rPr>
        <w:t xml:space="preserve">有关 Microsoft 的一般隐私策略的详细信息，请参阅 </w:t>
      </w:r>
      <w:hyperlink r:id="rId9" w:history="1">
        <w:r w:rsidRPr="004B7280">
          <w:rPr>
            <w:rStyle w:val="Hyperlink"/>
            <w:rFonts w:ascii="Microsoft YaHei UI" w:eastAsia="Microsoft YaHei UI" w:hAnsi="Microsoft YaHei UI" w:cs="Microsoft YaHei UI"/>
            <w:szCs w:val="20"/>
            <w:lang w:val="zh-CN" w:bidi="zh-CN"/>
          </w:rPr>
          <w:t>Microsoft 隐私声明</w:t>
        </w:r>
      </w:hyperlink>
      <w:r w:rsidRPr="004B7280">
        <w:rPr>
          <w:rFonts w:ascii="Microsoft YaHei UI" w:eastAsia="Microsoft YaHei UI" w:hAnsi="Microsoft YaHei UI" w:cs="Microsoft YaHei UI"/>
          <w:szCs w:val="20"/>
          <w:lang w:val="zh-CN" w:bidi="zh-CN"/>
        </w:rPr>
        <w:t>。</w:t>
      </w:r>
    </w:p>
    <w:p w14:paraId="42464245" w14:textId="59CF06CD" w:rsidR="00A93E87" w:rsidRDefault="00A93E87" w:rsidP="00A93E87"/>
    <w:sectPr w:rsidR="00A93E87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EF36" w14:textId="77777777" w:rsidR="00713852" w:rsidRDefault="00713852" w:rsidP="0074610F">
      <w:r>
        <w:separator/>
      </w:r>
    </w:p>
  </w:endnote>
  <w:endnote w:type="continuationSeparator" w:id="0">
    <w:p w14:paraId="265E5B8F" w14:textId="77777777" w:rsidR="00713852" w:rsidRDefault="0071385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69C18EBC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B41A9C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Microsoft。保留所有权利。</w:t>
          </w:r>
          <w:r w:rsidR="00097CCA"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|示例：SimpleFFBWheel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8A4BF5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320BCB0C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B41A9C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Microsoft。保留所有权利。</w:t>
          </w:r>
          <w:r w:rsidR="00843058"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512DAE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165C1" w14:textId="77777777" w:rsidR="00713852" w:rsidRDefault="00713852" w:rsidP="0074610F">
      <w:r>
        <w:separator/>
      </w:r>
    </w:p>
  </w:footnote>
  <w:footnote w:type="continuationSeparator" w:id="0">
    <w:p w14:paraId="3546EB5D" w14:textId="77777777" w:rsidR="00713852" w:rsidRDefault="0071385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0"/>
            <w:gridCol w:w="19"/>
            <w:gridCol w:w="2008"/>
            <w:gridCol w:w="6558"/>
            <w:gridCol w:w="277"/>
            <w:gridCol w:w="1730"/>
            <w:gridCol w:w="282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icrosoft YaHei UI" w:eastAsia="Microsoft YaHei UI" w:hAnsi="Microsoft YaHei UI" w:cs="Microsoft YaHei UI"/>
                    <w:noProof/>
                    <w:lang w:val="zh-CN" w:bidi="zh-CN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258686">
    <w:abstractNumId w:val="8"/>
  </w:num>
  <w:num w:numId="2" w16cid:durableId="1279490889">
    <w:abstractNumId w:val="8"/>
  </w:num>
  <w:num w:numId="3" w16cid:durableId="2134253559">
    <w:abstractNumId w:val="12"/>
  </w:num>
  <w:num w:numId="4" w16cid:durableId="1477575239">
    <w:abstractNumId w:val="10"/>
  </w:num>
  <w:num w:numId="5" w16cid:durableId="890920767">
    <w:abstractNumId w:val="9"/>
  </w:num>
  <w:num w:numId="6" w16cid:durableId="435903771">
    <w:abstractNumId w:val="11"/>
  </w:num>
  <w:num w:numId="7" w16cid:durableId="531695582">
    <w:abstractNumId w:val="6"/>
  </w:num>
  <w:num w:numId="8" w16cid:durableId="117992769">
    <w:abstractNumId w:val="3"/>
  </w:num>
  <w:num w:numId="9" w16cid:durableId="281309931">
    <w:abstractNumId w:val="7"/>
  </w:num>
  <w:num w:numId="10" w16cid:durableId="380598614">
    <w:abstractNumId w:val="4"/>
  </w:num>
  <w:num w:numId="11" w16cid:durableId="821385417">
    <w:abstractNumId w:val="2"/>
  </w:num>
  <w:num w:numId="12" w16cid:durableId="123433041">
    <w:abstractNumId w:val="1"/>
  </w:num>
  <w:num w:numId="13" w16cid:durableId="1941066795">
    <w:abstractNumId w:val="5"/>
  </w:num>
  <w:num w:numId="14" w16cid:durableId="154783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07034"/>
    <w:rsid w:val="00150ED8"/>
    <w:rsid w:val="00165D47"/>
    <w:rsid w:val="001C132C"/>
    <w:rsid w:val="001C4CBF"/>
    <w:rsid w:val="00203869"/>
    <w:rsid w:val="00210A54"/>
    <w:rsid w:val="0024713D"/>
    <w:rsid w:val="002741D2"/>
    <w:rsid w:val="002748E9"/>
    <w:rsid w:val="00275563"/>
    <w:rsid w:val="00281D12"/>
    <w:rsid w:val="00287A4C"/>
    <w:rsid w:val="00294A1B"/>
    <w:rsid w:val="002953FF"/>
    <w:rsid w:val="002E7BBB"/>
    <w:rsid w:val="00303D44"/>
    <w:rsid w:val="00321170"/>
    <w:rsid w:val="00331038"/>
    <w:rsid w:val="00355166"/>
    <w:rsid w:val="00367D08"/>
    <w:rsid w:val="003C7C97"/>
    <w:rsid w:val="003D3EF7"/>
    <w:rsid w:val="003D4096"/>
    <w:rsid w:val="003E429D"/>
    <w:rsid w:val="003E7D9B"/>
    <w:rsid w:val="00403BD1"/>
    <w:rsid w:val="004074FE"/>
    <w:rsid w:val="00425592"/>
    <w:rsid w:val="00445092"/>
    <w:rsid w:val="004B59F8"/>
    <w:rsid w:val="004B7DDA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93871"/>
    <w:rsid w:val="005B4DA9"/>
    <w:rsid w:val="005E24B4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13852"/>
    <w:rsid w:val="0074610F"/>
    <w:rsid w:val="00757BD1"/>
    <w:rsid w:val="007624A4"/>
    <w:rsid w:val="00764B3A"/>
    <w:rsid w:val="007806DC"/>
    <w:rsid w:val="007836C4"/>
    <w:rsid w:val="00790619"/>
    <w:rsid w:val="0079369B"/>
    <w:rsid w:val="007A0848"/>
    <w:rsid w:val="008062DF"/>
    <w:rsid w:val="008428C5"/>
    <w:rsid w:val="00843058"/>
    <w:rsid w:val="00883D06"/>
    <w:rsid w:val="00886E89"/>
    <w:rsid w:val="00887700"/>
    <w:rsid w:val="008A4BF5"/>
    <w:rsid w:val="008B3091"/>
    <w:rsid w:val="00917557"/>
    <w:rsid w:val="00937792"/>
    <w:rsid w:val="00975A33"/>
    <w:rsid w:val="00985949"/>
    <w:rsid w:val="00987A88"/>
    <w:rsid w:val="009A5996"/>
    <w:rsid w:val="009E6531"/>
    <w:rsid w:val="009F5072"/>
    <w:rsid w:val="00A069B6"/>
    <w:rsid w:val="00A153DA"/>
    <w:rsid w:val="00A660BE"/>
    <w:rsid w:val="00A72DA5"/>
    <w:rsid w:val="00A93E87"/>
    <w:rsid w:val="00A95998"/>
    <w:rsid w:val="00AA0767"/>
    <w:rsid w:val="00AD00F5"/>
    <w:rsid w:val="00AE567F"/>
    <w:rsid w:val="00B00C96"/>
    <w:rsid w:val="00B15AAA"/>
    <w:rsid w:val="00B41A9C"/>
    <w:rsid w:val="00B52BCF"/>
    <w:rsid w:val="00B62C6B"/>
    <w:rsid w:val="00B7215B"/>
    <w:rsid w:val="00B7582D"/>
    <w:rsid w:val="00BC1F23"/>
    <w:rsid w:val="00BE66AB"/>
    <w:rsid w:val="00C1767C"/>
    <w:rsid w:val="00CC77DE"/>
    <w:rsid w:val="00CE1AF7"/>
    <w:rsid w:val="00CF3729"/>
    <w:rsid w:val="00D16EC1"/>
    <w:rsid w:val="00D81EE4"/>
    <w:rsid w:val="00DB0F5A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36D53"/>
    <w:rsid w:val="00F373AD"/>
    <w:rsid w:val="00F40AC7"/>
    <w:rsid w:val="00F44C29"/>
    <w:rsid w:val="00F52408"/>
    <w:rsid w:val="00F60A21"/>
    <w:rsid w:val="00F70459"/>
    <w:rsid w:val="00F81483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2022-04-14T16:12:00Z</dcterms:created>
  <dcterms:modified xsi:type="dcterms:W3CDTF">2022-06-01T01:00:00Z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