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rId23.png" ContentType="image/png"/>
  <Override PartName="/word/media/image1.png" ContentType="image/png"/>
  <Override PartName="/word/media/hdphoto1.wdp" ContentType="application/octet-stream"/>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custom-resolution-sample"/>
    <w:p>
      <w:pPr>
        <w:pStyle w:val="Heading1"/>
      </w:pPr>
      <w:r>
        <w:t xml:space="preserve">Custom Resolution Sample</w:t>
      </w:r>
    </w:p>
    <w:p>
      <w:pPr>
        <w:pStyle w:val="FirstParagraph"/>
      </w:pPr>
      <w:r>
        <w:rPr>
          <w:iCs/>
          <w:i/>
        </w:rPr>
        <w:t xml:space="preserve">This sample is compatible with the Microsoft Game Development Kit (October 2022).</w:t>
      </w:r>
      <w:r>
        <w:rPr>
          <w:iCs/>
          <w:i/>
        </w:rPr>
        <w:t xml:space="preserve"> </w:t>
      </w:r>
      <w:r>
        <w:rPr>
          <w:iCs/>
          <w:i/>
        </w:rPr>
        <w:t xml:space="preserve">It is intended to only be run on Xbox Series (Scarlett) hardware.</w:t>
      </w:r>
    </w:p>
    <w:bookmarkStart w:id="26" w:name="description"/>
    <w:p>
      <w:pPr>
        <w:pStyle w:val="Heading2"/>
      </w:pPr>
      <w:r>
        <w:t xml:space="preserve">Description</w:t>
      </w:r>
    </w:p>
    <w:p>
      <w:pPr>
        <w:pStyle w:val="FirstParagraph"/>
      </w:pPr>
      <w:r>
        <w:t xml:space="preserve">Console games will typically render at specific resolutions and almost always with 16:9 aspect ratio.</w:t>
      </w:r>
      <w:r>
        <w:t xml:space="preserve"> </w:t>
      </w:r>
      <w:r>
        <w:t xml:space="preserve">When streaming a game from xCloud services, it is not always true that the target device will match either resolution or aspect.</w:t>
      </w:r>
      <w:r>
        <w:t xml:space="preserve"> </w:t>
      </w:r>
      <w:r>
        <w:t xml:space="preserve">Currently games would be rendered with letter or pillar boxing to fit the device.</w:t>
      </w:r>
      <w:r>
        <w:t xml:space="preserve"> </w:t>
      </w:r>
      <w:r>
        <w:t xml:space="preserve">By using some</w:t>
      </w:r>
      <w:r>
        <w:t xml:space="preserve"> </w:t>
      </w:r>
      <w:r>
        <w:rPr>
          <w:rStyle w:val="VerbatimChar"/>
        </w:rPr>
        <w:t xml:space="preserve">XGameStreaming</w:t>
      </w:r>
      <w:r>
        <w:t xml:space="preserve"> </w:t>
      </w:r>
      <w:r>
        <w:t xml:space="preserve">API, the game can be informed of the streaming device dimensions so it can both adjust both its resolution and instruct xCloud to stream at a resolution that better fits the display.</w:t>
      </w:r>
      <w:r>
        <w:t xml:space="preserve"> </w:t>
      </w:r>
      <w:r>
        <w:t xml:space="preserve">This sample demonstrates usage of these API for understanding device dimensions and adjusting rendering and streaming resolution.</w:t>
      </w:r>
    </w:p>
    <w:p>
      <w:pPr>
        <w:pStyle w:val="BodyText"/>
      </w:pPr>
      <w:r>
        <w:drawing>
          <wp:inline>
            <wp:extent cx="1934677" cy="2175309"/>
            <wp:effectExtent b="0" l="0" r="0" t="0"/>
            <wp:docPr descr="Screenshot of sample" title="" id="21" name="Picture"/>
            <a:graphic>
              <a:graphicData uri="http://schemas.openxmlformats.org/drawingml/2006/picture">
                <pic:pic>
                  <pic:nvPicPr>
                    <pic:cNvPr descr="./Readme/ScreenshotTallAspect.png" id="22" name="Picture"/>
                    <pic:cNvPicPr>
                      <a:picLocks noChangeArrowheads="1" noChangeAspect="1"/>
                    </pic:cNvPicPr>
                  </pic:nvPicPr>
                  <pic:blipFill>
                    <a:blip r:embed="rId20"/>
                    <a:stretch>
                      <a:fillRect/>
                    </a:stretch>
                  </pic:blipFill>
                  <pic:spPr bwMode="auto">
                    <a:xfrm>
                      <a:off x="0" y="0"/>
                      <a:ext cx="1934677" cy="2175309"/>
                    </a:xfrm>
                    <a:prstGeom prst="rect">
                      <a:avLst/>
                    </a:prstGeom>
                    <a:noFill/>
                    <a:ln w="9525">
                      <a:noFill/>
                      <a:headEnd/>
                      <a:tailEnd/>
                    </a:ln>
                  </pic:spPr>
                </pic:pic>
              </a:graphicData>
            </a:graphic>
          </wp:inline>
        </w:drawing>
      </w:r>
      <w:r>
        <w:t xml:space="preserve"> </w:t>
      </w:r>
      <w:r>
        <w:drawing>
          <wp:inline>
            <wp:extent cx="3869355" cy="1164656"/>
            <wp:effectExtent b="0" l="0" r="0" t="0"/>
            <wp:docPr descr="Screenshot of sample" title="" id="24" name="Picture"/>
            <a:graphic>
              <a:graphicData uri="http://schemas.openxmlformats.org/drawingml/2006/picture">
                <pic:pic>
                  <pic:nvPicPr>
                    <pic:cNvPr descr="./Readme/ScreenshotWideAspect.png" id="25" name="Picture"/>
                    <pic:cNvPicPr>
                      <a:picLocks noChangeArrowheads="1" noChangeAspect="1"/>
                    </pic:cNvPicPr>
                  </pic:nvPicPr>
                  <pic:blipFill>
                    <a:blip r:embed="rId23"/>
                    <a:stretch>
                      <a:fillRect/>
                    </a:stretch>
                  </pic:blipFill>
                  <pic:spPr bwMode="auto">
                    <a:xfrm>
                      <a:off x="0" y="0"/>
                      <a:ext cx="3869355" cy="1164656"/>
                    </a:xfrm>
                    <a:prstGeom prst="rect">
                      <a:avLst/>
                    </a:prstGeom>
                    <a:noFill/>
                    <a:ln w="9525">
                      <a:noFill/>
                      <a:headEnd/>
                      <a:tailEnd/>
                    </a:ln>
                  </pic:spPr>
                </pic:pic>
              </a:graphicData>
            </a:graphic>
          </wp:inline>
        </w:drawing>
      </w:r>
    </w:p>
    <w:bookmarkEnd w:id="26"/>
    <w:bookmarkStart w:id="27" w:name="building-the-sample"/>
    <w:p>
      <w:pPr>
        <w:pStyle w:val="Heading2"/>
      </w:pPr>
      <w:r>
        <w:t xml:space="preserve">Building the sample</w:t>
      </w:r>
    </w:p>
    <w:p>
      <w:pPr>
        <w:pStyle w:val="FirstParagraph"/>
      </w:pPr>
      <w:r>
        <w:t xml:space="preserve">The sample can target both</w:t>
      </w:r>
      <w:r>
        <w:t xml:space="preserve"> </w:t>
      </w:r>
      <w:r>
        <w:rPr>
          <w:rStyle w:val="VerbatimChar"/>
        </w:rPr>
        <w:t xml:space="preserve">Gaming.Xbox.XboxOne.x64</w:t>
      </w:r>
      <w:r>
        <w:t xml:space="preserve"> </w:t>
      </w:r>
      <w:r>
        <w:t xml:space="preserve">and</w:t>
      </w:r>
      <w:r>
        <w:t xml:space="preserve"> </w:t>
      </w:r>
      <w:r>
        <w:rPr>
          <w:rStyle w:val="VerbatimChar"/>
        </w:rPr>
        <w:t xml:space="preserve">Gaming.Xbox.Scarlett.x64</w:t>
      </w:r>
      <w:r>
        <w:t xml:space="preserve"> </w:t>
      </w:r>
      <w:r>
        <w:t xml:space="preserve">platforms, but is only intended to be run on Xbox Series (Scarlett) hardware due to streaming scenarios only utilizing Xbox Series hardware.</w:t>
      </w:r>
    </w:p>
    <w:bookmarkEnd w:id="27"/>
    <w:bookmarkStart w:id="32" w:name="using-the-sample"/>
    <w:p>
      <w:pPr>
        <w:pStyle w:val="Heading2"/>
      </w:pPr>
      <w:r>
        <w:t xml:space="preserve">Using the sample</w:t>
      </w:r>
    </w:p>
    <w:p>
      <w:pPr>
        <w:pStyle w:val="FirstParagraph"/>
      </w:pPr>
      <w:r>
        <w:t xml:space="preserve">This sample uses the following controls: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Action</w:t>
            </w:r>
          </w:p>
        </w:tc>
        <w:tc>
          <w:tcPr/>
          <w:p>
            <w:pPr>
              <w:pStyle w:val="Compact"/>
              <w:jc w:val="left"/>
            </w:pPr>
            <w:r>
              <w:t xml:space="preserve">Gamepad</w:t>
            </w:r>
          </w:p>
        </w:tc>
      </w:tr>
      <w:tr>
        <w:tc>
          <w:tcPr/>
          <w:p>
            <w:pPr>
              <w:pStyle w:val="Compact"/>
              <w:jc w:val="left"/>
            </w:pPr>
            <w:r>
              <w:t xml:space="preserve">Bring up resolution menu</w:t>
            </w:r>
          </w:p>
        </w:tc>
        <w:tc>
          <w:tcPr/>
          <w:p>
            <w:pPr>
              <w:pStyle w:val="Compact"/>
              <w:jc w:val="left"/>
            </w:pPr>
            <w:r>
              <w:t xml:space="preserve">Menu</w:t>
            </w:r>
          </w:p>
        </w:tc>
      </w:tr>
      <w:tr>
        <w:tc>
          <w:tcPr/>
          <w:p>
            <w:pPr>
              <w:pStyle w:val="Compact"/>
              <w:jc w:val="left"/>
            </w:pPr>
            <w:r>
              <w:t xml:space="preserve">Rotate/zoom/adjust camera</w:t>
            </w:r>
          </w:p>
        </w:tc>
        <w:tc>
          <w:tcPr/>
          <w:p>
            <w:pPr>
              <w:pStyle w:val="Compact"/>
              <w:jc w:val="left"/>
            </w:pPr>
            <w:r>
              <w:t xml:space="preserve">Left stick/right stick</w:t>
            </w:r>
          </w:p>
        </w:tc>
      </w:tr>
      <w:tr>
        <w:tc>
          <w:tcPr/>
          <w:p>
            <w:pPr>
              <w:pStyle w:val="Compact"/>
              <w:jc w:val="left"/>
            </w:pPr>
            <w:r>
              <w:t xml:space="preserve">Hide Xbox logo</w:t>
            </w:r>
          </w:p>
        </w:tc>
        <w:tc>
          <w:tcPr/>
          <w:p>
            <w:pPr>
              <w:pStyle w:val="Compact"/>
              <w:jc w:val="left"/>
            </w:pPr>
            <w:r>
              <w:t xml:space="preserve">X</w:t>
            </w:r>
          </w:p>
        </w:tc>
      </w:tr>
      <w:tr>
        <w:tc>
          <w:tcPr/>
          <w:p>
            <w:pPr>
              <w:pStyle w:val="Compact"/>
              <w:jc w:val="left"/>
            </w:pPr>
            <w:r>
              <w:t xml:space="preserve">Exit the sample</w:t>
            </w:r>
          </w:p>
        </w:tc>
        <w:tc>
          <w:tcPr/>
          <w:p>
            <w:pPr>
              <w:pStyle w:val="Compact"/>
              <w:jc w:val="left"/>
            </w:pPr>
            <w:r>
              <w:t xml:space="preserve">View</w:t>
            </w:r>
          </w:p>
        </w:tc>
      </w:tr>
    </w:tbl>
    <w:p>
      <w:pPr>
        <w:pStyle w:val="BodyText"/>
      </w:pPr>
      <w:r>
        <w:t xml:space="preserve">The sample is intended to be streamed to a streaming client, such as the</w:t>
      </w:r>
      <w:r>
        <w:t xml:space="preserve"> </w:t>
      </w:r>
      <w:hyperlink r:id="rId28">
        <w:r>
          <w:rPr>
            <w:rStyle w:val="Hyperlink"/>
          </w:rPr>
          <w:t xml:space="preserve">web</w:t>
        </w:r>
      </w:hyperlink>
      <w:r>
        <w:t xml:space="preserve"> </w:t>
      </w:r>
      <w:r>
        <w:t xml:space="preserve">or</w:t>
      </w:r>
      <w:r>
        <w:t xml:space="preserve"> </w:t>
      </w:r>
      <w:hyperlink r:id="rId29">
        <w:r>
          <w:rPr>
            <w:rStyle w:val="Hyperlink"/>
          </w:rPr>
          <w:t xml:space="preserve">Windows Streaming Content Test</w:t>
        </w:r>
      </w:hyperlink>
      <w:r>
        <w:t xml:space="preserve"> </w:t>
      </w:r>
      <w:r>
        <w:t xml:space="preserve">app.</w:t>
      </w:r>
      <w:r>
        <w:t xml:space="preserve"> </w:t>
      </w:r>
      <w:r>
        <w:t xml:space="preserve">Please see the</w:t>
      </w:r>
      <w:r>
        <w:t xml:space="preserve"> </w:t>
      </w:r>
      <w:hyperlink r:id="rId30">
        <w:r>
          <w:rPr>
            <w:rStyle w:val="Hyperlink"/>
          </w:rPr>
          <w:t xml:space="preserve">documentation</w:t>
        </w:r>
      </w:hyperlink>
      <w:r>
        <w:t xml:space="preserve"> </w:t>
      </w:r>
      <w:r>
        <w:t xml:space="preserve">on how to configure streaming from devkit to clients.</w:t>
      </w:r>
    </w:p>
    <w:p>
      <w:pPr>
        <w:pStyle w:val="BodyText"/>
      </w:pPr>
      <w:r>
        <w:t xml:space="preserve">Once streaming, the sample will adjust to fit the current dimensions of the streaming client display.</w:t>
      </w:r>
      <w:r>
        <w:t xml:space="preserve"> </w:t>
      </w:r>
      <w:r>
        <w:t xml:space="preserve">Resizing the client will also adjust the sample resolution to match the new dimensions.</w:t>
      </w:r>
      <w:r>
        <w:t xml:space="preserve"> </w:t>
      </w:r>
      <w:r>
        <w:t xml:space="preserve">The way to see that it is doing this properly is that both the Xbox logo, if visible, and the sphere in the middle of the scene will always be perfectly round no matter the aspect ratio of the display.</w:t>
      </w:r>
    </w:p>
    <w:p>
      <w:pPr>
        <w:pStyle w:val="BodyText"/>
      </w:pPr>
      <w:r>
        <w:t xml:space="preserve">A menu can be brought up so that the sample can be set to one of a preset list of resolutions.</w:t>
      </w:r>
      <w:r>
        <w:t xml:space="preserve"> </w:t>
      </w:r>
      <w:r>
        <w:t xml:space="preserve">A corresponding button can be selected to separately tell the streaming instance to stream at that resolution.</w:t>
      </w:r>
      <w:r>
        <w:t xml:space="preserve"> </w:t>
      </w:r>
      <w:r>
        <w:t xml:space="preserve">This is a contrived separation to demonstrate the effect of changing the resolution independently of what the device streams at.</w:t>
      </w:r>
      <w:r>
        <w:t xml:space="preserve"> </w:t>
      </w:r>
      <w:r>
        <w:t xml:space="preserve">Upon resize, this happens in unison.</w:t>
      </w:r>
    </w:p>
    <w:p>
      <w:pPr>
        <w:pStyle w:val="BodyText"/>
      </w:pPr>
      <w:r>
        <w:t xml:space="preserve">Some resolutions in the menu will intentionally throw errors, as there are limits to the dimensions and number of pixels that streaming can support (e.g. you cannot stream at full 4k resolution).</w:t>
      </w:r>
      <w:r>
        <w:t xml:space="preserve"> </w:t>
      </w:r>
      <w:r>
        <w:t xml:space="preserve">This may change over time.</w:t>
      </w:r>
    </w:p>
    <w:p>
      <w:pPr>
        <w:pStyle w:val="BodyText"/>
      </w:pPr>
      <w:r>
        <w:t xml:space="preserve">More information about</w:t>
      </w:r>
      <w:r>
        <w:t xml:space="preserve"> </w:t>
      </w:r>
      <w:hyperlink r:id="rId31">
        <w:r>
          <w:rPr>
            <w:rStyle w:val="Hyperlink"/>
          </w:rPr>
          <w:t xml:space="preserve">Testing with Custom Resolutions</w:t>
        </w:r>
      </w:hyperlink>
      <w:r>
        <w:t xml:space="preserve"> </w:t>
      </w:r>
      <w:r>
        <w:t xml:space="preserve">can be found in the documentation.</w:t>
      </w:r>
    </w:p>
    <w:bookmarkEnd w:id="32"/>
    <w:bookmarkStart w:id="33" w:name="implementation-notes"/>
    <w:p>
      <w:pPr>
        <w:pStyle w:val="Heading2"/>
      </w:pPr>
      <w:r>
        <w:t xml:space="preserve">Implementation notes</w:t>
      </w:r>
    </w:p>
    <w:p>
      <w:pPr>
        <w:pStyle w:val="FirstParagraph"/>
      </w:pPr>
      <w:r>
        <w:t xml:space="preserve">This sample reuses the scene and some structures and code from the Dynamic Resolution sample.</w:t>
      </w:r>
      <w:r>
        <w:t xml:space="preserve"> </w:t>
      </w:r>
      <w:r>
        <w:t xml:space="preserve">It is not intended to demonstrate graphics best practices so there is likely code that is unnecessary to support changeable but static resolutions.</w:t>
      </w:r>
      <w:r>
        <w:t xml:space="preserve"> </w:t>
      </w:r>
      <w:r>
        <w:t xml:space="preserve">This should be cleaned up over the time.</w:t>
      </w:r>
      <w:r>
        <w:t xml:space="preserve"> </w:t>
      </w:r>
      <w:r>
        <w:t xml:space="preserve">The key is that the rendering resolution can adjusted upon resize of when selected from a menu.</w:t>
      </w:r>
    </w:p>
    <w:bookmarkEnd w:id="33"/>
    <w:bookmarkStart w:id="34" w:name="known-issues"/>
    <w:p>
      <w:pPr>
        <w:pStyle w:val="Heading2"/>
      </w:pPr>
      <w:r>
        <w:t xml:space="preserve">Known issues</w:t>
      </w:r>
    </w:p>
    <w:p>
      <w:pPr>
        <w:pStyle w:val="FirstParagraph"/>
      </w:pPr>
      <w:r>
        <w:t xml:space="preserve">This sample requires the October 2022 GDK and recovery, or newer versions.</w:t>
      </w:r>
    </w:p>
    <w:p>
      <w:pPr>
        <w:pStyle w:val="BodyText"/>
      </w:pPr>
      <w:r>
        <w:t xml:space="preserve">This sample is not intended to be run on Xbox One hardware, as streaming scenarios will not use that hardware.</w:t>
      </w:r>
    </w:p>
    <w:p>
      <w:pPr>
        <w:pStyle w:val="BodyText"/>
      </w:pPr>
      <w:r>
        <w:t xml:space="preserve">Some UI will be cut off at certain resolutions; intelligent UI reconfiguration and sizing is not part of the scope of this sample.</w:t>
      </w:r>
    </w:p>
    <w:bookmarkEnd w:id="34"/>
    <w:bookmarkStart w:id="35" w:name="update-history"/>
    <w:p>
      <w:pPr>
        <w:pStyle w:val="Heading2"/>
      </w:pPr>
      <w:r>
        <w:t xml:space="preserve">Update history</w:t>
      </w:r>
    </w:p>
    <w:p>
      <w:pPr>
        <w:pStyle w:val="FirstParagraph"/>
      </w:pPr>
      <w:r>
        <w:rPr>
          <w:bCs/>
          <w:b/>
        </w:rPr>
        <w:t xml:space="preserve">October 2022:</w:t>
      </w:r>
      <w:r>
        <w:t xml:space="preserve"> </w:t>
      </w:r>
      <w:r>
        <w:t xml:space="preserve">Initial release</w:t>
      </w:r>
    </w:p>
    <w:bookmarkEnd w:id="35"/>
    <w:bookmarkStart w:id="37" w:name="privacy-statement"/>
    <w:p>
      <w:pPr>
        <w:pStyle w:val="Heading2"/>
      </w:pPr>
      <w:r>
        <w:t xml:space="preserve">Privacy Statement</w:t>
      </w:r>
    </w:p>
    <w:p>
      <w:pPr>
        <w:pStyle w:val="FirstParagraph"/>
      </w:pPr>
      <w:r>
        <w:t xml:space="preserve">When compiling and running a sample, the file name of the sample executable will be sent to Microsoft to help track sample usage.</w:t>
      </w:r>
      <w:r>
        <w:t xml:space="preserve"> </w:t>
      </w:r>
      <w:r>
        <w:t xml:space="preserve">To opt-out of this data collection, you can remove the block of code in Main.cpp labeled</w:t>
      </w:r>
      <w:r>
        <w:t xml:space="preserve"> </w:t>
      </w:r>
      <w:r>
        <w:t xml:space="preserve">“</w:t>
      </w:r>
      <w:r>
        <w:t xml:space="preserve">Sample Usage Telemetry</w:t>
      </w:r>
      <w:r>
        <w:t xml:space="preserve">”</w:t>
      </w:r>
      <w:r>
        <w:t xml:space="preserve">.</w:t>
      </w:r>
    </w:p>
    <w:p>
      <w:pPr>
        <w:pStyle w:val="BodyText"/>
      </w:pPr>
      <w:r>
        <w:t xml:space="preserve">For more information about Microsoft’s privacy policies in general, see the</w:t>
      </w:r>
      <w:r>
        <w:t xml:space="preserve"> </w:t>
      </w:r>
      <w:hyperlink r:id="rId36">
        <w:r>
          <w:rPr>
            <w:rStyle w:val="Hyperlink"/>
          </w:rPr>
          <w:t xml:space="preserve">Microsoft Privacy Statement</w:t>
        </w:r>
      </w:hyperlink>
      <w:r>
        <w:t xml:space="preserve">.</w:t>
      </w:r>
    </w:p>
    <w:bookmarkEnd w:id="37"/>
    <w:bookmarkEnd w:id="38"/>
    <w:sectPr w:rsidR="00FC40C7" w:rsidSect="00953F22">
      <w:footerReference r:id="rId10" w:type="default"/>
      <w:headerReference r:id="rId9" w:type="first"/>
      <w:pgSz w:h="15840" w:w="12240"/>
      <w:pgMar w:bottom="1440" w:footer="288"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303E7" w14:textId="50D10D43" w:rsidR="00953F22" w:rsidRPr="00F61D4E" w:rsidRDefault="00953F22" w:rsidP="00F61D4E">
    <w:pPr>
      <w:pStyle w:val="Footer"/>
    </w:pPr>
    <w:r w:rsidRPr="00F61D4E">
      <w:rPr>
        <w:noProof/>
      </w:rPr>
      <w:drawing>
        <wp:anchor distT="0" distB="0" distL="114300" distR="114300" simplePos="0" relativeHeight="251658752" behindDoc="0" locked="0" layoutInCell="1" allowOverlap="1" wp14:anchorId="0AEB52FF" wp14:editId="67A1432D">
          <wp:simplePos x="0" y="0"/>
          <wp:positionH relativeFrom="margin">
            <wp:posOffset>0</wp:posOffset>
          </wp:positionH>
          <wp:positionV relativeFrom="paragraph">
            <wp:posOffset>46885</wp:posOffset>
          </wp:positionV>
          <wp:extent cx="786130" cy="1549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Pr="00F61D4E">
      <w:t xml:space="preserve">    </w:t>
    </w:r>
    <w:bookmarkStart w:id="9" w:name="_Hlk108423690"/>
    <w:r w:rsidRPr="00F61D4E">
      <w:fldChar w:fldCharType="begin"/>
    </w:r>
    <w:r w:rsidRPr="00F61D4E">
      <w:instrText>HYPERLINK "http://www.microsoft.com/about/legal/en/us/Copyright/Default.aspx"</w:instrText>
    </w:r>
    <w:r w:rsidRPr="00F61D4E">
      <w:fldChar w:fldCharType="separate"/>
    </w:r>
    <w:r w:rsidRPr="00F61D4E">
      <w:rPr>
        <w:rStyle w:val="Hyperlink"/>
        <w:color w:val="auto"/>
      </w:rPr>
      <w:t xml:space="preserve">© </w:t>
    </w:r>
    <w:r w:rsidRPr="00F61D4E">
      <w:rPr>
        <w:rStyle w:val="Hyperlink"/>
        <w:color w:val="auto"/>
      </w:rPr>
      <w:fldChar w:fldCharType="begin"/>
    </w:r>
    <w:r w:rsidRPr="00F61D4E">
      <w:rPr>
        <w:rStyle w:val="Hyperlink"/>
        <w:color w:val="auto"/>
      </w:rPr>
      <w:instrText xml:space="preserve"> DATE \@ "yyyy" </w:instrText>
    </w:r>
    <w:r w:rsidRPr="00F61D4E">
      <w:rPr>
        <w:rStyle w:val="Hyperlink"/>
        <w:color w:val="auto"/>
      </w:rPr>
      <w:fldChar w:fldCharType="separate"/>
    </w:r>
    <w:r w:rsidR="00A50113">
      <w:rPr>
        <w:rStyle w:val="Hyperlink"/>
        <w:noProof/>
        <w:color w:val="auto"/>
      </w:rPr>
      <w:t>2022</w:t>
    </w:r>
    <w:r w:rsidRPr="00F61D4E">
      <w:rPr>
        <w:rStyle w:val="Hyperlink"/>
        <w:color w:val="auto"/>
      </w:rPr>
      <w:fldChar w:fldCharType="end"/>
    </w:r>
    <w:r w:rsidRPr="00F61D4E">
      <w:rPr>
        <w:rStyle w:val="Hyperlink"/>
        <w:color w:val="auto"/>
      </w:rPr>
      <w:t xml:space="preserve"> Microsoft. All rights reserved. </w:t>
    </w:r>
    <w:r w:rsidRPr="00F61D4E">
      <w:rPr>
        <w:rStyle w:val="Hyperlink"/>
        <w:color w:val="auto"/>
      </w:rPr>
      <w:fldChar w:fldCharType="end"/>
    </w:r>
    <w:r w:rsidRPr="00F61D4E">
      <w:rPr>
        <w:rStyle w:val="Hyperlink"/>
        <w:color w:val="auto"/>
      </w:rPr>
      <w:t xml:space="preserve">| </w:t>
    </w:r>
    <w:r w:rsidRPr="00F61D4E">
      <w:t xml:space="preserve">SAMPLE: </w:t>
    </w:r>
    <w:bookmarkEnd w:id="9"/>
    <w:r w:rsidRPr="00F61D4E">
      <w:t xml:space="preserve">   </w:t>
    </w:r>
    <w:sdt>
      <w:sdtPr>
        <w:id w:val="-1754813849"/>
        <w:docPartObj>
          <w:docPartGallery w:val="Page Numbers (Bottom of Page)"/>
          <w:docPartUnique/>
        </w:docPartObj>
      </w:sdtPr>
      <w:sdtContent>
        <w:r w:rsidRPr="00F61D4E">
          <w:fldChar w:fldCharType="begin"/>
        </w:r>
        <w:r w:rsidRPr="00F61D4E">
          <w:instrText xml:space="preserve"> PAGE   \* MERGEFORMAT </w:instrText>
        </w:r>
        <w:r w:rsidRPr="00F61D4E">
          <w:fldChar w:fldCharType="separate"/>
        </w:r>
        <w:r w:rsidRPr="00F61D4E">
          <w:t>2</w:t>
        </w:r>
        <w:r w:rsidRPr="00F61D4E">
          <w:fldChar w:fldCharType="end"/>
        </w:r>
      </w:sdtContent>
    </w:sdt>
  </w:p>
  <w:p w14:paraId="6D3AB71F" w14:textId="41E25586" w:rsidR="00953F22" w:rsidRDefault="00953F2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2941A" w14:textId="24EB4856" w:rsidR="00953F22" w:rsidRDefault="00650835">
    <w:pPr>
      <w:pStyle w:val="Header"/>
    </w:pPr>
    <w:r>
      <w:rPr>
        <w:noProof/>
      </w:rPr>
      <w:drawing>
        <wp:anchor distT="0" distB="0" distL="114300" distR="114300" simplePos="0" relativeHeight="251659776" behindDoc="0" locked="0" layoutInCell="1" allowOverlap="1" wp14:anchorId="7142DBCA" wp14:editId="339CC5C8">
          <wp:simplePos x="0" y="0"/>
          <wp:positionH relativeFrom="column">
            <wp:posOffset>-914400</wp:posOffset>
          </wp:positionH>
          <wp:positionV relativeFrom="paragraph">
            <wp:posOffset>-457200</wp:posOffset>
          </wp:positionV>
          <wp:extent cx="7758430" cy="685800"/>
          <wp:effectExtent l="0" t="0" r="0" b="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58430" cy="685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9AC36C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FEAA16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F68FE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9A66F8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218EBF9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9B6E9C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3A068B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6181C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D20A7D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AC0516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EE003B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10318193" w:numId="1">
    <w:abstractNumId w:val="10"/>
  </w:num>
  <w:num w16cid:durableId="1780903684" w:numId="2">
    <w:abstractNumId w:val="9"/>
  </w:num>
  <w:num w16cid:durableId="411200063" w:numId="3">
    <w:abstractNumId w:val="7"/>
  </w:num>
  <w:num w16cid:durableId="1306161668" w:numId="4">
    <w:abstractNumId w:val="6"/>
  </w:num>
  <w:num w16cid:durableId="1385835586" w:numId="5">
    <w:abstractNumId w:val="5"/>
  </w:num>
  <w:num w16cid:durableId="2045522905" w:numId="6">
    <w:abstractNumId w:val="4"/>
  </w:num>
  <w:num w16cid:durableId="1389843188" w:numId="7">
    <w:abstractNumId w:val="8"/>
  </w:num>
  <w:num w16cid:durableId="1359239402" w:numId="8">
    <w:abstractNumId w:val="3"/>
  </w:num>
  <w:num w16cid:durableId="180508839" w:numId="9">
    <w:abstractNumId w:val="2"/>
  </w:num>
  <w:num w16cid:durableId="1328090961" w:numId="10">
    <w:abstractNumId w:val="1"/>
  </w:num>
  <w:num w16cid:durableId="1181314524"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133F4"/>
    <w:pPr>
      <w:keepNext/>
      <w:keepLines/>
      <w:spacing w:after="0" w:before="480"/>
      <w:outlineLvl w:val="0"/>
    </w:pPr>
    <w:rPr>
      <w:rFonts w:ascii="Segoe UI" w:cstheme="majorBidi" w:eastAsiaTheme="majorEastAsia" w:hAnsi="Segoe UI"/>
      <w:bCs/>
      <w:color w:themeColor="text1" w:val="000000"/>
      <w:sz w:val="48"/>
      <w:szCs w:val="32"/>
    </w:rPr>
  </w:style>
  <w:style w:styleId="Heading2" w:type="paragraph">
    <w:name w:val="heading 2"/>
    <w:basedOn w:val="Normal"/>
    <w:next w:val="BodyText"/>
    <w:uiPriority w:val="9"/>
    <w:unhideWhenUsed/>
    <w:qFormat/>
    <w:rsid w:val="001133F4"/>
    <w:pPr>
      <w:keepNext/>
      <w:keepLines/>
      <w:spacing w:after="0" w:before="200"/>
      <w:outlineLvl w:val="1"/>
    </w:pPr>
    <w:rPr>
      <w:rFonts w:ascii="Segoe UI" w:cstheme="majorBidi" w:eastAsiaTheme="majorEastAsia" w:hAnsi="Segoe UI"/>
      <w:bCs/>
      <w:color w:themeColor="accent3" w:themeShade="BF" w:val="76923C"/>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133F4"/>
    <w:pPr>
      <w:spacing w:after="180" w:before="180"/>
    </w:pPr>
    <w:rPr>
      <w:rFonts w:ascii="Segoe UI" w:hAnsi="Segoe UI"/>
      <w:sz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basedOn w:val="ListTable3"/>
    <w:unhideWhenUsed/>
    <w:qFormat/>
    <w:rsid w:val="00206B3E"/>
    <w:rPr>
      <w:rFonts w:ascii="Segoe UI" w:hAnsi="Segoe UI"/>
      <w:sz w:val="22"/>
      <w:szCs w:val="20"/>
      <w:lang w:eastAsia="zh-TW"/>
    </w:rPr>
    <w:tblPr/>
    <w:tblStylePr w:type="firstRow">
      <w:rPr>
        <w:b/>
        <w:bCs/>
        <w:color w:themeColor="background1" w:val="FFFFFF"/>
      </w:rPr>
      <w:tblPr>
        <w:jc w:val="left"/>
      </w:tblPr>
      <w:trPr>
        <w:jc w:val="left"/>
      </w:trPr>
      <w:tcPr>
        <w:tcBorders>
          <w:bottom w:color="auto" w:space="0" w:sz="0" w:val="single"/>
        </w:tcBorders>
        <w:shd w:color="auto" w:fill="76923C" w:themeFill="accent3" w:themeFillShade="BF" w:val="clear"/>
        <w:vAlign w:val="bottom"/>
      </w:tcPr>
    </w:tblStylePr>
    <w:tblStylePr w:type="lastRow">
      <w:rPr>
        <w:b/>
        <w:bCs/>
      </w:rPr>
      <w:tblPr/>
      <w:tcPr>
        <w:tcBorders>
          <w:top w:color="9BBB59" w:space="0" w:sz="4" w:themeColor="accent3" w:val="double"/>
        </w:tcBorders>
        <w:shd w:color="auto" w:fill="FFFFFF" w:themeFill="background1" w:val="clear"/>
      </w:tcPr>
    </w:tblStylePr>
    <w:tblStylePr w:type="firstCol">
      <w:rPr>
        <w:b w:val="0"/>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shd w:color="auto" w:fill="EAF1DD" w:themeFill="accent3" w:themeFillTint="33" w:val="clear"/>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7E6B15"/>
    <w:rPr>
      <w:rFonts w:ascii="Segoe UI" w:hAnsi="Segoe UI"/>
      <w:sz w:val="16"/>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FB1A3A"/>
    <w:rPr>
      <w:rFonts w:ascii="Consolas" w:hAnsi="Consolas"/>
      <w:sz w:val="20"/>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GridTable4-Accent2" w:type="table">
    <w:name w:val="Grid Table 4 Accent 2"/>
    <w:basedOn w:val="TableNormal"/>
    <w:uiPriority w:val="49"/>
    <w:rsid w:val="007E6B15"/>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customStyle="1" w:styleId="BodyTextChar" w:type="character">
    <w:name w:val="Body Text Char"/>
    <w:basedOn w:val="DefaultParagraphFont"/>
    <w:link w:val="BodyText"/>
    <w:rsid w:val="001133F4"/>
    <w:rPr>
      <w:rFonts w:ascii="Segoe UI" w:hAnsi="Segoe UI"/>
      <w:sz w:val="20"/>
    </w:rPr>
  </w:style>
  <w:style w:styleId="GridTable4-Accent3" w:type="table">
    <w:name w:val="Grid Table 4 Accent 3"/>
    <w:basedOn w:val="TableNormal"/>
    <w:uiPriority w:val="49"/>
    <w:rsid w:val="00953F22"/>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shd w:color="auto" w:fill="76923C" w:themeFill="accent3" w:themeFillShade="BF"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953F22"/>
    <w:pPr>
      <w:tabs>
        <w:tab w:pos="4680" w:val="center"/>
        <w:tab w:pos="9360" w:val="right"/>
      </w:tabs>
      <w:spacing w:after="0"/>
    </w:pPr>
  </w:style>
  <w:style w:customStyle="1" w:styleId="HeaderChar" w:type="character">
    <w:name w:val="Header Char"/>
    <w:basedOn w:val="DefaultParagraphFont"/>
    <w:link w:val="Header"/>
    <w:rsid w:val="00953F22"/>
  </w:style>
  <w:style w:styleId="Footer" w:type="paragraph">
    <w:name w:val="footer"/>
    <w:basedOn w:val="Normal"/>
    <w:link w:val="FooterChar"/>
    <w:uiPriority w:val="99"/>
    <w:unhideWhenUsed/>
    <w:rsid w:val="00F61D4E"/>
    <w:pPr>
      <w:pBdr>
        <w:top w:color="auto" w:space="1" w:sz="4" w:val="single"/>
      </w:pBdr>
      <w:tabs>
        <w:tab w:pos="4680" w:val="center"/>
        <w:tab w:pos="9360" w:val="right"/>
      </w:tabs>
      <w:spacing w:after="0"/>
      <w:jc w:val="right"/>
    </w:pPr>
    <w:rPr>
      <w:rFonts w:ascii="Segoe UI" w:hAnsi="Segoe UI"/>
      <w:sz w:val="20"/>
    </w:rPr>
  </w:style>
  <w:style w:customStyle="1" w:styleId="FooterChar" w:type="character">
    <w:name w:val="Footer Char"/>
    <w:basedOn w:val="DefaultParagraphFont"/>
    <w:link w:val="Footer"/>
    <w:uiPriority w:val="99"/>
    <w:rsid w:val="00F61D4E"/>
    <w:rPr>
      <w:rFonts w:ascii="Segoe UI" w:hAnsi="Segoe UI"/>
      <w:sz w:val="20"/>
    </w:rPr>
  </w:style>
  <w:style w:styleId="ListTable3" w:type="table">
    <w:name w:val="List Table 3"/>
    <w:basedOn w:val="TableNormal"/>
    <w:uiPriority w:val="48"/>
    <w:rsid w:val="00857D2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9" Target="https://apps.microsoft.com/store/detail/xbox-game-streaming-test-app/9NZBPVPNLDGM" TargetMode="External" /><Relationship Type="http://schemas.openxmlformats.org/officeDocument/2006/relationships/hyperlink" Id="rId30" Target="https://learn.microsoft.com/en-us/gaming/gdk/_content/gc/system/overviews/game-streaming/game-streaming-setup-xbox-developer-kit" TargetMode="External" /><Relationship Type="http://schemas.openxmlformats.org/officeDocument/2006/relationships/hyperlink" Id="rId31" Target="https://learn.microsoft.com/en-us/gaming/gdk/_content/gc/system/overviews/game-streaming/game-streaming-testing-custom-resolution" TargetMode="External" /><Relationship Type="http://schemas.openxmlformats.org/officeDocument/2006/relationships/hyperlink" Id="rId36" Target="https://privacy.microsoft.com/en-us/privacystatement/" TargetMode="External" /><Relationship Type="http://schemas.openxmlformats.org/officeDocument/2006/relationships/hyperlink" Id="rId28" Target="https://www.xbox.com/play/dev-tools" TargetMode="External" /></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apps.microsoft.com/store/detail/xbox-game-streaming-test-app/9NZBPVPNLDGM" TargetMode="External" /><Relationship Type="http://schemas.openxmlformats.org/officeDocument/2006/relationships/hyperlink" Id="rId30" Target="https://learn.microsoft.com/en-us/gaming/gdk/_content/gc/system/overviews/game-streaming/game-streaming-setup-xbox-developer-kit" TargetMode="External" /><Relationship Type="http://schemas.openxmlformats.org/officeDocument/2006/relationships/hyperlink" Id="rId31" Target="https://learn.microsoft.com/en-us/gaming/gdk/_content/gc/system/overviews/game-streaming/game-streaming-testing-custom-resolution" TargetMode="External" /><Relationship Type="http://schemas.openxmlformats.org/officeDocument/2006/relationships/hyperlink" Id="rId36" Target="https://privacy.microsoft.com/en-us/privacystatement/" TargetMode="External" /><Relationship Type="http://schemas.openxmlformats.org/officeDocument/2006/relationships/hyperlink" Id="rId28" Target="https://www.xbox.com/play/dev-tool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2022-10-17T21:41:45Z</dcterms:created>
  <dcterms:modified xsi:type="dcterms:W3CDTF">2022-10-17T21:41:45Z</dcterms:modified>
</cp:coreProperties>
</file>

<file path=docProps/custom.xml><?xml version="1.0" encoding="utf-8"?>
<Properties xmlns="http://schemas.openxmlformats.org/officeDocument/2006/custom-properties" xmlns:vt="http://schemas.openxmlformats.org/officeDocument/2006/docPropsVTypes"/>
</file>