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6324F"/>
          <w:sz w:val="34"/>
          <w:szCs w:val="34"/>
        </w:rPr>
        <w:t xml:space="preserve">CALDOVA PHARMACEUTICALS</w:t>
      </w:r>
    </w:p>
    <w:p>
      <w:pPr>
        <w:spacing w:after="280"/>
        <w:jc w:val="center"/>
      </w:pPr>
      <w:r>
        <w:rPr>
          <w:b/>
          <w:bCs/>
          <w:color w:val="007F73"/>
          <w:sz w:val="20"/>
          <w:szCs w:val="20"/>
        </w:rPr>
        <w:t xml:space="preserve">COMMERCIAL MANUFACTURING AGREEMENT CMO-2026-041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  <w:shd w:fill="16324F" w:val="clear"/>
          </w:tcPr>
          <w:p>
            <w:r>
              <w:rPr>
                <w:b/>
                <w:bCs/>
                <w:color w:val="FFFFFF"/>
              </w:rPr>
              <w:t xml:space="preserve">Supplier</w:t>
            </w:r>
          </w:p>
        </w:tc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  <w:shd w:fill="16324F" w:val="clear"/>
          </w:tcPr>
          <w:p>
            <w:r>
              <w:rPr>
                <w:b/>
                <w:bCs/>
                <w:color w:val="FFFFFF"/>
              </w:rPr>
              <w:t xml:space="preserve">Supplier ID</w:t>
            </w:r>
          </w:p>
        </w:tc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  <w:shd w:fill="16324F" w:val="clear"/>
          </w:tcPr>
          <w:p>
            <w:r>
              <w:rPr>
                <w:b/>
                <w:bCs/>
                <w:color w:val="FFFFFF"/>
              </w:rPr>
              <w:t xml:space="preserve">Effective date</w:t>
            </w:r>
          </w:p>
        </w:tc>
      </w:tr>
      <w:tr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</w:tcPr>
          <w:p>
            <w:r>
              <w:rPr>
                <w:b w:val="false"/>
                <w:bCs w:val="false"/>
                <w:color w:val="25313C"/>
              </w:rPr>
              <w:t xml:space="preserve">Astor Ridge Biologics</w:t>
            </w:r>
          </w:p>
        </w:tc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</w:tcPr>
          <w:p>
            <w:r>
              <w:rPr>
                <w:b w:val="false"/>
                <w:bCs w:val="false"/>
                <w:color w:val="25313C"/>
              </w:rPr>
              <w:t xml:space="preserve">SUP-1042</w:t>
            </w:r>
          </w:p>
        </w:tc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</w:tcPr>
          <w:p>
            <w:r>
              <w:rPr>
                <w:b w:val="false"/>
                <w:bCs w:val="false"/>
                <w:color w:val="25313C"/>
              </w:rPr>
              <w:t xml:space="preserve">August 1, 2026</w:t>
            </w:r>
          </w:p>
        </w:tc>
      </w:tr>
    </w:tbl>
    <w:p>
      <w:pPr>
        <w:pStyle w:val="Heading1"/>
        <w:spacing w:after="100" w:before="220"/>
      </w:pPr>
      <w:r>
        <w:t xml:space="preserve">Section 4 - Commercial Charges</w:t>
      </w:r>
    </w:p>
    <w:p>
      <w:pPr>
        <w:pStyle w:val="Heading2"/>
        <w:spacing w:after="100" w:before="220"/>
      </w:pPr>
      <w:r>
        <w:t xml:space="preserve">4.1 Commercial manufacturing batch</w:t>
      </w:r>
    </w:p>
    <w:p>
      <w:pPr>
        <w:spacing w:after="110" w:line="280"/>
      </w:pPr>
      <w:r>
        <w:t xml:space="preserve">The price for one commercial manufacturing batch is USD 185,000.</w:t>
      </w:r>
    </w:p>
    <w:p>
      <w:pPr>
        <w:pStyle w:val="Heading2"/>
        <w:spacing w:after="100" w:before="220"/>
      </w:pPr>
      <w:r>
        <w:t xml:space="preserve">4.2 Expedited production</w:t>
      </w:r>
    </w:p>
    <w:p>
      <w:pPr>
        <w:spacing w:after="110" w:line="280"/>
      </w:pPr>
      <w:r>
        <w:t xml:space="preserve">When Caldova requests an expedited production schedule, the supplier may charge a premium of no more than 4% of the commercial manufacturing batch price. Any amount above that cap requires both a revised purchase order and written approval from Caldova's VP of Procurement.</w:t>
      </w:r>
    </w:p>
    <w:p>
      <w:pPr>
        <w:pStyle w:val="Heading2"/>
        <w:spacing w:after="100" w:before="220"/>
      </w:pPr>
      <w:r>
        <w:t xml:space="preserve">4.3 Cold-chain freight</w:t>
      </w:r>
    </w:p>
    <w:p>
      <w:pPr>
        <w:spacing w:after="110" w:line="280"/>
      </w:pPr>
      <w:r>
        <w:t xml:space="preserve">Cold-chain freight may be charged at actual cost up to USD 12,500 per batch.</w:t>
      </w:r>
    </w:p>
    <w:p>
      <w:pPr>
        <w:pStyle w:val="Heading2"/>
        <w:spacing w:after="100" w:before="220"/>
      </w:pPr>
      <w:r>
        <w:t xml:space="preserve">4.4 Additional services</w:t>
      </w:r>
    </w:p>
    <w:p>
      <w:pPr>
        <w:spacing w:after="110" w:line="280"/>
      </w:pPr>
      <w:r>
        <w:t xml:space="preserve">Charges not listed in this agreement require a revised purchase order and written approval from Caldova's VP of Procurement before the supplier performs or invoices the service.</w:t>
      </w:r>
    </w:p>
    <w:p>
      <w:pPr>
        <w:pStyle w:val="Heading1"/>
        <w:spacing w:after="100" w:before="220"/>
      </w:pPr>
      <w:r>
        <w:t xml:space="preserve">Section 7 - Quality Events</w:t>
      </w:r>
    </w:p>
    <w:p>
      <w:pPr>
        <w:spacing w:after="110" w:line="280"/>
      </w:pPr>
      <w:r>
        <w:t xml:space="preserve">An open quality investigation does not by itself place a batch or supplier on quality hold. A quality hold must be expressly issued by Caldova Quality.</w:t>
      </w:r>
    </w:p>
    <w:p>
      <w:pPr>
        <w:pStyle w:val="Heading1"/>
        <w:spacing w:after="100" w:before="220"/>
      </w:pPr>
      <w:r>
        <w:t xml:space="preserve">Section 9 - Payment Control</w:t>
      </w:r>
    </w:p>
    <w:p>
      <w:pPr>
        <w:spacing w:after="110" w:line="280"/>
      </w:pPr>
      <w:r>
        <w:t xml:space="preserve">An invoice review recommendation does not authorize payment, reject an invoice, or modify a supplier record. Those actions remain subject to Caldova's financial and supplier-management controls.</w:t>
      </w:r>
    </w:p>
    <w:p>
      <w:pPr>
        <w:spacing w:after="110" w:line="280"/>
      </w:pPr>
      <w:r>
        <w:t xml:space="preserve">FICTIONAL LAB DATA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531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ptos Display" w:cs="Aptos Display" w:eastAsia="Aptos Display" w:hAnsi="Aptos Display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ptos Display" w:cs="Aptos Display" w:eastAsia="Aptos Display" w:hAnsi="Aptos Display"/>
      <w:b/>
      <w:bCs/>
      <w:color w:val="007F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Manufacturing Agreement CMO-2026-041</dc:title>
  <dc:creator>Caldova Pharmaceuticals</dc:creator>
  <dc:description>Fictional data for Microsoft AI Tour lab ILL224</dc:description>
  <cp:lastModifiedBy>Un-named</cp:lastModifiedBy>
  <cp:revision>1</cp:revision>
  <dcterms:created xsi:type="dcterms:W3CDTF">2026-09-24T16:46:03.038Z</dcterms:created>
  <dcterms:modified xsi:type="dcterms:W3CDTF">2026-09-24T16:46:03.038Z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