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6324F"/>
          <w:sz w:val="34"/>
          <w:szCs w:val="34"/>
        </w:rPr>
        <w:t xml:space="preserve">CALDOVA PHARMACEUTICALS</w:t>
      </w:r>
    </w:p>
    <w:p>
      <w:pPr>
        <w:spacing w:after="280"/>
        <w:jc w:val="center"/>
      </w:pPr>
      <w:r>
        <w:rPr>
          <w:b/>
          <w:bCs/>
          <w:color w:val="007F73"/>
          <w:sz w:val="20"/>
          <w:szCs w:val="20"/>
        </w:rPr>
        <w:t xml:space="preserve">PACKAGING SERVICES AGREEMENT PKG-2026-052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  <w:shd w:fill="16324F" w:val="clear"/>
          </w:tcPr>
          <w:p>
            <w:r>
              <w:rPr>
                <w:b/>
                <w:bCs/>
                <w:color w:val="FFFFFF"/>
              </w:rPr>
              <w:t xml:space="preserve">Supplier</w:t>
            </w:r>
          </w:p>
        </w:tc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  <w:shd w:fill="16324F" w:val="clear"/>
          </w:tcPr>
          <w:p>
            <w:r>
              <w:rPr>
                <w:b/>
                <w:bCs/>
                <w:color w:val="FFFFFF"/>
              </w:rPr>
              <w:t xml:space="preserve">Supplier ID</w:t>
            </w:r>
          </w:p>
        </w:tc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  <w:shd w:fill="16324F" w:val="clear"/>
          </w:tcPr>
          <w:p>
            <w:r>
              <w:rPr>
                <w:b/>
                <w:bCs/>
                <w:color w:val="FFFFFF"/>
              </w:rPr>
              <w:t xml:space="preserve">Effective date</w:t>
            </w:r>
          </w:p>
        </w:tc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  <w:shd w:fill="16324F" w:val="clear"/>
          </w:tcPr>
          <w:p>
            <w:r>
              <w:rPr>
                <w:b/>
                <w:bCs/>
                <w:color w:val="FFFFFF"/>
              </w:rPr>
              <w:t xml:space="preserve">Terms</w:t>
            </w:r>
          </w:p>
        </w:tc>
      </w:tr>
      <w:tr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</w:tcPr>
          <w:p>
            <w:r>
              <w:rPr>
                <w:b w:val="false"/>
                <w:bCs w:val="false"/>
                <w:color w:val="25313C"/>
              </w:rPr>
              <w:t xml:space="preserve">Northwind Therapeutics</w:t>
            </w:r>
          </w:p>
        </w:tc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</w:tcPr>
          <w:p>
            <w:r>
              <w:rPr>
                <w:b w:val="false"/>
                <w:bCs w:val="false"/>
                <w:color w:val="25313C"/>
              </w:rPr>
              <w:t xml:space="preserve">SUP-1088</w:t>
            </w:r>
          </w:p>
        </w:tc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</w:tcPr>
          <w:p>
            <w:r>
              <w:rPr>
                <w:b w:val="false"/>
                <w:bCs w:val="false"/>
                <w:color w:val="25313C"/>
              </w:rPr>
              <w:t xml:space="preserve">January 1, 2026</w:t>
            </w:r>
          </w:p>
        </w:tc>
        <w:tc>
          <w:tcPr>
            <w:tcBorders>
              <w:top w:val="single" w:color="B8C3CC" w:sz="4"/>
              <w:left w:val="single" w:color="B8C3CC" w:sz="4"/>
              <w:bottom w:val="single" w:color="B8C3CC" w:sz="4"/>
              <w:right w:val="single" w:color="B8C3CC" w:sz="4"/>
            </w:tcBorders>
          </w:tcPr>
          <w:p>
            <w:r>
              <w:rPr>
                <w:b w:val="false"/>
                <w:bCs w:val="false"/>
                <w:color w:val="25313C"/>
              </w:rPr>
              <w:t xml:space="preserve">Net 45</w:t>
            </w:r>
          </w:p>
        </w:tc>
      </w:tr>
    </w:tbl>
    <w:p>
      <w:pPr>
        <w:pStyle w:val="Heading1"/>
        <w:spacing w:after="100" w:before="220"/>
      </w:pPr>
      <w:r>
        <w:t xml:space="preserve">Section 4 - Commercial Terms</w:t>
      </w:r>
    </w:p>
    <w:p>
      <w:pPr>
        <w:pStyle w:val="Heading2"/>
        <w:spacing w:after="100" w:before="220"/>
      </w:pPr>
      <w:r>
        <w:t xml:space="preserve">4.1 Packaging production run</w:t>
      </w:r>
    </w:p>
    <w:p>
      <w:pPr>
        <w:spacing w:after="110" w:line="280"/>
      </w:pPr>
      <w:r>
        <w:t xml:space="preserve">Northwind may charge USD 96,000 for one packaging and labeling run for lot CDV-LB22.</w:t>
      </w:r>
    </w:p>
    <w:p>
      <w:pPr>
        <w:pStyle w:val="Heading2"/>
        <w:spacing w:after="100" w:before="220"/>
      </w:pPr>
      <w:r>
        <w:t xml:space="preserve">4.2 Serialized label setup</w:t>
      </w:r>
    </w:p>
    <w:p>
      <w:pPr>
        <w:spacing w:after="110" w:line="280"/>
      </w:pPr>
      <w:r>
        <w:t xml:space="preserve">The fixed fee for serialized label setup is USD 8,000 per lot. A higher fee requires a revised purchase order and written approval from Caldova Procurement before work begins.</w:t>
      </w:r>
    </w:p>
    <w:p>
      <w:pPr>
        <w:pStyle w:val="Heading2"/>
        <w:spacing w:after="100" w:before="220"/>
      </w:pPr>
      <w:r>
        <w:t xml:space="preserve">4.3 Standard freight</w:t>
      </w:r>
    </w:p>
    <w:p>
      <w:pPr>
        <w:spacing w:after="110" w:line="280"/>
      </w:pPr>
      <w:r>
        <w:t xml:space="preserve">Standard freight may be invoiced at actual cost up to USD 5,000 per shipment.</w:t>
      </w:r>
    </w:p>
    <w:p>
      <w:pPr>
        <w:pStyle w:val="Heading2"/>
        <w:spacing w:after="100" w:before="220"/>
      </w:pPr>
      <w:r>
        <w:t xml:space="preserve">4.4 Additional services</w:t>
      </w:r>
    </w:p>
    <w:p>
      <w:pPr>
        <w:spacing w:after="110" w:line="280"/>
      </w:pPr>
      <w:r>
        <w:t xml:space="preserve">Rush changeovers, rework, validation support, and other services not listed in this agreement require a revised purchase order and written approval before work begins.</w:t>
      </w:r>
    </w:p>
    <w:p>
      <w:pPr>
        <w:pStyle w:val="Heading1"/>
        <w:spacing w:after="100" w:before="220"/>
      </w:pPr>
      <w:r>
        <w:t xml:space="preserve">Section 7 - Quality Status</w:t>
      </w:r>
    </w:p>
    <w:p>
      <w:pPr>
        <w:spacing w:after="110" w:line="280"/>
      </w:pPr>
      <w:r>
        <w:t xml:space="preserve">An open corrective-action item does not by itself create a quality hold. A hold must be explicitly issued by Caldova Quality.</w:t>
      </w:r>
    </w:p>
    <w:p>
      <w:pPr>
        <w:pStyle w:val="Heading1"/>
        <w:spacing w:after="100" w:before="220"/>
      </w:pPr>
      <w:r>
        <w:t xml:space="preserve">Section 9 - Payment Control</w:t>
      </w:r>
    </w:p>
    <w:p>
      <w:pPr>
        <w:spacing w:after="110" w:line="280"/>
      </w:pPr>
      <w:r>
        <w:t xml:space="preserve">Caldova may process supported, undisputed charges under normal payment controls. Unsupported charges must be challenged, and total disputed amounts greater than USD 10,000 require human review.</w:t>
      </w:r>
    </w:p>
    <w:p>
      <w:pPr>
        <w:spacing w:after="110" w:line="280"/>
      </w:pPr>
      <w:r>
        <w:t xml:space="preserve">FICTIONAL LAB DATA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5313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ptos Display" w:cs="Aptos Display" w:eastAsia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ptos Display" w:cs="Aptos Display" w:eastAsia="Aptos Display" w:hAnsi="Aptos Display"/>
      <w:b/>
      <w:bCs/>
      <w:color w:val="007F7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Packaging Services Agreement PKG-2026-052</dc:title>
  <dc:creator>Caldova Pharmaceuticals</dc:creator>
  <dc:description>Fictional data for Microsoft AI Tour lab ILL224</dc:description>
  <cp:lastModifiedBy>Un-named</cp:lastModifiedBy>
  <cp:revision>1</cp:revision>
  <dcterms:created xsi:type="dcterms:W3CDTF">2026-09-24T16:46:03.044Z</dcterms:created>
  <dcterms:modified xsi:type="dcterms:W3CDTF">2026-09-24T16:46:03.044Z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