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8670" w14:textId="3D7DB936" w:rsidR="005407D3" w:rsidRPr="005407D3" w:rsidRDefault="005407D3" w:rsidP="005407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IE"/>
        </w:rPr>
      </w:pPr>
      <w:bookmarkStart w:id="0" w:name="_Hlk132032459"/>
      <w:r w:rsidRPr="005407D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IE"/>
        </w:rPr>
        <w:t xml:space="preserve">Single Pane of Glass (SPOG) </w:t>
      </w:r>
      <w:r w:rsidR="00B435F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IE"/>
        </w:rPr>
        <w:t xml:space="preserve">Dynamics 365 Customer Service </w:t>
      </w:r>
      <w:r w:rsidR="00267B3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IE"/>
        </w:rPr>
        <w:t xml:space="preserve">and Microsoft Authentication Library (MSAL) </w:t>
      </w:r>
      <w:r w:rsidRPr="005407D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IE"/>
        </w:rPr>
        <w:t>Reference Architecture</w:t>
      </w:r>
    </w:p>
    <w:p w14:paraId="0566665C" w14:textId="5E94E513" w:rsidR="00F9733D" w:rsidRPr="00F9733D" w:rsidRDefault="0093530A" w:rsidP="00F9733D">
      <w:pPr>
        <w:rPr>
          <w:b/>
          <w:bCs/>
          <w:i/>
          <w:iCs/>
        </w:rPr>
      </w:pPr>
      <w:r w:rsidRPr="00E52B72">
        <w:rPr>
          <w:b/>
          <w:bCs/>
          <w:i/>
          <w:iCs/>
        </w:rPr>
        <w:t>Applies to</w:t>
      </w:r>
      <w:bookmarkStart w:id="1" w:name="_Hlk132023727"/>
      <w:r w:rsidR="0011406B" w:rsidRPr="00E52B72">
        <w:rPr>
          <w:b/>
          <w:bCs/>
          <w:i/>
          <w:iCs/>
        </w:rPr>
        <w:t>:</w:t>
      </w:r>
      <w:r w:rsidR="0011406B" w:rsidRPr="00E52B72">
        <w:t xml:space="preserve"> </w:t>
      </w:r>
      <w:r w:rsidR="0011406B" w:rsidRPr="00E52B72">
        <w:rPr>
          <w:b/>
          <w:bCs/>
          <w:i/>
          <w:iCs/>
        </w:rPr>
        <w:t>Dynamics 365 Customer Service</w:t>
      </w:r>
    </w:p>
    <w:bookmarkEnd w:id="0"/>
    <w:bookmarkEnd w:id="1"/>
    <w:p w14:paraId="502A2AE9" w14:textId="7D832052" w:rsidR="0093530A" w:rsidRPr="00246114" w:rsidRDefault="00267B3B" w:rsidP="0093530A">
      <w:pPr>
        <w:rPr>
          <w:lang w:val="en-IE"/>
        </w:rPr>
      </w:pPr>
      <w:r>
        <w:t>This solution</w:t>
      </w:r>
      <w:r w:rsidR="0098577B">
        <w:t xml:space="preserve"> </w:t>
      </w:r>
      <w:r w:rsidR="00BE09FB">
        <w:t>combines</w:t>
      </w:r>
      <w:r w:rsidR="001C7B6E">
        <w:t xml:space="preserve"> </w:t>
      </w:r>
      <w:r w:rsidR="0038098A" w:rsidRPr="0038098A">
        <w:t>Dynamics 365 Customer Service</w:t>
      </w:r>
      <w:r w:rsidR="0038098A">
        <w:t xml:space="preserve"> and </w:t>
      </w:r>
      <w:r>
        <w:t>Microsoft Authentication Library</w:t>
      </w:r>
      <w:r w:rsidR="00670244">
        <w:t xml:space="preserve"> (MSAL) via Entra ID (</w:t>
      </w:r>
      <w:r w:rsidR="00670244" w:rsidRPr="00671928">
        <w:t>Azure AD</w:t>
      </w:r>
      <w:r w:rsidR="00670244">
        <w:t>)</w:t>
      </w:r>
      <w:r w:rsidR="00BE09FB">
        <w:t xml:space="preserve">, to build </w:t>
      </w:r>
      <w:r w:rsidR="00246114" w:rsidRPr="00246114">
        <w:t xml:space="preserve">a Single Pane of Glass (SPOG) solution within Bank of Ireland’s (BOI) Dynamics 365 </w:t>
      </w:r>
      <w:r w:rsidR="008B5E49">
        <w:t>Customer Service</w:t>
      </w:r>
      <w:r w:rsidR="00246114" w:rsidRPr="00246114">
        <w:t xml:space="preserve">, integrating </w:t>
      </w:r>
      <w:r w:rsidR="008B5E49">
        <w:t xml:space="preserve">authenticated </w:t>
      </w:r>
      <w:r w:rsidR="00246114" w:rsidRPr="00246114">
        <w:t xml:space="preserve">third-party applications into Dynamics 365 via </w:t>
      </w:r>
      <w:r w:rsidR="00A71449" w:rsidRPr="00246114">
        <w:t>Iframes</w:t>
      </w:r>
      <w:r w:rsidR="008201C0">
        <w:t xml:space="preserve"> and MSAL.</w:t>
      </w:r>
    </w:p>
    <w:p w14:paraId="7CBD123E" w14:textId="77777777" w:rsidR="006A0F30" w:rsidRPr="006568AB" w:rsidRDefault="009E32E1" w:rsidP="009E32E1">
      <w:pPr>
        <w:pStyle w:val="Heading2"/>
      </w:pPr>
      <w:r w:rsidRPr="006568AB">
        <w:t>Introduction</w:t>
      </w:r>
    </w:p>
    <w:p w14:paraId="2B8DE0E5" w14:textId="2A7BD29E" w:rsidR="006568AB" w:rsidRPr="006568AB" w:rsidRDefault="006568AB" w:rsidP="006568AB">
      <w:pPr>
        <w:rPr>
          <w:lang w:val="en-IE"/>
        </w:rPr>
      </w:pPr>
      <w:r w:rsidRPr="006568AB">
        <w:rPr>
          <w:lang w:val="en-IE"/>
        </w:rPr>
        <w:t xml:space="preserve">This reference architecture describes the implementation of a </w:t>
      </w:r>
      <w:r w:rsidRPr="006568AB">
        <w:rPr>
          <w:b/>
          <w:bCs/>
          <w:lang w:val="en-IE"/>
        </w:rPr>
        <w:t>Single Pane of Glass (SPOG)</w:t>
      </w:r>
      <w:r w:rsidRPr="006568AB">
        <w:rPr>
          <w:lang w:val="en-IE"/>
        </w:rPr>
        <w:t xml:space="preserve"> solution within </w:t>
      </w:r>
      <w:r w:rsidRPr="006568AB">
        <w:rPr>
          <w:b/>
          <w:bCs/>
          <w:lang w:val="en-IE"/>
        </w:rPr>
        <w:t xml:space="preserve">Bank of Ireland’s (BOI) Dynamics 365 </w:t>
      </w:r>
      <w:r>
        <w:rPr>
          <w:b/>
          <w:bCs/>
          <w:lang w:val="en-IE"/>
        </w:rPr>
        <w:t>Customer Service</w:t>
      </w:r>
      <w:r w:rsidRPr="006568AB">
        <w:rPr>
          <w:lang w:val="en-IE"/>
        </w:rPr>
        <w:t xml:space="preserve">, integrating third-party applications into Dynamics 365 via </w:t>
      </w:r>
      <w:r w:rsidR="00A71449">
        <w:rPr>
          <w:b/>
          <w:bCs/>
          <w:lang w:val="en-IE"/>
        </w:rPr>
        <w:t>I</w:t>
      </w:r>
      <w:r w:rsidRPr="006568AB">
        <w:rPr>
          <w:b/>
          <w:bCs/>
          <w:lang w:val="en-IE"/>
        </w:rPr>
        <w:t xml:space="preserve">frames </w:t>
      </w:r>
      <w:r w:rsidR="003B09D5">
        <w:rPr>
          <w:b/>
          <w:bCs/>
          <w:lang w:val="en-IE"/>
        </w:rPr>
        <w:t>using Microsoft Authentication Library (MSAL)</w:t>
      </w:r>
      <w:r w:rsidRPr="006568AB">
        <w:rPr>
          <w:lang w:val="en-IE"/>
        </w:rPr>
        <w:t>. The solution streamlines access to external applications, improving user efficiency while maintaining security and compliance standards.</w:t>
      </w:r>
    </w:p>
    <w:p w14:paraId="7CF9863B" w14:textId="77777777" w:rsidR="006568AB" w:rsidRPr="006568AB" w:rsidRDefault="006568AB" w:rsidP="006568AB">
      <w:pPr>
        <w:rPr>
          <w:b/>
          <w:bCs/>
          <w:lang w:val="en-IE"/>
        </w:rPr>
      </w:pPr>
      <w:r w:rsidRPr="006568AB">
        <w:rPr>
          <w:b/>
          <w:bCs/>
          <w:lang w:val="en-IE"/>
        </w:rPr>
        <w:t>Use Cases &amp; Industries</w:t>
      </w:r>
    </w:p>
    <w:p w14:paraId="0B9F8BDC" w14:textId="77777777" w:rsidR="006568AB" w:rsidRPr="006568AB" w:rsidRDefault="006568AB" w:rsidP="006568AB">
      <w:pPr>
        <w:numPr>
          <w:ilvl w:val="0"/>
          <w:numId w:val="29"/>
        </w:numPr>
        <w:rPr>
          <w:lang w:val="en-IE"/>
        </w:rPr>
      </w:pPr>
      <w:r w:rsidRPr="006568AB">
        <w:rPr>
          <w:b/>
          <w:bCs/>
          <w:lang w:val="en-IE"/>
        </w:rPr>
        <w:t>Industry:</w:t>
      </w:r>
      <w:r w:rsidRPr="006568AB">
        <w:rPr>
          <w:lang w:val="en-IE"/>
        </w:rPr>
        <w:t xml:space="preserve"> Finance and Banking</w:t>
      </w:r>
    </w:p>
    <w:p w14:paraId="02C5254E" w14:textId="77777777" w:rsidR="006568AB" w:rsidRPr="006568AB" w:rsidRDefault="006568AB" w:rsidP="006568AB">
      <w:pPr>
        <w:numPr>
          <w:ilvl w:val="0"/>
          <w:numId w:val="29"/>
        </w:numPr>
        <w:rPr>
          <w:lang w:val="en-IE"/>
        </w:rPr>
      </w:pPr>
      <w:r w:rsidRPr="006568AB">
        <w:rPr>
          <w:b/>
          <w:bCs/>
          <w:lang w:val="en-IE"/>
        </w:rPr>
        <w:t>Use Cases:</w:t>
      </w:r>
    </w:p>
    <w:p w14:paraId="6034E585" w14:textId="77777777" w:rsidR="006568AB" w:rsidRPr="006568AB" w:rsidRDefault="006568AB" w:rsidP="006568AB">
      <w:pPr>
        <w:numPr>
          <w:ilvl w:val="1"/>
          <w:numId w:val="29"/>
        </w:numPr>
        <w:rPr>
          <w:lang w:val="en-IE"/>
        </w:rPr>
      </w:pPr>
      <w:r w:rsidRPr="006568AB">
        <w:rPr>
          <w:lang w:val="en-IE"/>
        </w:rPr>
        <w:t>Centralized access to multiple applications in Dynamics 365</w:t>
      </w:r>
    </w:p>
    <w:p w14:paraId="68560465" w14:textId="77777777" w:rsidR="006568AB" w:rsidRPr="006568AB" w:rsidRDefault="006568AB" w:rsidP="006568AB">
      <w:pPr>
        <w:numPr>
          <w:ilvl w:val="1"/>
          <w:numId w:val="29"/>
        </w:numPr>
        <w:rPr>
          <w:lang w:val="en-IE"/>
        </w:rPr>
      </w:pPr>
      <w:r w:rsidRPr="006568AB">
        <w:rPr>
          <w:lang w:val="en-IE"/>
        </w:rPr>
        <w:t>Enhanced user productivity through seamless application switching</w:t>
      </w:r>
    </w:p>
    <w:p w14:paraId="46F388CF" w14:textId="77777777" w:rsidR="006568AB" w:rsidRPr="006568AB" w:rsidRDefault="006568AB" w:rsidP="006568AB">
      <w:pPr>
        <w:numPr>
          <w:ilvl w:val="1"/>
          <w:numId w:val="29"/>
        </w:numPr>
        <w:rPr>
          <w:lang w:val="en-IE"/>
        </w:rPr>
      </w:pPr>
      <w:r w:rsidRPr="006568AB">
        <w:rPr>
          <w:lang w:val="en-IE"/>
        </w:rPr>
        <w:t>Improved security via controlled access and SSO authentication</w:t>
      </w:r>
    </w:p>
    <w:p w14:paraId="73A2543A" w14:textId="77777777" w:rsidR="006568AB" w:rsidRPr="006568AB" w:rsidRDefault="006568AB" w:rsidP="006568AB">
      <w:pPr>
        <w:rPr>
          <w:b/>
          <w:bCs/>
          <w:lang w:val="en-IE"/>
        </w:rPr>
      </w:pPr>
      <w:r w:rsidRPr="006568AB">
        <w:rPr>
          <w:b/>
          <w:bCs/>
          <w:lang w:val="en-IE"/>
        </w:rPr>
        <w:t>Implementation Timing</w:t>
      </w:r>
    </w:p>
    <w:p w14:paraId="35862FF4" w14:textId="77777777" w:rsidR="006568AB" w:rsidRPr="006568AB" w:rsidRDefault="006568AB" w:rsidP="006568AB">
      <w:pPr>
        <w:rPr>
          <w:lang w:val="en-IE"/>
        </w:rPr>
      </w:pPr>
      <w:r w:rsidRPr="006568AB">
        <w:rPr>
          <w:lang w:val="en-IE"/>
        </w:rPr>
        <w:t xml:space="preserve">This reference architecture should be defined </w:t>
      </w:r>
      <w:r w:rsidRPr="006568AB">
        <w:rPr>
          <w:b/>
          <w:bCs/>
          <w:lang w:val="en-IE"/>
        </w:rPr>
        <w:t>during the early solution design phase</w:t>
      </w:r>
      <w:r w:rsidRPr="006568AB">
        <w:rPr>
          <w:lang w:val="en-IE"/>
        </w:rPr>
        <w:t>, ensuring integration feasibility with existing security policies and authentication mechanisms.</w:t>
      </w:r>
    </w:p>
    <w:p w14:paraId="77EA7948" w14:textId="77777777" w:rsidR="006568AB" w:rsidRPr="006568AB" w:rsidRDefault="006568AB" w:rsidP="006568AB">
      <w:pPr>
        <w:rPr>
          <w:b/>
          <w:bCs/>
          <w:lang w:val="en-IE"/>
        </w:rPr>
      </w:pPr>
      <w:r w:rsidRPr="006568AB">
        <w:rPr>
          <w:b/>
          <w:bCs/>
          <w:lang w:val="en-IE"/>
        </w:rPr>
        <w:t>Key Stakeholders</w:t>
      </w:r>
    </w:p>
    <w:p w14:paraId="793BB098" w14:textId="77777777" w:rsidR="006568AB" w:rsidRPr="006568AB" w:rsidRDefault="006568AB" w:rsidP="006568AB">
      <w:pPr>
        <w:numPr>
          <w:ilvl w:val="0"/>
          <w:numId w:val="30"/>
        </w:numPr>
        <w:rPr>
          <w:lang w:val="en-IE"/>
        </w:rPr>
      </w:pPr>
      <w:r w:rsidRPr="006568AB">
        <w:rPr>
          <w:b/>
          <w:bCs/>
          <w:lang w:val="en-IE"/>
        </w:rPr>
        <w:t>Solution Architects</w:t>
      </w:r>
      <w:r w:rsidRPr="006568AB">
        <w:rPr>
          <w:lang w:val="en-IE"/>
        </w:rPr>
        <w:t xml:space="preserve"> - Define architecture and integration strategies</w:t>
      </w:r>
    </w:p>
    <w:p w14:paraId="01F2B7BA" w14:textId="2705E857" w:rsidR="006568AB" w:rsidRPr="006568AB" w:rsidRDefault="006568AB" w:rsidP="006568AB">
      <w:pPr>
        <w:numPr>
          <w:ilvl w:val="0"/>
          <w:numId w:val="30"/>
        </w:numPr>
        <w:rPr>
          <w:lang w:val="en-IE"/>
        </w:rPr>
      </w:pPr>
      <w:r w:rsidRPr="006568AB">
        <w:rPr>
          <w:b/>
          <w:bCs/>
          <w:lang w:val="en-IE"/>
        </w:rPr>
        <w:t>Dynamics 365 Developers</w:t>
      </w:r>
      <w:r w:rsidRPr="006568AB">
        <w:rPr>
          <w:lang w:val="en-IE"/>
        </w:rPr>
        <w:t xml:space="preserve"> - Implement </w:t>
      </w:r>
      <w:r w:rsidR="00A71449">
        <w:rPr>
          <w:lang w:val="en-IE"/>
        </w:rPr>
        <w:t>I</w:t>
      </w:r>
      <w:r w:rsidRPr="006568AB">
        <w:rPr>
          <w:lang w:val="en-IE"/>
        </w:rPr>
        <w:t>frame-based logic</w:t>
      </w:r>
    </w:p>
    <w:p w14:paraId="577EFB76" w14:textId="77777777" w:rsidR="006568AB" w:rsidRPr="006568AB" w:rsidRDefault="006568AB" w:rsidP="006568AB">
      <w:pPr>
        <w:numPr>
          <w:ilvl w:val="0"/>
          <w:numId w:val="30"/>
        </w:numPr>
        <w:rPr>
          <w:lang w:val="en-IE"/>
        </w:rPr>
      </w:pPr>
      <w:r w:rsidRPr="006568AB">
        <w:rPr>
          <w:b/>
          <w:bCs/>
          <w:lang w:val="en-IE"/>
        </w:rPr>
        <w:t>IT Security Teams</w:t>
      </w:r>
      <w:r w:rsidRPr="006568AB">
        <w:rPr>
          <w:lang w:val="en-IE"/>
        </w:rPr>
        <w:t xml:space="preserve"> - Validate authentication mechanisms and security policies</w:t>
      </w:r>
    </w:p>
    <w:p w14:paraId="3D81D41B" w14:textId="77777777" w:rsidR="006568AB" w:rsidRPr="006568AB" w:rsidRDefault="006568AB" w:rsidP="006568AB">
      <w:pPr>
        <w:numPr>
          <w:ilvl w:val="0"/>
          <w:numId w:val="30"/>
        </w:numPr>
        <w:rPr>
          <w:lang w:val="en-IE"/>
        </w:rPr>
      </w:pPr>
      <w:r w:rsidRPr="006568AB">
        <w:rPr>
          <w:b/>
          <w:bCs/>
          <w:lang w:val="en-IE"/>
        </w:rPr>
        <w:t>End Users</w:t>
      </w:r>
      <w:r w:rsidRPr="006568AB">
        <w:rPr>
          <w:lang w:val="en-IE"/>
        </w:rPr>
        <w:t xml:space="preserve"> - Utilize SPOG for day-to-day operational tasks</w:t>
      </w:r>
    </w:p>
    <w:p w14:paraId="57FBE3EF" w14:textId="77777777" w:rsidR="006568AB" w:rsidRDefault="006568AB" w:rsidP="006568AB">
      <w:pPr>
        <w:rPr>
          <w:highlight w:val="yellow"/>
          <w:lang w:val="en-IE"/>
        </w:rPr>
      </w:pPr>
    </w:p>
    <w:p w14:paraId="672CC4A6" w14:textId="77777777" w:rsidR="0032249A" w:rsidRDefault="0032249A" w:rsidP="006568AB">
      <w:pPr>
        <w:rPr>
          <w:highlight w:val="yellow"/>
          <w:lang w:val="en-IE"/>
        </w:rPr>
      </w:pPr>
    </w:p>
    <w:p w14:paraId="60926131" w14:textId="77777777" w:rsidR="0032249A" w:rsidRDefault="0032249A" w:rsidP="006568AB">
      <w:pPr>
        <w:rPr>
          <w:highlight w:val="yellow"/>
          <w:lang w:val="en-IE"/>
        </w:rPr>
      </w:pPr>
    </w:p>
    <w:p w14:paraId="374EB897" w14:textId="77777777" w:rsidR="0032249A" w:rsidRPr="006568AB" w:rsidRDefault="0032249A" w:rsidP="006568AB">
      <w:pPr>
        <w:rPr>
          <w:highlight w:val="yellow"/>
          <w:lang w:val="en-IE"/>
        </w:rPr>
      </w:pPr>
    </w:p>
    <w:p w14:paraId="65AFC834" w14:textId="77777777" w:rsidR="0093530A" w:rsidRPr="0093530A" w:rsidRDefault="009E32E1" w:rsidP="0098577B">
      <w:pPr>
        <w:pStyle w:val="Heading2"/>
      </w:pPr>
      <w:r>
        <w:lastRenderedPageBreak/>
        <w:t>Architecture</w:t>
      </w:r>
    </w:p>
    <w:p w14:paraId="23A06A2E" w14:textId="77777777" w:rsidR="00DA27BA" w:rsidRDefault="00DA27BA" w:rsidP="00DA27BA">
      <w:bookmarkStart w:id="2" w:name="_Hlk132023827"/>
      <w:r>
        <w:t xml:space="preserve">The following diagram illustrates the </w:t>
      </w:r>
      <w:r w:rsidR="009E32E1">
        <w:t>architecture for the solution</w:t>
      </w:r>
      <w:r>
        <w:t xml:space="preserve">. </w:t>
      </w:r>
    </w:p>
    <w:p w14:paraId="595FB762" w14:textId="6DFD6372" w:rsidR="00311077" w:rsidRDefault="00311077" w:rsidP="00DA27BA">
      <w:r>
        <w:rPr>
          <w:noProof/>
        </w:rPr>
        <w:drawing>
          <wp:inline distT="0" distB="0" distL="0" distR="0" wp14:anchorId="2CDD0EF1" wp14:editId="6906694A">
            <wp:extent cx="5943600" cy="3072765"/>
            <wp:effectExtent l="0" t="0" r="0" b="0"/>
            <wp:docPr id="1161739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39481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57F4" w14:textId="4558260C" w:rsidR="001539F5" w:rsidRDefault="001539F5" w:rsidP="00DA27BA">
      <w:r>
        <w:rPr>
          <w:noProof/>
        </w:rPr>
        <w:drawing>
          <wp:inline distT="0" distB="0" distL="0" distR="0" wp14:anchorId="61B87B17" wp14:editId="221C9363">
            <wp:extent cx="5943600" cy="3150870"/>
            <wp:effectExtent l="0" t="0" r="0" b="0"/>
            <wp:docPr id="16183322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32280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9992" w14:textId="0D8349FA" w:rsidR="001539F5" w:rsidRDefault="001539F5" w:rsidP="00DA27BA">
      <w:r>
        <w:rPr>
          <w:noProof/>
        </w:rPr>
        <w:lastRenderedPageBreak/>
        <w:drawing>
          <wp:inline distT="0" distB="0" distL="0" distR="0" wp14:anchorId="00B9B2E6" wp14:editId="21E32559">
            <wp:extent cx="5943600" cy="3416935"/>
            <wp:effectExtent l="0" t="0" r="0" b="0"/>
            <wp:docPr id="89198685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86855" name="Picture 4" descr="A screen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F2F0" w14:textId="51154A24" w:rsidR="00513B1D" w:rsidRDefault="00513B1D" w:rsidP="00DA27BA">
      <w:r w:rsidRPr="00513B1D">
        <w:t xml:space="preserve">Download a PowerPoint file with this architecture. </w:t>
      </w:r>
      <w:hyperlink r:id="rId13" w:history="1">
        <w:r w:rsidR="005F0479" w:rsidRPr="005F0479">
          <w:rPr>
            <w:rStyle w:val="Hyperlink"/>
          </w:rPr>
          <w:t>graphics-reference-architecture</w:t>
        </w:r>
      </w:hyperlink>
    </w:p>
    <w:p w14:paraId="5EDCD061" w14:textId="56FA2270" w:rsidR="009E32E1" w:rsidRDefault="000A2C1F" w:rsidP="009E32E1">
      <w:pPr>
        <w:pStyle w:val="Heading2"/>
      </w:pPr>
      <w:r>
        <w:t>Work</w:t>
      </w:r>
      <w:r w:rsidR="009E32E1" w:rsidRPr="009E32E1">
        <w:t>flow</w:t>
      </w:r>
    </w:p>
    <w:bookmarkEnd w:id="2"/>
    <w:p w14:paraId="4DB1A442" w14:textId="77777777" w:rsidR="003C2CE8" w:rsidRPr="00370EC5" w:rsidRDefault="003C2CE8" w:rsidP="003C2CE8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IE"/>
        </w:rPr>
      </w:pPr>
      <w:r w:rsidRPr="00370EC5">
        <w:rPr>
          <w:rFonts w:ascii="Calibri" w:hAnsi="Calibri" w:cs="Calibri"/>
          <w:b/>
          <w:bCs/>
          <w:lang w:val="en-IE"/>
        </w:rPr>
        <w:t>User Opens Browser</w:t>
      </w:r>
    </w:p>
    <w:p w14:paraId="32F75BA2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The user opens a web browser and navigates to </w:t>
      </w:r>
      <w:r w:rsidRPr="00370EC5">
        <w:rPr>
          <w:rFonts w:ascii="Calibri" w:hAnsi="Calibri" w:cs="Calibri"/>
          <w:b/>
          <w:bCs/>
          <w:lang w:val="en-IE"/>
        </w:rPr>
        <w:t>Dynamics 365 Customer Service</w:t>
      </w:r>
      <w:r w:rsidRPr="00370EC5">
        <w:rPr>
          <w:rFonts w:ascii="Calibri" w:hAnsi="Calibri" w:cs="Calibri"/>
          <w:lang w:val="en-IE"/>
        </w:rPr>
        <w:t>.</w:t>
      </w:r>
    </w:p>
    <w:p w14:paraId="56831FA8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An </w:t>
      </w:r>
      <w:r w:rsidRPr="00370EC5">
        <w:rPr>
          <w:rFonts w:ascii="Calibri" w:hAnsi="Calibri" w:cs="Calibri"/>
          <w:b/>
          <w:bCs/>
          <w:lang w:val="en-IE"/>
        </w:rPr>
        <w:t>iframe within Dynamics 365</w:t>
      </w:r>
      <w:r w:rsidRPr="00370EC5">
        <w:rPr>
          <w:rFonts w:ascii="Calibri" w:hAnsi="Calibri" w:cs="Calibri"/>
          <w:lang w:val="en-IE"/>
        </w:rPr>
        <w:t xml:space="preserve"> tries to load an external secure resource.</w:t>
      </w:r>
    </w:p>
    <w:p w14:paraId="7F6246A5" w14:textId="77777777" w:rsidR="003C2CE8" w:rsidRPr="00370EC5" w:rsidRDefault="003C2CE8" w:rsidP="003C2CE8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IE"/>
        </w:rPr>
      </w:pPr>
      <w:r w:rsidRPr="00370EC5">
        <w:rPr>
          <w:rFonts w:ascii="Calibri" w:hAnsi="Calibri" w:cs="Calibri"/>
          <w:b/>
          <w:bCs/>
          <w:lang w:val="en-IE"/>
        </w:rPr>
        <w:t>Request Access to Source</w:t>
      </w:r>
    </w:p>
    <w:p w14:paraId="783D273E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The </w:t>
      </w:r>
      <w:r w:rsidRPr="00370EC5">
        <w:rPr>
          <w:rFonts w:ascii="Calibri" w:hAnsi="Calibri" w:cs="Calibri"/>
          <w:b/>
          <w:bCs/>
          <w:lang w:val="en-IE"/>
        </w:rPr>
        <w:t>embedded iframe inside Dynamics 365</w:t>
      </w:r>
      <w:r w:rsidRPr="00370EC5">
        <w:rPr>
          <w:rFonts w:ascii="Calibri" w:hAnsi="Calibri" w:cs="Calibri"/>
          <w:lang w:val="en-IE"/>
        </w:rPr>
        <w:t xml:space="preserve"> attempts to access a </w:t>
      </w:r>
      <w:r w:rsidRPr="00370EC5">
        <w:rPr>
          <w:rFonts w:ascii="Calibri" w:hAnsi="Calibri" w:cs="Calibri"/>
          <w:b/>
          <w:bCs/>
          <w:lang w:val="en-IE"/>
        </w:rPr>
        <w:t>protected resource</w:t>
      </w:r>
      <w:r w:rsidRPr="00370EC5">
        <w:rPr>
          <w:rFonts w:ascii="Calibri" w:hAnsi="Calibri" w:cs="Calibri"/>
          <w:lang w:val="en-IE"/>
        </w:rPr>
        <w:t>.</w:t>
      </w:r>
    </w:p>
    <w:p w14:paraId="5D1766BD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Since the user is not authenticated, Dynamics 365 triggers an </w:t>
      </w:r>
      <w:r w:rsidRPr="00370EC5">
        <w:rPr>
          <w:rFonts w:ascii="Calibri" w:hAnsi="Calibri" w:cs="Calibri"/>
          <w:b/>
          <w:bCs/>
          <w:lang w:val="en-IE"/>
        </w:rPr>
        <w:t>authentication request</w:t>
      </w:r>
      <w:r w:rsidRPr="00370EC5">
        <w:rPr>
          <w:rFonts w:ascii="Calibri" w:hAnsi="Calibri" w:cs="Calibri"/>
          <w:lang w:val="en-IE"/>
        </w:rPr>
        <w:t>.</w:t>
      </w:r>
    </w:p>
    <w:p w14:paraId="65CD4C2E" w14:textId="77777777" w:rsidR="003C2CE8" w:rsidRPr="00370EC5" w:rsidRDefault="003C2CE8" w:rsidP="003C2CE8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IE"/>
        </w:rPr>
      </w:pPr>
      <w:r w:rsidRPr="00370EC5">
        <w:rPr>
          <w:rFonts w:ascii="Calibri" w:hAnsi="Calibri" w:cs="Calibri"/>
          <w:b/>
          <w:bCs/>
          <w:lang w:val="en-IE"/>
        </w:rPr>
        <w:t>Dynamics 365 Generates a SAML Authorization Request</w:t>
      </w:r>
    </w:p>
    <w:p w14:paraId="0FF073A7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Dynamics 365 (acting as the </w:t>
      </w:r>
      <w:r w:rsidRPr="00370EC5">
        <w:rPr>
          <w:rFonts w:ascii="Calibri" w:hAnsi="Calibri" w:cs="Calibri"/>
          <w:b/>
          <w:bCs/>
          <w:lang w:val="en-IE"/>
        </w:rPr>
        <w:t>Web App Service Provider</w:t>
      </w:r>
      <w:r w:rsidRPr="00370EC5">
        <w:rPr>
          <w:rFonts w:ascii="Calibri" w:hAnsi="Calibri" w:cs="Calibri"/>
          <w:lang w:val="en-IE"/>
        </w:rPr>
        <w:t xml:space="preserve">) </w:t>
      </w:r>
      <w:r w:rsidRPr="00370EC5">
        <w:rPr>
          <w:rFonts w:ascii="Calibri" w:hAnsi="Calibri" w:cs="Calibri"/>
          <w:b/>
          <w:bCs/>
          <w:lang w:val="en-IE"/>
        </w:rPr>
        <w:t>generates a SAML authentication request</w:t>
      </w:r>
      <w:r w:rsidRPr="00370EC5">
        <w:rPr>
          <w:rFonts w:ascii="Calibri" w:hAnsi="Calibri" w:cs="Calibri"/>
          <w:lang w:val="en-IE"/>
        </w:rPr>
        <w:t>.</w:t>
      </w:r>
    </w:p>
    <w:p w14:paraId="16919993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The request is </w:t>
      </w:r>
      <w:r w:rsidRPr="00370EC5">
        <w:rPr>
          <w:rFonts w:ascii="Calibri" w:hAnsi="Calibri" w:cs="Calibri"/>
          <w:b/>
          <w:bCs/>
          <w:lang w:val="en-IE"/>
        </w:rPr>
        <w:t>redirected to Microsoft Entra ID</w:t>
      </w:r>
      <w:r w:rsidRPr="00370EC5">
        <w:rPr>
          <w:rFonts w:ascii="Calibri" w:hAnsi="Calibri" w:cs="Calibri"/>
          <w:lang w:val="en-IE"/>
        </w:rPr>
        <w:t xml:space="preserve">, the </w:t>
      </w:r>
      <w:r w:rsidRPr="00370EC5">
        <w:rPr>
          <w:rFonts w:ascii="Calibri" w:hAnsi="Calibri" w:cs="Calibri"/>
          <w:b/>
          <w:bCs/>
          <w:lang w:val="en-IE"/>
        </w:rPr>
        <w:t>SAML Identity Provider (IdP)</w:t>
      </w:r>
      <w:r w:rsidRPr="00370EC5">
        <w:rPr>
          <w:rFonts w:ascii="Calibri" w:hAnsi="Calibri" w:cs="Calibri"/>
          <w:lang w:val="en-IE"/>
        </w:rPr>
        <w:t>.</w:t>
      </w:r>
    </w:p>
    <w:p w14:paraId="6ABD4FF3" w14:textId="77777777" w:rsidR="003C2CE8" w:rsidRPr="00370EC5" w:rsidRDefault="003C2CE8" w:rsidP="003C2CE8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IE"/>
        </w:rPr>
      </w:pPr>
      <w:r w:rsidRPr="00370EC5">
        <w:rPr>
          <w:rFonts w:ascii="Calibri" w:hAnsi="Calibri" w:cs="Calibri"/>
          <w:b/>
          <w:bCs/>
          <w:lang w:val="en-IE"/>
        </w:rPr>
        <w:t>User Authenticated in Microsoft Entra ID</w:t>
      </w:r>
    </w:p>
    <w:p w14:paraId="7BB11C47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Microsoft Entra ID prompts the </w:t>
      </w:r>
      <w:r w:rsidRPr="00370EC5">
        <w:rPr>
          <w:rFonts w:ascii="Calibri" w:hAnsi="Calibri" w:cs="Calibri"/>
          <w:b/>
          <w:bCs/>
          <w:lang w:val="en-IE"/>
        </w:rPr>
        <w:t>user to log in</w:t>
      </w:r>
      <w:r w:rsidRPr="00370EC5">
        <w:rPr>
          <w:rFonts w:ascii="Calibri" w:hAnsi="Calibri" w:cs="Calibri"/>
          <w:lang w:val="en-IE"/>
        </w:rPr>
        <w:t xml:space="preserve"> if they are not already authenticated.</w:t>
      </w:r>
    </w:p>
    <w:p w14:paraId="5496CB6C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If the user has an active session, </w:t>
      </w:r>
      <w:r w:rsidRPr="00370EC5">
        <w:rPr>
          <w:rFonts w:ascii="Calibri" w:hAnsi="Calibri" w:cs="Calibri"/>
          <w:b/>
          <w:bCs/>
          <w:lang w:val="en-IE"/>
        </w:rPr>
        <w:t>silent authentication occurs automatically</w:t>
      </w:r>
      <w:r w:rsidRPr="00370EC5">
        <w:rPr>
          <w:rFonts w:ascii="Calibri" w:hAnsi="Calibri" w:cs="Calibri"/>
          <w:lang w:val="en-IE"/>
        </w:rPr>
        <w:t>.</w:t>
      </w:r>
    </w:p>
    <w:p w14:paraId="3806E359" w14:textId="77777777" w:rsidR="003C2CE8" w:rsidRPr="00370EC5" w:rsidRDefault="003C2CE8" w:rsidP="003C2CE8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IE"/>
        </w:rPr>
      </w:pPr>
      <w:r w:rsidRPr="00370EC5">
        <w:rPr>
          <w:rFonts w:ascii="Calibri" w:hAnsi="Calibri" w:cs="Calibri"/>
          <w:b/>
          <w:bCs/>
          <w:lang w:val="en-IE"/>
        </w:rPr>
        <w:t>Microsoft Entra ID Issues a SAML Token</w:t>
      </w:r>
    </w:p>
    <w:p w14:paraId="7B4CA37F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Once authentication is successful, </w:t>
      </w:r>
      <w:r w:rsidRPr="00370EC5">
        <w:rPr>
          <w:rFonts w:ascii="Calibri" w:hAnsi="Calibri" w:cs="Calibri"/>
          <w:b/>
          <w:bCs/>
          <w:lang w:val="en-IE"/>
        </w:rPr>
        <w:t>Microsoft Entra ID generates a SAML token</w:t>
      </w:r>
      <w:r w:rsidRPr="00370EC5">
        <w:rPr>
          <w:rFonts w:ascii="Calibri" w:hAnsi="Calibri" w:cs="Calibri"/>
          <w:lang w:val="en-IE"/>
        </w:rPr>
        <w:t>.</w:t>
      </w:r>
    </w:p>
    <w:p w14:paraId="46293AFE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lastRenderedPageBreak/>
        <w:t xml:space="preserve">This token contains </w:t>
      </w:r>
      <w:r w:rsidRPr="00370EC5">
        <w:rPr>
          <w:rFonts w:ascii="Calibri" w:hAnsi="Calibri" w:cs="Calibri"/>
          <w:b/>
          <w:bCs/>
          <w:lang w:val="en-IE"/>
        </w:rPr>
        <w:t>user claims and access permissions</w:t>
      </w:r>
      <w:r w:rsidRPr="00370EC5">
        <w:rPr>
          <w:rFonts w:ascii="Calibri" w:hAnsi="Calibri" w:cs="Calibri"/>
          <w:lang w:val="en-IE"/>
        </w:rPr>
        <w:t>.</w:t>
      </w:r>
    </w:p>
    <w:p w14:paraId="36C905DB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The token is sent back to </w:t>
      </w:r>
      <w:r w:rsidRPr="00370EC5">
        <w:rPr>
          <w:rFonts w:ascii="Calibri" w:hAnsi="Calibri" w:cs="Calibri"/>
          <w:b/>
          <w:bCs/>
          <w:lang w:val="en-IE"/>
        </w:rPr>
        <w:t>Dynamics 365 Customer Service</w:t>
      </w:r>
      <w:r w:rsidRPr="00370EC5">
        <w:rPr>
          <w:rFonts w:ascii="Calibri" w:hAnsi="Calibri" w:cs="Calibri"/>
          <w:lang w:val="en-IE"/>
        </w:rPr>
        <w:t>.</w:t>
      </w:r>
    </w:p>
    <w:p w14:paraId="58F26565" w14:textId="77777777" w:rsidR="003C2CE8" w:rsidRPr="00370EC5" w:rsidRDefault="003C2CE8" w:rsidP="003C2CE8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IE"/>
        </w:rPr>
      </w:pPr>
      <w:r w:rsidRPr="00370EC5">
        <w:rPr>
          <w:rFonts w:ascii="Calibri" w:hAnsi="Calibri" w:cs="Calibri"/>
          <w:b/>
          <w:bCs/>
          <w:lang w:val="en-IE"/>
        </w:rPr>
        <w:t>Dynamics 365 Redirects the Token</w:t>
      </w:r>
    </w:p>
    <w:p w14:paraId="6628AE6D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The </w:t>
      </w:r>
      <w:r w:rsidRPr="00370EC5">
        <w:rPr>
          <w:rFonts w:ascii="Calibri" w:hAnsi="Calibri" w:cs="Calibri"/>
          <w:b/>
          <w:bCs/>
          <w:lang w:val="en-IE"/>
        </w:rPr>
        <w:t>SAML token is passed back to the iframe or requesting application</w:t>
      </w:r>
      <w:r w:rsidRPr="00370EC5">
        <w:rPr>
          <w:rFonts w:ascii="Calibri" w:hAnsi="Calibri" w:cs="Calibri"/>
          <w:lang w:val="en-IE"/>
        </w:rPr>
        <w:t>.</w:t>
      </w:r>
    </w:p>
    <w:p w14:paraId="41B88A87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This allows the </w:t>
      </w:r>
      <w:r w:rsidRPr="00370EC5">
        <w:rPr>
          <w:rFonts w:ascii="Calibri" w:hAnsi="Calibri" w:cs="Calibri"/>
          <w:b/>
          <w:bCs/>
          <w:lang w:val="en-IE"/>
        </w:rPr>
        <w:t>secure session to be established</w:t>
      </w:r>
      <w:r w:rsidRPr="00370EC5">
        <w:rPr>
          <w:rFonts w:ascii="Calibri" w:hAnsi="Calibri" w:cs="Calibri"/>
          <w:lang w:val="en-IE"/>
        </w:rPr>
        <w:t>.</w:t>
      </w:r>
    </w:p>
    <w:p w14:paraId="5FA72B57" w14:textId="77777777" w:rsidR="003C2CE8" w:rsidRPr="00370EC5" w:rsidRDefault="003C2CE8" w:rsidP="003C2CE8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IE"/>
        </w:rPr>
      </w:pPr>
      <w:r w:rsidRPr="00370EC5">
        <w:rPr>
          <w:rFonts w:ascii="Calibri" w:hAnsi="Calibri" w:cs="Calibri"/>
          <w:b/>
          <w:bCs/>
          <w:lang w:val="en-IE"/>
        </w:rPr>
        <w:t>Dynamics 365 Validates the SAML Response and Token</w:t>
      </w:r>
    </w:p>
    <w:p w14:paraId="2B36A1B1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Dynamics 365 checks the </w:t>
      </w:r>
      <w:r w:rsidRPr="00370EC5">
        <w:rPr>
          <w:rFonts w:ascii="Calibri" w:hAnsi="Calibri" w:cs="Calibri"/>
          <w:b/>
          <w:bCs/>
          <w:lang w:val="en-IE"/>
        </w:rPr>
        <w:t>token signature, expiration, and claims</w:t>
      </w:r>
      <w:r w:rsidRPr="00370EC5">
        <w:rPr>
          <w:rFonts w:ascii="Calibri" w:hAnsi="Calibri" w:cs="Calibri"/>
          <w:lang w:val="en-IE"/>
        </w:rPr>
        <w:t xml:space="preserve"> to ensure the user is authorized.</w:t>
      </w:r>
    </w:p>
    <w:p w14:paraId="69E5CB28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>If validation fails, authentication is rejected.</w:t>
      </w:r>
    </w:p>
    <w:p w14:paraId="2FAF9ECA" w14:textId="77777777" w:rsidR="003C2CE8" w:rsidRPr="00370EC5" w:rsidRDefault="003C2CE8" w:rsidP="003C2CE8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lang w:val="en-IE"/>
        </w:rPr>
      </w:pPr>
      <w:r w:rsidRPr="00370EC5">
        <w:rPr>
          <w:rFonts w:ascii="Calibri" w:hAnsi="Calibri" w:cs="Calibri"/>
          <w:b/>
          <w:bCs/>
          <w:lang w:val="en-IE"/>
        </w:rPr>
        <w:t>Secure Page is Returned to the User</w:t>
      </w:r>
    </w:p>
    <w:p w14:paraId="7F6B7C60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If the token is </w:t>
      </w:r>
      <w:r w:rsidRPr="00370EC5">
        <w:rPr>
          <w:rFonts w:ascii="Calibri" w:hAnsi="Calibri" w:cs="Calibri"/>
          <w:b/>
          <w:bCs/>
          <w:lang w:val="en-IE"/>
        </w:rPr>
        <w:t>valid</w:t>
      </w:r>
      <w:r w:rsidRPr="00370EC5">
        <w:rPr>
          <w:rFonts w:ascii="Calibri" w:hAnsi="Calibri" w:cs="Calibri"/>
          <w:lang w:val="en-IE"/>
        </w:rPr>
        <w:t xml:space="preserve">, Dynamics 365 grants access to the </w:t>
      </w:r>
      <w:r w:rsidRPr="00370EC5">
        <w:rPr>
          <w:rFonts w:ascii="Calibri" w:hAnsi="Calibri" w:cs="Calibri"/>
          <w:b/>
          <w:bCs/>
          <w:lang w:val="en-IE"/>
        </w:rPr>
        <w:t>requested secure resource</w:t>
      </w:r>
      <w:r w:rsidRPr="00370EC5">
        <w:rPr>
          <w:rFonts w:ascii="Calibri" w:hAnsi="Calibri" w:cs="Calibri"/>
          <w:lang w:val="en-IE"/>
        </w:rPr>
        <w:t>.</w:t>
      </w:r>
    </w:p>
    <w:p w14:paraId="598F7CA3" w14:textId="77777777" w:rsidR="003C2CE8" w:rsidRPr="00370EC5" w:rsidRDefault="003C2CE8" w:rsidP="003C2CE8">
      <w:pPr>
        <w:numPr>
          <w:ilvl w:val="1"/>
          <w:numId w:val="31"/>
        </w:numPr>
        <w:rPr>
          <w:rFonts w:ascii="Calibri" w:hAnsi="Calibri" w:cs="Calibri"/>
          <w:lang w:val="en-IE"/>
        </w:rPr>
      </w:pPr>
      <w:r w:rsidRPr="00370EC5">
        <w:rPr>
          <w:rFonts w:ascii="Calibri" w:hAnsi="Calibri" w:cs="Calibri"/>
          <w:lang w:val="en-IE"/>
        </w:rPr>
        <w:t xml:space="preserve">The secure content is loaded inside the </w:t>
      </w:r>
      <w:r w:rsidRPr="00370EC5">
        <w:rPr>
          <w:rFonts w:ascii="Calibri" w:hAnsi="Calibri" w:cs="Calibri"/>
          <w:b/>
          <w:bCs/>
          <w:lang w:val="en-IE"/>
        </w:rPr>
        <w:t>iframe within Dynamics 365</w:t>
      </w:r>
      <w:r w:rsidRPr="00370EC5">
        <w:rPr>
          <w:rFonts w:ascii="Calibri" w:hAnsi="Calibri" w:cs="Calibri"/>
          <w:lang w:val="en-IE"/>
        </w:rPr>
        <w:t>.</w:t>
      </w:r>
    </w:p>
    <w:p w14:paraId="0C13E7F4" w14:textId="77777777" w:rsidR="009E32E1" w:rsidRDefault="009E32E1" w:rsidP="00197341">
      <w:pPr>
        <w:pStyle w:val="Heading2"/>
      </w:pPr>
      <w:r>
        <w:t>Components</w:t>
      </w:r>
    </w:p>
    <w:p w14:paraId="72B63110" w14:textId="77777777" w:rsidR="009E32E1" w:rsidRDefault="009E32E1" w:rsidP="009E32E1">
      <w:r>
        <w:t>The following components are used in the reference architecture.</w:t>
      </w:r>
    </w:p>
    <w:p w14:paraId="748E573B" w14:textId="46B62090" w:rsidR="004439ED" w:rsidRPr="004439ED" w:rsidRDefault="004439ED" w:rsidP="004439ED">
      <w:pPr>
        <w:numPr>
          <w:ilvl w:val="0"/>
          <w:numId w:val="32"/>
        </w:numPr>
        <w:rPr>
          <w:lang w:val="en-IE"/>
        </w:rPr>
      </w:pPr>
      <w:hyperlink r:id="rId14" w:history="1">
        <w:r w:rsidRPr="004439ED">
          <w:rPr>
            <w:rStyle w:val="Hyperlink"/>
            <w:b/>
            <w:bCs/>
            <w:lang w:val="en-IE"/>
          </w:rPr>
          <w:t>Dynamics 365 Customer Service</w:t>
        </w:r>
      </w:hyperlink>
      <w:r w:rsidRPr="004439ED">
        <w:rPr>
          <w:lang w:val="en-IE"/>
        </w:rPr>
        <w:t xml:space="preserve"> - Core CRM system providing centralized customer interaction management.</w:t>
      </w:r>
    </w:p>
    <w:p w14:paraId="13B556D7" w14:textId="1FAEDDBD" w:rsidR="004439ED" w:rsidRPr="004439ED" w:rsidRDefault="004439ED" w:rsidP="004439ED">
      <w:pPr>
        <w:numPr>
          <w:ilvl w:val="0"/>
          <w:numId w:val="32"/>
        </w:numPr>
        <w:rPr>
          <w:lang w:val="en-IE"/>
        </w:rPr>
      </w:pPr>
      <w:hyperlink r:id="rId15" w:history="1">
        <w:r w:rsidRPr="004439ED">
          <w:rPr>
            <w:rStyle w:val="Hyperlink"/>
            <w:b/>
            <w:bCs/>
            <w:lang w:val="en-IE"/>
          </w:rPr>
          <w:t>EntraID</w:t>
        </w:r>
      </w:hyperlink>
      <w:r w:rsidRPr="004439ED">
        <w:rPr>
          <w:lang w:val="en-IE"/>
        </w:rPr>
        <w:t xml:space="preserve"> - Identity and access management system handling authentication and security.</w:t>
      </w:r>
    </w:p>
    <w:p w14:paraId="3FE59499" w14:textId="0F0BA52D" w:rsidR="004439ED" w:rsidRPr="00A07B6C" w:rsidRDefault="004439ED" w:rsidP="00197341">
      <w:pPr>
        <w:numPr>
          <w:ilvl w:val="0"/>
          <w:numId w:val="32"/>
        </w:numPr>
        <w:rPr>
          <w:lang w:val="en-IE"/>
        </w:rPr>
      </w:pPr>
      <w:hyperlink r:id="rId16" w:history="1">
        <w:r w:rsidRPr="004439ED">
          <w:rPr>
            <w:rStyle w:val="Hyperlink"/>
            <w:b/>
            <w:bCs/>
            <w:lang w:val="en-IE"/>
          </w:rPr>
          <w:t>MSAL</w:t>
        </w:r>
      </w:hyperlink>
      <w:r w:rsidRPr="004439ED">
        <w:rPr>
          <w:lang w:val="en-IE"/>
        </w:rPr>
        <w:t xml:space="preserve"> - Authentication library enabling seamless Single Sign-On (SSO) for third-party apps.</w:t>
      </w:r>
    </w:p>
    <w:p w14:paraId="7BFB1ABC" w14:textId="40FFD216" w:rsidR="003C2C41" w:rsidRDefault="002217E7" w:rsidP="003C2C41">
      <w:pPr>
        <w:pStyle w:val="Heading2"/>
      </w:pPr>
      <w:r>
        <w:t>Scenario details</w:t>
      </w:r>
    </w:p>
    <w:p w14:paraId="546EA1DD" w14:textId="3B3A5A6A" w:rsidR="003C2C41" w:rsidRPr="003C2C41" w:rsidRDefault="003C2C41" w:rsidP="003C2C41">
      <w:pPr>
        <w:rPr>
          <w:lang w:val="en-IE"/>
        </w:rPr>
      </w:pPr>
      <w:r>
        <w:rPr>
          <w:lang w:val="en-IE"/>
        </w:rPr>
        <w:t>The</w:t>
      </w:r>
      <w:r w:rsidRPr="003C2C41">
        <w:rPr>
          <w:lang w:val="en-IE"/>
        </w:rPr>
        <w:t xml:space="preserve"> users required an efficient method to interact with </w:t>
      </w:r>
      <w:r w:rsidRPr="003C2C41">
        <w:rPr>
          <w:b/>
          <w:bCs/>
          <w:lang w:val="en-IE"/>
        </w:rPr>
        <w:t>third-party applications</w:t>
      </w:r>
      <w:r w:rsidRPr="003C2C41">
        <w:rPr>
          <w:lang w:val="en-IE"/>
        </w:rPr>
        <w:t xml:space="preserve"> directly within Dynamics 365 without switching between multiple windows</w:t>
      </w:r>
      <w:r w:rsidR="009F3245">
        <w:rPr>
          <w:lang w:val="en-IE"/>
        </w:rPr>
        <w:t xml:space="preserve"> while maintaining security control with</w:t>
      </w:r>
      <w:r w:rsidR="00820C07">
        <w:rPr>
          <w:lang w:val="en-IE"/>
        </w:rPr>
        <w:t>in their present authentication identity provider (EntraID)</w:t>
      </w:r>
      <w:r w:rsidRPr="003C2C41">
        <w:rPr>
          <w:lang w:val="en-IE"/>
        </w:rPr>
        <w:t>.</w:t>
      </w:r>
    </w:p>
    <w:p w14:paraId="334490D9" w14:textId="77777777" w:rsidR="003C2C41" w:rsidRPr="003C2C41" w:rsidRDefault="003C2C41" w:rsidP="003C2C41">
      <w:pPr>
        <w:rPr>
          <w:b/>
          <w:bCs/>
          <w:lang w:val="en-IE"/>
        </w:rPr>
      </w:pPr>
      <w:r w:rsidRPr="003C2C41">
        <w:rPr>
          <w:b/>
          <w:bCs/>
          <w:lang w:val="en-IE"/>
        </w:rPr>
        <w:t>Customer Goals</w:t>
      </w:r>
    </w:p>
    <w:p w14:paraId="6875AE72" w14:textId="77777777" w:rsidR="003C2C41" w:rsidRPr="003C2C41" w:rsidRDefault="003C2C41" w:rsidP="003C2C41">
      <w:pPr>
        <w:numPr>
          <w:ilvl w:val="0"/>
          <w:numId w:val="33"/>
        </w:numPr>
        <w:rPr>
          <w:lang w:val="en-IE"/>
        </w:rPr>
      </w:pPr>
      <w:r w:rsidRPr="003C2C41">
        <w:rPr>
          <w:lang w:val="en-IE"/>
        </w:rPr>
        <w:t xml:space="preserve">Provide a seamless </w:t>
      </w:r>
      <w:r w:rsidRPr="003C2C41">
        <w:rPr>
          <w:b/>
          <w:bCs/>
          <w:lang w:val="en-IE"/>
        </w:rPr>
        <w:t>integrated experience</w:t>
      </w:r>
      <w:r w:rsidRPr="003C2C41">
        <w:rPr>
          <w:lang w:val="en-IE"/>
        </w:rPr>
        <w:t xml:space="preserve"> for users working in Dynamics 365</w:t>
      </w:r>
    </w:p>
    <w:p w14:paraId="1FB07040" w14:textId="612C461E" w:rsidR="003C2C41" w:rsidRPr="003C2C41" w:rsidRDefault="003C2C41" w:rsidP="003C2C41">
      <w:pPr>
        <w:numPr>
          <w:ilvl w:val="0"/>
          <w:numId w:val="33"/>
        </w:numPr>
        <w:rPr>
          <w:lang w:val="en-IE"/>
        </w:rPr>
      </w:pPr>
      <w:r w:rsidRPr="003C2C41">
        <w:rPr>
          <w:lang w:val="en-IE"/>
        </w:rPr>
        <w:t xml:space="preserve">Ensure </w:t>
      </w:r>
      <w:r w:rsidRPr="003C2C41">
        <w:rPr>
          <w:b/>
          <w:bCs/>
          <w:lang w:val="en-IE"/>
        </w:rPr>
        <w:t>secure and controlled authentication</w:t>
      </w:r>
      <w:r w:rsidRPr="003C2C41">
        <w:rPr>
          <w:lang w:val="en-IE"/>
        </w:rPr>
        <w:t xml:space="preserve"> via </w:t>
      </w:r>
      <w:r w:rsidRPr="003C2C41">
        <w:rPr>
          <w:b/>
          <w:bCs/>
          <w:lang w:val="en-IE"/>
        </w:rPr>
        <w:t>MSAL-based SSO</w:t>
      </w:r>
      <w:r w:rsidR="00820C07">
        <w:rPr>
          <w:b/>
          <w:bCs/>
          <w:lang w:val="en-IE"/>
        </w:rPr>
        <w:t xml:space="preserve"> </w:t>
      </w:r>
      <w:r w:rsidR="00820C07" w:rsidRPr="00820C07">
        <w:rPr>
          <w:lang w:val="en-IE"/>
        </w:rPr>
        <w:t>and</w:t>
      </w:r>
      <w:r w:rsidR="00820C07">
        <w:rPr>
          <w:b/>
          <w:bCs/>
          <w:lang w:val="en-IE"/>
        </w:rPr>
        <w:t xml:space="preserve"> EntraID</w:t>
      </w:r>
    </w:p>
    <w:p w14:paraId="6B0C28EF" w14:textId="77777777" w:rsidR="003C2C41" w:rsidRPr="003C2C41" w:rsidRDefault="003C2C41" w:rsidP="003C2C41">
      <w:pPr>
        <w:rPr>
          <w:lang w:val="en-IE"/>
        </w:rPr>
      </w:pPr>
    </w:p>
    <w:p w14:paraId="49B0C55F" w14:textId="2D1AE620" w:rsidR="002217E7" w:rsidRDefault="002217E7" w:rsidP="002217E7">
      <w:pPr>
        <w:pStyle w:val="Heading3"/>
      </w:pPr>
      <w:r>
        <w:t>Potential use cases</w:t>
      </w:r>
    </w:p>
    <w:p w14:paraId="4C1DCB7E" w14:textId="77777777" w:rsidR="004917E1" w:rsidRPr="004917E1" w:rsidRDefault="004917E1" w:rsidP="004917E1">
      <w:pPr>
        <w:rPr>
          <w:lang w:val="en-IE"/>
        </w:rPr>
      </w:pPr>
      <w:r w:rsidRPr="004917E1">
        <w:rPr>
          <w:lang w:val="en-IE"/>
        </w:rPr>
        <w:t xml:space="preserve">This solution was created for a </w:t>
      </w:r>
      <w:r w:rsidRPr="004917E1">
        <w:rPr>
          <w:b/>
          <w:bCs/>
          <w:lang w:val="en-IE"/>
        </w:rPr>
        <w:t>financial services organization</w:t>
      </w:r>
      <w:r w:rsidRPr="004917E1">
        <w:rPr>
          <w:lang w:val="en-IE"/>
        </w:rPr>
        <w:t xml:space="preserve"> that required a centralized authentication system and streamlined access to compliance-related applications. It can also be applied to industries like </w:t>
      </w:r>
      <w:r w:rsidRPr="004917E1">
        <w:rPr>
          <w:b/>
          <w:bCs/>
          <w:lang w:val="en-IE"/>
        </w:rPr>
        <w:t>finance, banking, insurance, and government</w:t>
      </w:r>
      <w:r w:rsidRPr="004917E1">
        <w:rPr>
          <w:lang w:val="en-IE"/>
        </w:rPr>
        <w:t xml:space="preserve">. It can be used by any organization that requires </w:t>
      </w:r>
      <w:r w:rsidRPr="004917E1">
        <w:rPr>
          <w:b/>
          <w:bCs/>
          <w:lang w:val="en-IE"/>
        </w:rPr>
        <w:t>secure, single sign-on authentication and efficient tab management for multiple external applications</w:t>
      </w:r>
      <w:r w:rsidRPr="004917E1">
        <w:rPr>
          <w:lang w:val="en-IE"/>
        </w:rPr>
        <w:t>.</w:t>
      </w:r>
    </w:p>
    <w:p w14:paraId="2E1471C6" w14:textId="77777777" w:rsidR="004917E1" w:rsidRPr="004917E1" w:rsidRDefault="004917E1" w:rsidP="004917E1">
      <w:pPr>
        <w:rPr>
          <w:lang w:val="en-IE"/>
        </w:rPr>
      </w:pPr>
      <w:r w:rsidRPr="004917E1">
        <w:rPr>
          <w:lang w:val="en-IE"/>
        </w:rPr>
        <w:t>You can use this solution to:</w:t>
      </w:r>
    </w:p>
    <w:p w14:paraId="615D79F7" w14:textId="77777777" w:rsidR="004917E1" w:rsidRPr="004917E1" w:rsidRDefault="004917E1" w:rsidP="004917E1">
      <w:pPr>
        <w:numPr>
          <w:ilvl w:val="0"/>
          <w:numId w:val="34"/>
        </w:numPr>
        <w:rPr>
          <w:lang w:val="en-IE"/>
        </w:rPr>
      </w:pPr>
      <w:r w:rsidRPr="004917E1">
        <w:rPr>
          <w:b/>
          <w:bCs/>
          <w:lang w:val="en-IE"/>
        </w:rPr>
        <w:lastRenderedPageBreak/>
        <w:t>Enhance security</w:t>
      </w:r>
      <w:r w:rsidRPr="004917E1">
        <w:rPr>
          <w:lang w:val="en-IE"/>
        </w:rPr>
        <w:t xml:space="preserve"> by integrating MSAL-based SSO authentication within Dynamics 365.</w:t>
      </w:r>
    </w:p>
    <w:p w14:paraId="5A1CEC0B" w14:textId="26C9063A" w:rsidR="004917E1" w:rsidRPr="004917E1" w:rsidRDefault="004917E1" w:rsidP="004917E1">
      <w:pPr>
        <w:numPr>
          <w:ilvl w:val="0"/>
          <w:numId w:val="34"/>
        </w:numPr>
        <w:rPr>
          <w:lang w:val="en-IE"/>
        </w:rPr>
      </w:pPr>
      <w:r w:rsidRPr="004917E1">
        <w:rPr>
          <w:b/>
          <w:bCs/>
          <w:lang w:val="en-IE"/>
        </w:rPr>
        <w:t>Improve user efficiency</w:t>
      </w:r>
      <w:r w:rsidRPr="004917E1">
        <w:rPr>
          <w:lang w:val="en-IE"/>
        </w:rPr>
        <w:t xml:space="preserve"> enabling seamless transitions between applications.</w:t>
      </w:r>
    </w:p>
    <w:p w14:paraId="61220C39" w14:textId="6F6FA5B2" w:rsidR="004917E1" w:rsidRPr="004917E1" w:rsidRDefault="004917E1" w:rsidP="004917E1">
      <w:pPr>
        <w:numPr>
          <w:ilvl w:val="0"/>
          <w:numId w:val="34"/>
        </w:numPr>
        <w:rPr>
          <w:lang w:val="en-IE"/>
        </w:rPr>
      </w:pPr>
      <w:r w:rsidRPr="004917E1">
        <w:rPr>
          <w:b/>
          <w:bCs/>
          <w:lang w:val="en-IE"/>
        </w:rPr>
        <w:t>Ensure compliance</w:t>
      </w:r>
      <w:r w:rsidRPr="004917E1">
        <w:rPr>
          <w:lang w:val="en-IE"/>
        </w:rPr>
        <w:t xml:space="preserve"> by maintaining centralized access logs for all third-party applications used within the CRM.</w:t>
      </w:r>
    </w:p>
    <w:p w14:paraId="51E6EF77" w14:textId="77777777" w:rsidR="002217E7" w:rsidRDefault="002217E7" w:rsidP="00197341">
      <w:pPr>
        <w:pStyle w:val="Heading2"/>
      </w:pPr>
      <w:r>
        <w:t>Considerations</w:t>
      </w:r>
    </w:p>
    <w:p w14:paraId="22976B55" w14:textId="77777777" w:rsidR="009D1143" w:rsidRPr="009D1143" w:rsidRDefault="009D1143" w:rsidP="006258D2">
      <w:r w:rsidRPr="009D1143">
        <w:t xml:space="preserve">These considerations help implement a solution that includes Dynamics 365. Learn more at </w:t>
      </w:r>
      <w:hyperlink r:id="rId17" w:history="1">
        <w:r w:rsidRPr="009D1143">
          <w:rPr>
            <w:rStyle w:val="Hyperlink"/>
          </w:rPr>
          <w:t>Dynamics 365 guidance documentation</w:t>
        </w:r>
      </w:hyperlink>
      <w:r w:rsidRPr="009D1143">
        <w:t>.</w:t>
      </w:r>
    </w:p>
    <w:p w14:paraId="25FD5B0C" w14:textId="77777777" w:rsidR="009D1143" w:rsidRDefault="009D1143" w:rsidP="006258D2">
      <w:pPr>
        <w:pStyle w:val="Heading3"/>
      </w:pPr>
      <w:r>
        <w:t>Cost optimization</w:t>
      </w:r>
    </w:p>
    <w:p w14:paraId="28A0C003" w14:textId="77777777" w:rsidR="009D1143" w:rsidRDefault="009D1143" w:rsidP="009D1143">
      <w:r w:rsidRPr="009D1143">
        <w:t xml:space="preserve">Cost optimization is about looking at ways to reduce unnecessary expenses and improve operational efficiencies. For more information, see </w:t>
      </w:r>
      <w:hyperlink r:id="rId18" w:history="1">
        <w:r w:rsidRPr="009D1143">
          <w:rPr>
            <w:rStyle w:val="Hyperlink"/>
          </w:rPr>
          <w:t>Overview of the cost optimization pilla</w:t>
        </w:r>
      </w:hyperlink>
      <w:r w:rsidRPr="009D1143">
        <w:t>r.</w:t>
      </w:r>
    </w:p>
    <w:p w14:paraId="71E9D952" w14:textId="77777777" w:rsidR="00995A33" w:rsidRPr="00995A33" w:rsidRDefault="00995A33" w:rsidP="00995A33">
      <w:pPr>
        <w:rPr>
          <w:lang w:val="en-IE"/>
        </w:rPr>
      </w:pPr>
      <w:r w:rsidRPr="00995A33">
        <w:rPr>
          <w:lang w:val="en-IE"/>
        </w:rPr>
        <w:t xml:space="preserve">The cost of running this solution depends on the </w:t>
      </w:r>
      <w:r w:rsidRPr="00995A33">
        <w:rPr>
          <w:b/>
          <w:bCs/>
          <w:lang w:val="en-IE"/>
        </w:rPr>
        <w:t>scale of deployment</w:t>
      </w:r>
      <w:r w:rsidRPr="00995A33">
        <w:rPr>
          <w:lang w:val="en-IE"/>
        </w:rPr>
        <w:t xml:space="preserve">, but it can be optimized by leveraging </w:t>
      </w:r>
      <w:r w:rsidRPr="00995A33">
        <w:rPr>
          <w:b/>
          <w:bCs/>
          <w:lang w:val="en-IE"/>
        </w:rPr>
        <w:t>Microsoft’s cloud-based services</w:t>
      </w:r>
      <w:r w:rsidRPr="00995A33">
        <w:rPr>
          <w:lang w:val="en-IE"/>
        </w:rPr>
        <w:t xml:space="preserve"> efficiently.</w:t>
      </w:r>
    </w:p>
    <w:p w14:paraId="2DB5EE4D" w14:textId="77777777" w:rsidR="00995A33" w:rsidRPr="00995A33" w:rsidRDefault="00995A33" w:rsidP="00995A33">
      <w:pPr>
        <w:numPr>
          <w:ilvl w:val="0"/>
          <w:numId w:val="35"/>
        </w:numPr>
        <w:rPr>
          <w:lang w:val="en-IE"/>
        </w:rPr>
      </w:pPr>
      <w:r w:rsidRPr="00995A33">
        <w:rPr>
          <w:b/>
          <w:bCs/>
          <w:lang w:val="en-IE"/>
        </w:rPr>
        <w:t>Identity Management (EntraID &amp; MSAL)</w:t>
      </w:r>
    </w:p>
    <w:p w14:paraId="3783D88A" w14:textId="77777777" w:rsidR="00995A33" w:rsidRPr="00995A33" w:rsidRDefault="00995A33" w:rsidP="00995A33">
      <w:pPr>
        <w:numPr>
          <w:ilvl w:val="1"/>
          <w:numId w:val="35"/>
        </w:numPr>
        <w:rPr>
          <w:lang w:val="en-IE"/>
        </w:rPr>
      </w:pPr>
      <w:r w:rsidRPr="00995A33">
        <w:rPr>
          <w:lang w:val="en-IE"/>
        </w:rPr>
        <w:t xml:space="preserve">Cost is primarily driven by </w:t>
      </w:r>
      <w:r w:rsidRPr="00995A33">
        <w:rPr>
          <w:b/>
          <w:bCs/>
          <w:lang w:val="en-IE"/>
        </w:rPr>
        <w:t>user authentication requests and token exchanges</w:t>
      </w:r>
      <w:r w:rsidRPr="00995A33">
        <w:rPr>
          <w:lang w:val="en-IE"/>
        </w:rPr>
        <w:t>.</w:t>
      </w:r>
    </w:p>
    <w:p w14:paraId="5816F46F" w14:textId="77777777" w:rsidR="00995A33" w:rsidRPr="00995A33" w:rsidRDefault="00995A33" w:rsidP="00995A33">
      <w:pPr>
        <w:numPr>
          <w:ilvl w:val="1"/>
          <w:numId w:val="35"/>
        </w:numPr>
        <w:rPr>
          <w:lang w:val="en-IE"/>
        </w:rPr>
      </w:pPr>
      <w:r w:rsidRPr="00995A33">
        <w:rPr>
          <w:lang w:val="en-IE"/>
        </w:rPr>
        <w:t xml:space="preserve">Scaling is </w:t>
      </w:r>
      <w:r w:rsidRPr="00995A33">
        <w:rPr>
          <w:b/>
          <w:bCs/>
          <w:lang w:val="en-IE"/>
        </w:rPr>
        <w:t>linear</w:t>
      </w:r>
      <w:r w:rsidRPr="00995A33">
        <w:rPr>
          <w:lang w:val="en-IE"/>
        </w:rPr>
        <w:t>, meaning more users lead to a predictable cost increase.</w:t>
      </w:r>
    </w:p>
    <w:p w14:paraId="03AC190D" w14:textId="77777777" w:rsidR="00995A33" w:rsidRPr="00995A33" w:rsidRDefault="00995A33" w:rsidP="00995A33">
      <w:pPr>
        <w:numPr>
          <w:ilvl w:val="1"/>
          <w:numId w:val="35"/>
        </w:numPr>
        <w:rPr>
          <w:lang w:val="en-IE"/>
        </w:rPr>
      </w:pPr>
      <w:r w:rsidRPr="00995A33">
        <w:rPr>
          <w:b/>
          <w:bCs/>
          <w:lang w:val="en-IE"/>
        </w:rPr>
        <w:t>Cost Optimization:</w:t>
      </w:r>
      <w:r w:rsidRPr="00995A33">
        <w:rPr>
          <w:lang w:val="en-IE"/>
        </w:rPr>
        <w:t xml:space="preserve"> Reduce the number of authentication requests by implementing </w:t>
      </w:r>
      <w:r w:rsidRPr="00995A33">
        <w:rPr>
          <w:b/>
          <w:bCs/>
          <w:lang w:val="en-IE"/>
        </w:rPr>
        <w:t>longer session timeouts</w:t>
      </w:r>
      <w:r w:rsidRPr="00995A33">
        <w:rPr>
          <w:lang w:val="en-IE"/>
        </w:rPr>
        <w:t xml:space="preserve"> where security policies allow.</w:t>
      </w:r>
    </w:p>
    <w:p w14:paraId="7C49A936" w14:textId="77777777" w:rsidR="00995A33" w:rsidRPr="00995A33" w:rsidRDefault="00995A33" w:rsidP="00995A33">
      <w:pPr>
        <w:numPr>
          <w:ilvl w:val="0"/>
          <w:numId w:val="35"/>
        </w:numPr>
        <w:rPr>
          <w:lang w:val="en-IE"/>
        </w:rPr>
      </w:pPr>
      <w:r w:rsidRPr="00995A33">
        <w:rPr>
          <w:b/>
          <w:bCs/>
          <w:lang w:val="en-IE"/>
        </w:rPr>
        <w:t>Dynamics 365 Licensing</w:t>
      </w:r>
    </w:p>
    <w:p w14:paraId="30ED843D" w14:textId="77777777" w:rsidR="00995A33" w:rsidRPr="00995A33" w:rsidRDefault="00995A33" w:rsidP="00995A33">
      <w:pPr>
        <w:numPr>
          <w:ilvl w:val="1"/>
          <w:numId w:val="35"/>
        </w:numPr>
        <w:rPr>
          <w:lang w:val="en-IE"/>
        </w:rPr>
      </w:pPr>
      <w:r w:rsidRPr="00995A33">
        <w:rPr>
          <w:lang w:val="en-IE"/>
        </w:rPr>
        <w:t xml:space="preserve">Licensing cost is tied to </w:t>
      </w:r>
      <w:r w:rsidRPr="00995A33">
        <w:rPr>
          <w:b/>
          <w:bCs/>
          <w:lang w:val="en-IE"/>
        </w:rPr>
        <w:t>active user seats</w:t>
      </w:r>
      <w:r w:rsidRPr="00995A33">
        <w:rPr>
          <w:lang w:val="en-IE"/>
        </w:rPr>
        <w:t xml:space="preserve"> and </w:t>
      </w:r>
      <w:r w:rsidRPr="00995A33">
        <w:rPr>
          <w:b/>
          <w:bCs/>
          <w:lang w:val="en-IE"/>
        </w:rPr>
        <w:t>feature usage</w:t>
      </w:r>
      <w:r w:rsidRPr="00995A33">
        <w:rPr>
          <w:lang w:val="en-IE"/>
        </w:rPr>
        <w:t>.</w:t>
      </w:r>
    </w:p>
    <w:p w14:paraId="22F6E94F" w14:textId="77777777" w:rsidR="00995A33" w:rsidRPr="00995A33" w:rsidRDefault="00995A33" w:rsidP="00995A33">
      <w:pPr>
        <w:numPr>
          <w:ilvl w:val="1"/>
          <w:numId w:val="35"/>
        </w:numPr>
        <w:rPr>
          <w:lang w:val="en-IE"/>
        </w:rPr>
      </w:pPr>
      <w:r w:rsidRPr="00995A33">
        <w:rPr>
          <w:lang w:val="en-IE"/>
        </w:rPr>
        <w:t xml:space="preserve">The cost </w:t>
      </w:r>
      <w:r w:rsidRPr="00995A33">
        <w:rPr>
          <w:b/>
          <w:bCs/>
          <w:lang w:val="en-IE"/>
        </w:rPr>
        <w:t>scales per user</w:t>
      </w:r>
      <w:r w:rsidRPr="00995A33">
        <w:rPr>
          <w:lang w:val="en-IE"/>
        </w:rPr>
        <w:t xml:space="preserve">, making </w:t>
      </w:r>
      <w:r w:rsidRPr="00995A33">
        <w:rPr>
          <w:b/>
          <w:bCs/>
          <w:lang w:val="en-IE"/>
        </w:rPr>
        <w:t>proper role-based access control (RBAC)</w:t>
      </w:r>
      <w:r w:rsidRPr="00995A33">
        <w:rPr>
          <w:lang w:val="en-IE"/>
        </w:rPr>
        <w:t xml:space="preserve"> critical.</w:t>
      </w:r>
    </w:p>
    <w:p w14:paraId="75614AAC" w14:textId="77777777" w:rsidR="00995A33" w:rsidRPr="00995A33" w:rsidRDefault="00995A33" w:rsidP="00995A33">
      <w:pPr>
        <w:numPr>
          <w:ilvl w:val="1"/>
          <w:numId w:val="35"/>
        </w:numPr>
        <w:rPr>
          <w:lang w:val="en-IE"/>
        </w:rPr>
      </w:pPr>
      <w:r w:rsidRPr="00995A33">
        <w:rPr>
          <w:b/>
          <w:bCs/>
          <w:lang w:val="en-IE"/>
        </w:rPr>
        <w:t>Cost Optimization:</w:t>
      </w:r>
      <w:r w:rsidRPr="00995A33">
        <w:rPr>
          <w:lang w:val="en-IE"/>
        </w:rPr>
        <w:t xml:space="preserve"> Limit feature access based on user roles to avoid unnecessary premium licensing.</w:t>
      </w:r>
    </w:p>
    <w:p w14:paraId="47429A37" w14:textId="513D7B0A" w:rsidR="002124CD" w:rsidRPr="00995A33" w:rsidRDefault="00995A33" w:rsidP="009D1143">
      <w:pPr>
        <w:rPr>
          <w:lang w:val="en-IE"/>
        </w:rPr>
      </w:pPr>
      <w:r w:rsidRPr="00995A33">
        <w:rPr>
          <w:lang w:val="en-IE"/>
        </w:rPr>
        <w:t xml:space="preserve">Use the </w:t>
      </w:r>
      <w:hyperlink r:id="rId19" w:tgtFrame="_new" w:history="1">
        <w:r w:rsidRPr="00995A33">
          <w:rPr>
            <w:rStyle w:val="Hyperlink"/>
            <w:b/>
            <w:bCs/>
            <w:lang w:val="en-IE"/>
          </w:rPr>
          <w:t>Azure Pricing Calculator</w:t>
        </w:r>
      </w:hyperlink>
      <w:r w:rsidRPr="00995A33">
        <w:rPr>
          <w:lang w:val="en-IE"/>
        </w:rPr>
        <w:t xml:space="preserve"> to estimate costs based on specific </w:t>
      </w:r>
      <w:r w:rsidRPr="00995A33">
        <w:rPr>
          <w:b/>
          <w:bCs/>
          <w:lang w:val="en-IE"/>
        </w:rPr>
        <w:t>user count and service usage</w:t>
      </w:r>
      <w:r w:rsidRPr="00995A33">
        <w:rPr>
          <w:lang w:val="en-IE"/>
        </w:rPr>
        <w:t>.</w:t>
      </w:r>
    </w:p>
    <w:p w14:paraId="1D1FFB82" w14:textId="18FE1065" w:rsidR="00E42775" w:rsidRDefault="00C55929" w:rsidP="00E42775">
      <w:pPr>
        <w:pStyle w:val="Heading2"/>
      </w:pPr>
      <w:r>
        <w:t xml:space="preserve">Implementing </w:t>
      </w:r>
      <w:r w:rsidR="003B58DF" w:rsidRPr="003B58DF">
        <w:t>Single Pane of Glass (SPOG) Dynamics 365 Customer Service and Microsoft Authentication Library (MSAL)</w:t>
      </w:r>
    </w:p>
    <w:p w14:paraId="2EE34ED3" w14:textId="77777777" w:rsidR="00B45156" w:rsidRPr="00B45156" w:rsidRDefault="00B45156" w:rsidP="00B45156"/>
    <w:p w14:paraId="65D2BCC4" w14:textId="6687708E" w:rsidR="00E42775" w:rsidRPr="00E42775" w:rsidRDefault="00E42775" w:rsidP="00E42775">
      <w:pPr>
        <w:rPr>
          <w:lang w:val="en-IE"/>
        </w:rPr>
      </w:pPr>
      <w:r w:rsidRPr="00E42775">
        <w:rPr>
          <w:lang w:val="en-IE"/>
        </w:rPr>
        <w:t xml:space="preserve">This architecture enables </w:t>
      </w:r>
      <w:r w:rsidRPr="00E42775">
        <w:rPr>
          <w:b/>
          <w:bCs/>
          <w:lang w:val="en-IE"/>
        </w:rPr>
        <w:t>seamless authentication and embedded application integration</w:t>
      </w:r>
      <w:r w:rsidRPr="00E42775">
        <w:rPr>
          <w:lang w:val="en-IE"/>
        </w:rPr>
        <w:t xml:space="preserve"> within </w:t>
      </w:r>
      <w:r w:rsidRPr="00E42775">
        <w:rPr>
          <w:b/>
          <w:bCs/>
          <w:lang w:val="en-IE"/>
        </w:rPr>
        <w:t>Dynamics 365</w:t>
      </w:r>
      <w:r w:rsidRPr="00E42775">
        <w:rPr>
          <w:lang w:val="en-IE"/>
        </w:rPr>
        <w:t xml:space="preserve"> by leveraging </w:t>
      </w:r>
      <w:r w:rsidRPr="00E42775">
        <w:rPr>
          <w:b/>
          <w:bCs/>
          <w:lang w:val="en-IE"/>
        </w:rPr>
        <w:t>Microsoft Entra ID (Azure AD) and MSAL</w:t>
      </w:r>
      <w:r w:rsidRPr="00E42775">
        <w:rPr>
          <w:lang w:val="en-IE"/>
        </w:rPr>
        <w:t xml:space="preserve">. The solution ensures users can access third-party applications without needing to log in multiple times, providing a </w:t>
      </w:r>
      <w:r w:rsidRPr="00E42775">
        <w:rPr>
          <w:b/>
          <w:bCs/>
          <w:lang w:val="en-IE"/>
        </w:rPr>
        <w:t>Single Sign-On (SSO) experience</w:t>
      </w:r>
      <w:r w:rsidRPr="00E42775">
        <w:rPr>
          <w:lang w:val="en-IE"/>
        </w:rPr>
        <w:t xml:space="preserve">. Additionally, third-party applications are embedded using </w:t>
      </w:r>
      <w:r w:rsidRPr="00E42775">
        <w:rPr>
          <w:b/>
          <w:bCs/>
          <w:lang w:val="en-IE"/>
        </w:rPr>
        <w:t>iframing techniques</w:t>
      </w:r>
      <w:r w:rsidRPr="00E42775">
        <w:rPr>
          <w:lang w:val="en-IE"/>
        </w:rPr>
        <w:t xml:space="preserve">, ensuring a </w:t>
      </w:r>
      <w:r w:rsidRPr="00E42775">
        <w:rPr>
          <w:b/>
          <w:bCs/>
          <w:lang w:val="en-IE"/>
        </w:rPr>
        <w:t>unified interface</w:t>
      </w:r>
      <w:r w:rsidRPr="00E42775">
        <w:rPr>
          <w:lang w:val="en-IE"/>
        </w:rPr>
        <w:t xml:space="preserve"> within Dynamics 365.</w:t>
      </w:r>
    </w:p>
    <w:p w14:paraId="60A09154" w14:textId="77777777" w:rsidR="00E42775" w:rsidRPr="00E42775" w:rsidRDefault="00E42775" w:rsidP="00E42775">
      <w:pPr>
        <w:rPr>
          <w:lang w:val="en-IE"/>
        </w:rPr>
      </w:pPr>
      <w:r w:rsidRPr="00E42775">
        <w:rPr>
          <w:lang w:val="en-IE"/>
        </w:rPr>
        <w:t>The user will implement:</w:t>
      </w:r>
    </w:p>
    <w:p w14:paraId="0AF43376" w14:textId="77777777" w:rsidR="00E42775" w:rsidRPr="00E42775" w:rsidRDefault="00E42775" w:rsidP="00E42775">
      <w:pPr>
        <w:numPr>
          <w:ilvl w:val="0"/>
          <w:numId w:val="45"/>
        </w:numPr>
        <w:rPr>
          <w:lang w:val="en-IE"/>
        </w:rPr>
      </w:pPr>
      <w:r w:rsidRPr="00E42775">
        <w:rPr>
          <w:b/>
          <w:bCs/>
          <w:lang w:val="en-IE"/>
        </w:rPr>
        <w:t>Authentication setup</w:t>
      </w:r>
      <w:r w:rsidRPr="00E42775">
        <w:rPr>
          <w:lang w:val="en-IE"/>
        </w:rPr>
        <w:t xml:space="preserve"> using Microsoft Entra ID and MSAL.</w:t>
      </w:r>
    </w:p>
    <w:p w14:paraId="5566F794" w14:textId="77777777" w:rsidR="00E42775" w:rsidRPr="00E42775" w:rsidRDefault="00E42775" w:rsidP="00E42775">
      <w:pPr>
        <w:numPr>
          <w:ilvl w:val="0"/>
          <w:numId w:val="45"/>
        </w:numPr>
        <w:rPr>
          <w:lang w:val="en-IE"/>
        </w:rPr>
      </w:pPr>
      <w:r w:rsidRPr="00E42775">
        <w:rPr>
          <w:b/>
          <w:bCs/>
          <w:lang w:val="en-IE"/>
        </w:rPr>
        <w:lastRenderedPageBreak/>
        <w:t>Application embedding</w:t>
      </w:r>
      <w:r w:rsidRPr="00E42775">
        <w:rPr>
          <w:lang w:val="en-IE"/>
        </w:rPr>
        <w:t xml:space="preserve"> via iframes within Dynamics 365.</w:t>
      </w:r>
    </w:p>
    <w:p w14:paraId="6A34CE11" w14:textId="77777777" w:rsidR="00E42775" w:rsidRPr="00E42775" w:rsidRDefault="00E42775" w:rsidP="00E42775">
      <w:pPr>
        <w:numPr>
          <w:ilvl w:val="0"/>
          <w:numId w:val="45"/>
        </w:numPr>
        <w:rPr>
          <w:lang w:val="en-IE"/>
        </w:rPr>
      </w:pPr>
      <w:r w:rsidRPr="00E42775">
        <w:rPr>
          <w:b/>
          <w:bCs/>
          <w:lang w:val="en-IE"/>
        </w:rPr>
        <w:t>Cross-domain security configurations</w:t>
      </w:r>
      <w:r w:rsidRPr="00E42775">
        <w:rPr>
          <w:lang w:val="en-IE"/>
        </w:rPr>
        <w:t xml:space="preserve"> to ensure smooth interaction between Dynamics 365 and external apps.</w:t>
      </w:r>
    </w:p>
    <w:p w14:paraId="06D25233" w14:textId="77777777" w:rsidR="00E42775" w:rsidRPr="00E42775" w:rsidRDefault="00E42775" w:rsidP="00E42775">
      <w:pPr>
        <w:numPr>
          <w:ilvl w:val="0"/>
          <w:numId w:val="45"/>
        </w:numPr>
        <w:rPr>
          <w:lang w:val="en-IE"/>
        </w:rPr>
      </w:pPr>
      <w:r w:rsidRPr="00E42775">
        <w:rPr>
          <w:b/>
          <w:bCs/>
          <w:lang w:val="en-IE"/>
        </w:rPr>
        <w:t>Token-based authentication</w:t>
      </w:r>
      <w:r w:rsidRPr="00E42775">
        <w:rPr>
          <w:lang w:val="en-IE"/>
        </w:rPr>
        <w:t xml:space="preserve"> to securely pass user identities across embedded applications.</w:t>
      </w:r>
    </w:p>
    <w:p w14:paraId="4DA810D8" w14:textId="77777777" w:rsidR="00E42775" w:rsidRPr="00E42775" w:rsidRDefault="00E42775" w:rsidP="00E42775">
      <w:pPr>
        <w:rPr>
          <w:b/>
          <w:bCs/>
          <w:lang w:val="en-IE"/>
        </w:rPr>
      </w:pPr>
      <w:r w:rsidRPr="00E42775">
        <w:rPr>
          <w:b/>
          <w:bCs/>
          <w:lang w:val="en-IE"/>
        </w:rPr>
        <w:t>Table Structure</w:t>
      </w:r>
    </w:p>
    <w:p w14:paraId="439B0FA7" w14:textId="40268A9B" w:rsidR="00E42775" w:rsidRPr="00E42775" w:rsidRDefault="00E42775" w:rsidP="00E42775">
      <w:pPr>
        <w:rPr>
          <w:lang w:val="en-IE"/>
        </w:rPr>
      </w:pPr>
      <w:r w:rsidRPr="00E42775">
        <w:rPr>
          <w:lang w:val="en-IE"/>
        </w:rPr>
        <w:t xml:space="preserve">The </w:t>
      </w:r>
      <w:r>
        <w:rPr>
          <w:lang w:val="en-IE"/>
        </w:rPr>
        <w:t>section</w:t>
      </w:r>
      <w:r w:rsidRPr="00E42775">
        <w:rPr>
          <w:lang w:val="en-IE"/>
        </w:rPr>
        <w:t xml:space="preserve"> is structured into multiple </w:t>
      </w:r>
      <w:r w:rsidRPr="00E42775">
        <w:rPr>
          <w:b/>
          <w:bCs/>
          <w:lang w:val="en-IE"/>
        </w:rPr>
        <w:t>procedures</w:t>
      </w:r>
      <w:r w:rsidRPr="00E42775">
        <w:rPr>
          <w:lang w:val="en-IE"/>
        </w:rPr>
        <w:t>, each covering a critical part of the implementation:</w:t>
      </w:r>
    </w:p>
    <w:p w14:paraId="2EB443B3" w14:textId="77777777" w:rsidR="00E42775" w:rsidRPr="00E42775" w:rsidRDefault="00E42775" w:rsidP="00E42775">
      <w:pPr>
        <w:numPr>
          <w:ilvl w:val="0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Authentication Procedures</w:t>
      </w:r>
    </w:p>
    <w:p w14:paraId="5495EF2F" w14:textId="77777777" w:rsidR="00E42775" w:rsidRPr="00E42775" w:rsidRDefault="00E42775" w:rsidP="00E42775">
      <w:pPr>
        <w:numPr>
          <w:ilvl w:val="1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Register applications in Microsoft Entra ID</w:t>
      </w:r>
      <w:r w:rsidRPr="00E42775">
        <w:rPr>
          <w:lang w:val="en-IE"/>
        </w:rPr>
        <w:t>: Defines how to register external applications to enable authentication via Entra ID.</w:t>
      </w:r>
    </w:p>
    <w:p w14:paraId="1705D104" w14:textId="77777777" w:rsidR="00E42775" w:rsidRPr="00E42775" w:rsidRDefault="00E42775" w:rsidP="00E42775">
      <w:pPr>
        <w:numPr>
          <w:ilvl w:val="1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Enable MSAL in the client application</w:t>
      </w:r>
      <w:r w:rsidRPr="00E42775">
        <w:rPr>
          <w:lang w:val="en-IE"/>
        </w:rPr>
        <w:t>: Guides setting up MSAL to acquire authentication tokens for app integration.</w:t>
      </w:r>
    </w:p>
    <w:p w14:paraId="5530525B" w14:textId="77777777" w:rsidR="00E42775" w:rsidRPr="00E42775" w:rsidRDefault="00E42775" w:rsidP="00E42775">
      <w:pPr>
        <w:numPr>
          <w:ilvl w:val="1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Implement Single Sign-On (SSO)</w:t>
      </w:r>
      <w:r w:rsidRPr="00E42775">
        <w:rPr>
          <w:lang w:val="en-IE"/>
        </w:rPr>
        <w:t>: Describes how to leverage Entra ID sessions to enable seamless logins.</w:t>
      </w:r>
    </w:p>
    <w:p w14:paraId="39D446F9" w14:textId="77777777" w:rsidR="00E42775" w:rsidRPr="00E42775" w:rsidRDefault="00E42775" w:rsidP="00E42775">
      <w:pPr>
        <w:numPr>
          <w:ilvl w:val="1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Configure MSAL settings</w:t>
      </w:r>
      <w:r w:rsidRPr="00E42775">
        <w:rPr>
          <w:lang w:val="en-IE"/>
        </w:rPr>
        <w:t>: Covers security measures like defining scopes, token storage, and login hints for a smoother authentication flow.</w:t>
      </w:r>
    </w:p>
    <w:p w14:paraId="1FB39719" w14:textId="77777777" w:rsidR="00E42775" w:rsidRPr="00E42775" w:rsidRDefault="00E42775" w:rsidP="00E42775">
      <w:pPr>
        <w:numPr>
          <w:ilvl w:val="0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Embedding Applications in Dynamics 365</w:t>
      </w:r>
    </w:p>
    <w:p w14:paraId="47B86F5A" w14:textId="77777777" w:rsidR="00E42775" w:rsidRPr="00E42775" w:rsidRDefault="00E42775" w:rsidP="00E42775">
      <w:pPr>
        <w:numPr>
          <w:ilvl w:val="1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Embed external applications using iframes</w:t>
      </w:r>
      <w:r w:rsidRPr="00E42775">
        <w:rPr>
          <w:lang w:val="en-IE"/>
        </w:rPr>
        <w:t>: Explains how to use Dynamics 365’s iframe functionality to integrate third-party applications.</w:t>
      </w:r>
    </w:p>
    <w:p w14:paraId="09949E4C" w14:textId="77777777" w:rsidR="00E42775" w:rsidRPr="00E42775" w:rsidRDefault="00E42775" w:rsidP="00E42775">
      <w:pPr>
        <w:numPr>
          <w:ilvl w:val="1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Ensure cross-domain compatibility</w:t>
      </w:r>
      <w:r w:rsidRPr="00E42775">
        <w:rPr>
          <w:lang w:val="en-IE"/>
        </w:rPr>
        <w:t>: Details the security policies required to allow external applications to be embedded within Dynamics 365.</w:t>
      </w:r>
    </w:p>
    <w:p w14:paraId="258991D8" w14:textId="77777777" w:rsidR="00E42775" w:rsidRPr="00E42775" w:rsidRDefault="00E42775" w:rsidP="00E42775">
      <w:pPr>
        <w:numPr>
          <w:ilvl w:val="1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Handle MSAL authentication within an iframe</w:t>
      </w:r>
      <w:r w:rsidRPr="00E42775">
        <w:rPr>
          <w:lang w:val="en-IE"/>
        </w:rPr>
        <w:t xml:space="preserve">: Covers the authentication challenges of iframes and how to use </w:t>
      </w:r>
      <w:r w:rsidRPr="00E42775">
        <w:rPr>
          <w:b/>
          <w:bCs/>
          <w:lang w:val="en-IE"/>
        </w:rPr>
        <w:t>popup-based authentication</w:t>
      </w:r>
      <w:r w:rsidRPr="00E42775">
        <w:rPr>
          <w:lang w:val="en-IE"/>
        </w:rPr>
        <w:t xml:space="preserve"> to bypass restrictions.</w:t>
      </w:r>
    </w:p>
    <w:p w14:paraId="29ACC2D8" w14:textId="77777777" w:rsidR="00E42775" w:rsidRPr="00E42775" w:rsidRDefault="00E42775" w:rsidP="00E42775">
      <w:pPr>
        <w:numPr>
          <w:ilvl w:val="1"/>
          <w:numId w:val="46"/>
        </w:numPr>
        <w:rPr>
          <w:lang w:val="en-IE"/>
        </w:rPr>
      </w:pPr>
      <w:r w:rsidRPr="00E42775">
        <w:rPr>
          <w:b/>
          <w:bCs/>
          <w:lang w:val="en-IE"/>
        </w:rPr>
        <w:t>Integrate multiple applications in Dynamics 365</w:t>
      </w:r>
      <w:r w:rsidRPr="00E42775">
        <w:rPr>
          <w:lang w:val="en-IE"/>
        </w:rPr>
        <w:t xml:space="preserve">: Outlines how to embed multiple external applications while maintaining a </w:t>
      </w:r>
      <w:r w:rsidRPr="00E42775">
        <w:rPr>
          <w:b/>
          <w:bCs/>
          <w:lang w:val="en-IE"/>
        </w:rPr>
        <w:t>Single Pane of Glass experience</w:t>
      </w:r>
      <w:r w:rsidRPr="00E42775">
        <w:rPr>
          <w:lang w:val="en-IE"/>
        </w:rPr>
        <w:t>.</w:t>
      </w:r>
    </w:p>
    <w:p w14:paraId="371EF2B7" w14:textId="6431E48C" w:rsidR="00E42775" w:rsidRPr="00E42775" w:rsidRDefault="00E42775" w:rsidP="00E42775">
      <w:pPr>
        <w:rPr>
          <w:lang w:val="en-IE"/>
        </w:rPr>
      </w:pPr>
      <w:r w:rsidRPr="00E42775">
        <w:rPr>
          <w:lang w:val="en-IE"/>
        </w:rPr>
        <w:t xml:space="preserve">Each procedure provides a </w:t>
      </w:r>
      <w:r w:rsidRPr="00E42775">
        <w:rPr>
          <w:b/>
          <w:bCs/>
          <w:lang w:val="en-IE"/>
        </w:rPr>
        <w:t>step-by-step approach</w:t>
      </w:r>
      <w:r w:rsidRPr="00E42775">
        <w:rPr>
          <w:lang w:val="en-IE"/>
        </w:rPr>
        <w:t xml:space="preserve"> to implementing the required components. This structure ensures that authentication and application embedding are handled </w:t>
      </w:r>
      <w:r w:rsidRPr="00E42775">
        <w:rPr>
          <w:b/>
          <w:bCs/>
          <w:lang w:val="en-IE"/>
        </w:rPr>
        <w:t>securely and efficiently</w:t>
      </w:r>
      <w:r w:rsidRPr="00E42775">
        <w:rPr>
          <w:lang w:val="en-IE"/>
        </w:rPr>
        <w:t>, improving user experience within Dynamics 365.</w:t>
      </w:r>
    </w:p>
    <w:p w14:paraId="02F46135" w14:textId="0F8F16FB" w:rsidR="00C55929" w:rsidRDefault="00C55929" w:rsidP="001558C8">
      <w:pPr>
        <w:pStyle w:val="Heading3"/>
      </w:pPr>
      <w:r w:rsidRPr="006258D2">
        <w:t xml:space="preserve">Procedure: </w:t>
      </w:r>
      <w:r w:rsidR="0027789B" w:rsidRPr="0027789B">
        <w:t>Register applications in Microsoft Entra ID</w:t>
      </w:r>
    </w:p>
    <w:p w14:paraId="274EDAE8" w14:textId="4801F596" w:rsidR="00C55929" w:rsidRDefault="00C55929" w:rsidP="00C55929">
      <w:r>
        <w:t xml:space="preserve">Use the following steps to </w:t>
      </w:r>
      <w:r w:rsidR="0027254A" w:rsidRPr="0027789B">
        <w:t>Register applications in Microsoft Entra ID</w:t>
      </w:r>
      <w:r>
        <w:t>.</w:t>
      </w:r>
    </w:p>
    <w:p w14:paraId="0C0420B1" w14:textId="77777777" w:rsidR="0027254A" w:rsidRDefault="0027254A" w:rsidP="0027254A">
      <w:pPr>
        <w:pStyle w:val="ListParagraph"/>
        <w:numPr>
          <w:ilvl w:val="0"/>
          <w:numId w:val="36"/>
        </w:numPr>
      </w:pPr>
      <w:r>
        <w:t>Register each integrated application in Microsoft Entra ID to establish a unified identity platform.</w:t>
      </w:r>
    </w:p>
    <w:p w14:paraId="1566DF79" w14:textId="77777777" w:rsidR="0027254A" w:rsidRDefault="0027254A" w:rsidP="0027254A">
      <w:pPr>
        <w:pStyle w:val="ListParagraph"/>
        <w:numPr>
          <w:ilvl w:val="0"/>
          <w:numId w:val="36"/>
        </w:numPr>
      </w:pPr>
      <w:r>
        <w:t>Each app registration provides a Client (Application) ID and is associated with your Entra tenant.</w:t>
      </w:r>
    </w:p>
    <w:p w14:paraId="3678AC9D" w14:textId="2697EF23" w:rsidR="00504467" w:rsidRDefault="0027254A" w:rsidP="0027254A">
      <w:pPr>
        <w:pStyle w:val="ListParagraph"/>
        <w:numPr>
          <w:ilvl w:val="0"/>
          <w:numId w:val="36"/>
        </w:numPr>
      </w:pPr>
      <w:r>
        <w:t>Use a redirect URI appropriate for Dynamics 365’s domain or a custom domain. Ensure the URI is added under the SPA or Web platform settings.</w:t>
      </w:r>
    </w:p>
    <w:p w14:paraId="4067F7EA" w14:textId="49CD4977" w:rsidR="00602A9D" w:rsidRDefault="00602A9D" w:rsidP="001558C8">
      <w:pPr>
        <w:pStyle w:val="Heading3"/>
      </w:pPr>
      <w:r w:rsidRPr="006258D2">
        <w:lastRenderedPageBreak/>
        <w:t xml:space="preserve">Procedure: </w:t>
      </w:r>
      <w:r w:rsidR="0027254A" w:rsidRPr="0027254A">
        <w:t>Enable MSAL in the client application</w:t>
      </w:r>
    </w:p>
    <w:p w14:paraId="6F9EB4AE" w14:textId="21C275F3" w:rsidR="00602A9D" w:rsidRDefault="00602A9D" w:rsidP="00602A9D">
      <w:r>
        <w:t xml:space="preserve">Use the following steps to </w:t>
      </w:r>
      <w:r w:rsidR="0027254A" w:rsidRPr="0027254A">
        <w:t>Enable MSAL in the client application</w:t>
      </w:r>
      <w:r>
        <w:t>.</w:t>
      </w:r>
    </w:p>
    <w:p w14:paraId="1CC73C1D" w14:textId="77777777" w:rsidR="0027254A" w:rsidRDefault="0027254A" w:rsidP="0027254A">
      <w:pPr>
        <w:pStyle w:val="ListParagraph"/>
        <w:numPr>
          <w:ilvl w:val="0"/>
          <w:numId w:val="37"/>
        </w:numPr>
      </w:pPr>
      <w:r>
        <w:t>Initialize the Microsoft Authentication Library (MSAL) in the embedded application’s front end (e.g., a single-page app or web page loaded in Dynamics).</w:t>
      </w:r>
    </w:p>
    <w:p w14:paraId="2259E4C0" w14:textId="77777777" w:rsidR="0027254A" w:rsidRDefault="0027254A" w:rsidP="0027254A">
      <w:pPr>
        <w:pStyle w:val="ListParagraph"/>
        <w:numPr>
          <w:ilvl w:val="0"/>
          <w:numId w:val="37"/>
        </w:numPr>
      </w:pPr>
      <w:r>
        <w:t>Configure MSAL to use the OAuth 2.0 Authorization Code flow with PKCE for enhanced security.</w:t>
      </w:r>
    </w:p>
    <w:p w14:paraId="5493E58D" w14:textId="6DA966C6" w:rsidR="00602A9D" w:rsidRDefault="0027254A" w:rsidP="0027254A">
      <w:pPr>
        <w:pStyle w:val="ListParagraph"/>
        <w:numPr>
          <w:ilvl w:val="0"/>
          <w:numId w:val="37"/>
        </w:numPr>
      </w:pPr>
      <w:r>
        <w:t>This setup allows the app to obtain ID tokens (for user identity) and access tokens (for calling APIs) either silently or via interactive sign-in.</w:t>
      </w:r>
    </w:p>
    <w:p w14:paraId="046E59AD" w14:textId="17E3BE13" w:rsidR="0027254A" w:rsidRDefault="0027254A" w:rsidP="001558C8">
      <w:pPr>
        <w:pStyle w:val="Heading3"/>
      </w:pPr>
      <w:r w:rsidRPr="006258D2">
        <w:t xml:space="preserve">Procedure: </w:t>
      </w:r>
      <w:r w:rsidR="008F124F" w:rsidRPr="008F124F">
        <w:t>Implement Single Sign-On (SSO)</w:t>
      </w:r>
    </w:p>
    <w:p w14:paraId="1872E524" w14:textId="3149035E" w:rsidR="0027254A" w:rsidRDefault="0027254A" w:rsidP="0027254A">
      <w:r>
        <w:t xml:space="preserve">Use the following steps to </w:t>
      </w:r>
      <w:r w:rsidR="008F124F" w:rsidRPr="008F124F">
        <w:t>Implement Single Sign-On (SSO)</w:t>
      </w:r>
      <w:r>
        <w:t>.</w:t>
      </w:r>
    </w:p>
    <w:p w14:paraId="5CCDB02F" w14:textId="77777777" w:rsidR="008F124F" w:rsidRDefault="008F124F" w:rsidP="008F124F">
      <w:pPr>
        <w:pStyle w:val="ListParagraph"/>
        <w:numPr>
          <w:ilvl w:val="0"/>
          <w:numId w:val="39"/>
        </w:numPr>
      </w:pPr>
      <w:r>
        <w:t>Since users are already logged into Dynamics 365 via Entra ID, use MSAL’s capabilities to achieve SSO for embedded apps.</w:t>
      </w:r>
    </w:p>
    <w:p w14:paraId="59ECD609" w14:textId="77777777" w:rsidR="008F124F" w:rsidRDefault="008F124F" w:rsidP="008F124F">
      <w:pPr>
        <w:pStyle w:val="ListParagraph"/>
        <w:numPr>
          <w:ilvl w:val="0"/>
          <w:numId w:val="39"/>
        </w:numPr>
      </w:pPr>
      <w:r>
        <w:t>Use silent token acquisition (ssoSilent() or acquireTokenSilent()) to reuse the existing session.</w:t>
      </w:r>
    </w:p>
    <w:p w14:paraId="6DDC04BD" w14:textId="77777777" w:rsidR="008F124F" w:rsidRDefault="008F124F" w:rsidP="008F124F">
      <w:pPr>
        <w:pStyle w:val="ListParagraph"/>
        <w:numPr>
          <w:ilvl w:val="0"/>
          <w:numId w:val="39"/>
        </w:numPr>
      </w:pPr>
      <w:r>
        <w:t>If no existing session is found or consent is required, MSAL triggers an interactive authentication popup.</w:t>
      </w:r>
    </w:p>
    <w:p w14:paraId="0717E1A2" w14:textId="2CAEAEF6" w:rsidR="0027254A" w:rsidRDefault="008F124F" w:rsidP="008F124F">
      <w:pPr>
        <w:pStyle w:val="ListParagraph"/>
        <w:numPr>
          <w:ilvl w:val="0"/>
          <w:numId w:val="39"/>
        </w:numPr>
      </w:pPr>
      <w:r>
        <w:t>This ensures a seamless login experience across Dynamics 365 and embedded third-party applications.</w:t>
      </w:r>
    </w:p>
    <w:p w14:paraId="4C60AC14" w14:textId="1D07DF25" w:rsidR="0014694C" w:rsidRDefault="0014694C" w:rsidP="001558C8">
      <w:pPr>
        <w:pStyle w:val="Heading3"/>
      </w:pPr>
      <w:r w:rsidRPr="006258D2">
        <w:t xml:space="preserve">Procedure: </w:t>
      </w:r>
      <w:r w:rsidRPr="0014694C">
        <w:t>Configure MSAL settings</w:t>
      </w:r>
    </w:p>
    <w:p w14:paraId="33B65B7A" w14:textId="460BD4A4" w:rsidR="0014694C" w:rsidRDefault="0014694C" w:rsidP="0014694C">
      <w:r>
        <w:t xml:space="preserve">Use the following steps to </w:t>
      </w:r>
      <w:r w:rsidR="00CE10BA" w:rsidRPr="0014694C">
        <w:t>Configure MSAL settings</w:t>
      </w:r>
      <w:r>
        <w:t>.</w:t>
      </w:r>
    </w:p>
    <w:p w14:paraId="1E36804D" w14:textId="77777777" w:rsidR="0014694C" w:rsidRDefault="0014694C" w:rsidP="0014694C">
      <w:pPr>
        <w:pStyle w:val="ListParagraph"/>
        <w:numPr>
          <w:ilvl w:val="0"/>
          <w:numId w:val="40"/>
        </w:numPr>
      </w:pPr>
      <w:r>
        <w:t>Set the authority to https://login.microsoftonline.com/&lt;tenant-id&gt; with the known client/application IDs for audience validation.</w:t>
      </w:r>
    </w:p>
    <w:p w14:paraId="2BE4C924" w14:textId="77777777" w:rsidR="0014694C" w:rsidRDefault="0014694C" w:rsidP="0014694C">
      <w:pPr>
        <w:pStyle w:val="ListParagraph"/>
        <w:numPr>
          <w:ilvl w:val="0"/>
          <w:numId w:val="40"/>
        </w:numPr>
      </w:pPr>
      <w:r>
        <w:t>Define the scopes needed for each third-party app (e.g., Microsoft Graph API scopes or custom API scopes).</w:t>
      </w:r>
    </w:p>
    <w:p w14:paraId="03052247" w14:textId="77777777" w:rsidR="0014694C" w:rsidRDefault="0014694C" w:rsidP="0014694C">
      <w:pPr>
        <w:pStyle w:val="ListParagraph"/>
        <w:numPr>
          <w:ilvl w:val="0"/>
          <w:numId w:val="40"/>
        </w:numPr>
      </w:pPr>
      <w:r>
        <w:t>Store the MSAL cache securely (session storage or local storage) to prevent token exposure.</w:t>
      </w:r>
    </w:p>
    <w:p w14:paraId="393E5E30" w14:textId="7700BA1B" w:rsidR="0014694C" w:rsidRDefault="0014694C" w:rsidP="0014694C">
      <w:pPr>
        <w:pStyle w:val="ListParagraph"/>
        <w:numPr>
          <w:ilvl w:val="0"/>
          <w:numId w:val="40"/>
        </w:numPr>
      </w:pPr>
      <w:r>
        <w:t>Use login hints (user’s UPN/email) and domain hints (tenant domain) in loginPopup() or ssoSilent() to minimize unnecessary authentication prompts.</w:t>
      </w:r>
    </w:p>
    <w:p w14:paraId="7EFA99AB" w14:textId="66553CFA" w:rsidR="003D7708" w:rsidRDefault="003D7708" w:rsidP="001558C8">
      <w:pPr>
        <w:pStyle w:val="Heading3"/>
      </w:pPr>
      <w:r w:rsidRPr="006258D2">
        <w:t xml:space="preserve">Procedure: </w:t>
      </w:r>
      <w:r w:rsidR="005F3298" w:rsidRPr="005F3298">
        <w:t>Embed external applications using iframes</w:t>
      </w:r>
    </w:p>
    <w:p w14:paraId="6EE641E9" w14:textId="1C9D6A7B" w:rsidR="003D7708" w:rsidRDefault="003D7708" w:rsidP="003D7708">
      <w:r>
        <w:t xml:space="preserve">Use the following steps to </w:t>
      </w:r>
      <w:r w:rsidR="005F3298" w:rsidRPr="005F3298">
        <w:t>Embed external applications using iframes</w:t>
      </w:r>
      <w:r>
        <w:t>.</w:t>
      </w:r>
    </w:p>
    <w:p w14:paraId="5AB7CB74" w14:textId="77777777" w:rsidR="005F3298" w:rsidRDefault="005F3298" w:rsidP="005F3298">
      <w:pPr>
        <w:pStyle w:val="ListParagraph"/>
        <w:numPr>
          <w:ilvl w:val="0"/>
          <w:numId w:val="41"/>
        </w:numPr>
      </w:pPr>
      <w:r>
        <w:t>Use Dynamics 365’s native iframe support to embed external web applications.</w:t>
      </w:r>
    </w:p>
    <w:p w14:paraId="58050D69" w14:textId="77777777" w:rsidR="005F3298" w:rsidRDefault="005F3298" w:rsidP="005F3298">
      <w:pPr>
        <w:pStyle w:val="ListParagraph"/>
        <w:numPr>
          <w:ilvl w:val="0"/>
          <w:numId w:val="41"/>
        </w:numPr>
      </w:pPr>
      <w:r>
        <w:t>Create a placeholder in Dynamics (e.g., dashboard iframe, navigation link, or web resource control).</w:t>
      </w:r>
    </w:p>
    <w:p w14:paraId="5E7BB444" w14:textId="54E0610A" w:rsidR="003D7708" w:rsidRDefault="005F3298" w:rsidP="005F3298">
      <w:pPr>
        <w:pStyle w:val="ListParagraph"/>
        <w:numPr>
          <w:ilvl w:val="0"/>
          <w:numId w:val="41"/>
        </w:numPr>
      </w:pPr>
      <w:r>
        <w:t>Configure the iframe to point to the external application’s URL.</w:t>
      </w:r>
    </w:p>
    <w:p w14:paraId="7E6F35BD" w14:textId="0FBD85FC" w:rsidR="005F3298" w:rsidRDefault="005F3298" w:rsidP="001558C8">
      <w:pPr>
        <w:pStyle w:val="Heading3"/>
      </w:pPr>
      <w:r w:rsidRPr="006258D2">
        <w:t xml:space="preserve">Procedure: </w:t>
      </w:r>
      <w:r w:rsidR="00411F22" w:rsidRPr="00411F22">
        <w:t>Ensure cross-domain compatibility</w:t>
      </w:r>
    </w:p>
    <w:p w14:paraId="0B6D7D76" w14:textId="19E71151" w:rsidR="005F3298" w:rsidRDefault="005F3298" w:rsidP="005F3298">
      <w:r>
        <w:t xml:space="preserve">Use the following steps to </w:t>
      </w:r>
      <w:r w:rsidR="00411F22" w:rsidRPr="00411F22">
        <w:t>Ensure cross-domain compatibility</w:t>
      </w:r>
      <w:r>
        <w:t>.</w:t>
      </w:r>
    </w:p>
    <w:p w14:paraId="32AEE8BC" w14:textId="77777777" w:rsidR="00411F22" w:rsidRDefault="00411F22" w:rsidP="00411F22">
      <w:pPr>
        <w:pStyle w:val="ListParagraph"/>
        <w:numPr>
          <w:ilvl w:val="0"/>
          <w:numId w:val="42"/>
        </w:numPr>
      </w:pPr>
      <w:r>
        <w:t>The embedded third-party application must allow framing by Dynamics 365.</w:t>
      </w:r>
    </w:p>
    <w:p w14:paraId="7B233568" w14:textId="77777777" w:rsidR="00411F22" w:rsidRDefault="00411F22" w:rsidP="00411F22">
      <w:pPr>
        <w:pStyle w:val="ListParagraph"/>
        <w:numPr>
          <w:ilvl w:val="0"/>
          <w:numId w:val="42"/>
        </w:numPr>
      </w:pPr>
      <w:r>
        <w:t>Configure the external app’s web server to include a Content-Security-Policy (CSP) frame-ancestors directive or X-Frame-Options header that permits embedding.</w:t>
      </w:r>
    </w:p>
    <w:p w14:paraId="063A98D6" w14:textId="10C4DEE4" w:rsidR="005F3298" w:rsidRDefault="00411F22" w:rsidP="00411F22">
      <w:pPr>
        <w:pStyle w:val="ListParagraph"/>
        <w:numPr>
          <w:ilvl w:val="0"/>
          <w:numId w:val="42"/>
        </w:numPr>
      </w:pPr>
      <w:r>
        <w:t>If an application sends X-Frame-Options: DENY, update the configuration to allow framing (ALLOW-FROM &lt;Dynamics URL&gt;).</w:t>
      </w:r>
    </w:p>
    <w:p w14:paraId="402B5B2D" w14:textId="616310CD" w:rsidR="00411F22" w:rsidRDefault="00411F22" w:rsidP="001558C8">
      <w:pPr>
        <w:pStyle w:val="Heading3"/>
      </w:pPr>
      <w:r w:rsidRPr="006258D2">
        <w:lastRenderedPageBreak/>
        <w:t xml:space="preserve">Procedure: </w:t>
      </w:r>
      <w:r w:rsidR="000A43A9" w:rsidRPr="000A43A9">
        <w:t>Handle MSAL authentication within an iframe</w:t>
      </w:r>
    </w:p>
    <w:p w14:paraId="5A55A4B6" w14:textId="77777777" w:rsidR="00411F22" w:rsidRDefault="00411F22" w:rsidP="00411F22">
      <w:r>
        <w:t xml:space="preserve">Use the following steps to </w:t>
      </w:r>
      <w:r w:rsidRPr="00411F22">
        <w:t>Ensure cross-domain compatibility</w:t>
      </w:r>
      <w:r>
        <w:t>.</w:t>
      </w:r>
    </w:p>
    <w:p w14:paraId="7C80DB54" w14:textId="77777777" w:rsidR="00A01D8D" w:rsidRDefault="00A01D8D" w:rsidP="00A01D8D">
      <w:pPr>
        <w:pStyle w:val="ListParagraph"/>
        <w:numPr>
          <w:ilvl w:val="0"/>
          <w:numId w:val="43"/>
        </w:numPr>
      </w:pPr>
      <w:r>
        <w:t>Azure AD login pages cannot be rendered inside an iframe due to security restrictions (X-FRAME-OPTIONS: DENY).</w:t>
      </w:r>
    </w:p>
    <w:p w14:paraId="766B2005" w14:textId="77777777" w:rsidR="00A01D8D" w:rsidRDefault="00A01D8D" w:rsidP="00A01D8D">
      <w:pPr>
        <w:pStyle w:val="ListParagraph"/>
        <w:numPr>
          <w:ilvl w:val="0"/>
          <w:numId w:val="43"/>
        </w:numPr>
      </w:pPr>
      <w:r>
        <w:t>Configure MSAL to use popup-based authentication instead of a full-frame redirect.</w:t>
      </w:r>
    </w:p>
    <w:p w14:paraId="06B85F6C" w14:textId="77777777" w:rsidR="00A01D8D" w:rsidRDefault="00A01D8D" w:rsidP="00A01D8D">
      <w:pPr>
        <w:pStyle w:val="ListParagraph"/>
        <w:numPr>
          <w:ilvl w:val="0"/>
          <w:numId w:val="43"/>
        </w:numPr>
      </w:pPr>
      <w:r>
        <w:t>The iframe’d app should open a small popup window to Azure AD for interactive sign-in and obtain the token before closing the popup.</w:t>
      </w:r>
    </w:p>
    <w:p w14:paraId="5B5591CE" w14:textId="6A317298" w:rsidR="00411F22" w:rsidRDefault="00A01D8D" w:rsidP="00A01D8D">
      <w:pPr>
        <w:pStyle w:val="ListParagraph"/>
        <w:numPr>
          <w:ilvl w:val="0"/>
          <w:numId w:val="43"/>
        </w:numPr>
      </w:pPr>
      <w:r>
        <w:t>Ensure Dynamics 365 allows popups by setting allow-popups in the iframe sandbox attributes.</w:t>
      </w:r>
    </w:p>
    <w:p w14:paraId="6740A4DC" w14:textId="75821D0B" w:rsidR="00D3458B" w:rsidRDefault="00D3458B" w:rsidP="001558C8">
      <w:pPr>
        <w:pStyle w:val="Heading3"/>
      </w:pPr>
      <w:r w:rsidRPr="006258D2">
        <w:t xml:space="preserve">Procedure: </w:t>
      </w:r>
      <w:r w:rsidR="00FC17A8" w:rsidRPr="00FC17A8">
        <w:t>Integrate multiple applications in Dynamics 365</w:t>
      </w:r>
    </w:p>
    <w:p w14:paraId="3601895A" w14:textId="77777777" w:rsidR="00D3458B" w:rsidRDefault="00D3458B" w:rsidP="00D3458B">
      <w:r>
        <w:t xml:space="preserve">Use the following steps to </w:t>
      </w:r>
      <w:r w:rsidRPr="00411F22">
        <w:t>Ensure cross-domain compatibility</w:t>
      </w:r>
      <w:r>
        <w:t>.</w:t>
      </w:r>
    </w:p>
    <w:p w14:paraId="49E258C0" w14:textId="7D8FC631" w:rsidR="00FC17A8" w:rsidRDefault="00FC17A8" w:rsidP="00FC17A8">
      <w:pPr>
        <w:pStyle w:val="ListParagraph"/>
        <w:numPr>
          <w:ilvl w:val="0"/>
          <w:numId w:val="44"/>
        </w:numPr>
      </w:pPr>
      <w:r>
        <w:t>Each third-party application can be embedded separately in different sections/tabs or together on a dashboard with multiple iframes.</w:t>
      </w:r>
    </w:p>
    <w:p w14:paraId="0B73ACDF" w14:textId="77777777" w:rsidR="00FC17A8" w:rsidRDefault="00FC17A8" w:rsidP="00FC17A8">
      <w:pPr>
        <w:pStyle w:val="ListParagraph"/>
        <w:numPr>
          <w:ilvl w:val="0"/>
          <w:numId w:val="44"/>
        </w:numPr>
      </w:pPr>
      <w:r>
        <w:t>MSAL handles authentication, ensuring that users do not need to re-enter credentials for each app.</w:t>
      </w:r>
    </w:p>
    <w:p w14:paraId="1E9AFC32" w14:textId="6FBBA8CC" w:rsidR="00D3458B" w:rsidRDefault="00FC17A8" w:rsidP="00FC17A8">
      <w:pPr>
        <w:pStyle w:val="ListParagraph"/>
        <w:numPr>
          <w:ilvl w:val="0"/>
          <w:numId w:val="44"/>
        </w:numPr>
      </w:pPr>
      <w:r>
        <w:t>Identity is passed via Entra ID tokens, ensuring a Single Pane of Glass experience where users seamlessly navigate between Dynamics 365 and external tools.</w:t>
      </w:r>
    </w:p>
    <w:p w14:paraId="661085BB" w14:textId="0420A8B7" w:rsidR="0093530A" w:rsidRDefault="00337D7B" w:rsidP="007C6052">
      <w:pPr>
        <w:pStyle w:val="Heading2"/>
      </w:pPr>
      <w:r>
        <w:t>//</w:t>
      </w:r>
      <w:r w:rsidR="0093530A" w:rsidRPr="0093530A">
        <w:t>Next step</w:t>
      </w:r>
    </w:p>
    <w:p w14:paraId="61A99295" w14:textId="12A436C5" w:rsidR="0069138A" w:rsidRDefault="00337D7B" w:rsidP="00197341">
      <w:pPr>
        <w:pStyle w:val="Heading2"/>
      </w:pPr>
      <w:r>
        <w:t>//</w:t>
      </w:r>
      <w:r w:rsidR="0069138A">
        <w:t>Related patterns</w:t>
      </w:r>
    </w:p>
    <w:p w14:paraId="7E020656" w14:textId="77777777" w:rsidR="0069138A" w:rsidRDefault="0069138A" w:rsidP="0069138A">
      <w:pPr>
        <w:rPr>
          <w:shd w:val="clear" w:color="auto" w:fill="FFFFFF"/>
        </w:rPr>
      </w:pPr>
      <w:r>
        <w:rPr>
          <w:shd w:val="clear" w:color="auto" w:fill="FFFFFF"/>
        </w:rPr>
        <w:t>The following patterns are available to help guide your implementation of the set customer credit limits business process.</w:t>
      </w:r>
    </w:p>
    <w:p w14:paraId="1E2A16B8" w14:textId="77777777" w:rsidR="0093530A" w:rsidRPr="0093530A" w:rsidRDefault="0093530A" w:rsidP="00197341">
      <w:pPr>
        <w:pStyle w:val="Heading2"/>
      </w:pPr>
      <w:r w:rsidRPr="0093530A">
        <w:t>Related resources</w:t>
      </w:r>
    </w:p>
    <w:p w14:paraId="209E15FC" w14:textId="77777777" w:rsidR="00311BC7" w:rsidRPr="00311BC7" w:rsidRDefault="0011406B" w:rsidP="00311BC7">
      <w:r w:rsidRPr="0011406B">
        <w:t>Review the following related architecture guides, solutions, and other guidance content:</w:t>
      </w:r>
    </w:p>
    <w:bookmarkStart w:id="3" w:name="_Hlk132024057"/>
    <w:p w14:paraId="0080835A" w14:textId="49540FE4" w:rsidR="00A839BE" w:rsidRPr="00A839BE" w:rsidRDefault="00C77523" w:rsidP="00C77523">
      <w:pPr>
        <w:pStyle w:val="ListParagraph"/>
        <w:numPr>
          <w:ilvl w:val="0"/>
          <w:numId w:val="12"/>
        </w:numPr>
      </w:pPr>
      <w:r>
        <w:fldChar w:fldCharType="begin"/>
      </w:r>
      <w:r>
        <w:instrText>HYPERLINK "</w:instrText>
      </w:r>
      <w:r w:rsidRPr="00A839BE">
        <w:instrText>https://learn.microsoft.com/en-us/entra/identity-platform/msal-overview</w:instrText>
      </w:r>
      <w:r>
        <w:instrText>"</w:instrText>
      </w:r>
      <w:r>
        <w:fldChar w:fldCharType="separate"/>
      </w:r>
      <w:r w:rsidRPr="00327BE0">
        <w:rPr>
          <w:rStyle w:val="Hyperlink"/>
        </w:rPr>
        <w:t>https://learn.microsoft.com/en-us/entra/identity-platform/msal-overview</w:t>
      </w:r>
      <w:r>
        <w:fldChar w:fldCharType="end"/>
      </w:r>
      <w:r>
        <w:t xml:space="preserve"> </w:t>
      </w:r>
    </w:p>
    <w:bookmarkEnd w:id="3"/>
    <w:p w14:paraId="513CE9BD" w14:textId="77777777" w:rsidR="00197341" w:rsidRDefault="00197341" w:rsidP="00197341">
      <w:pPr>
        <w:pStyle w:val="Heading2"/>
      </w:pPr>
      <w:r>
        <w:t>Tags</w:t>
      </w:r>
    </w:p>
    <w:p w14:paraId="2DEDA7BE" w14:textId="73ABFD88" w:rsidR="00F9733D" w:rsidRPr="00B929E5" w:rsidRDefault="00F9733D" w:rsidP="00F9733D">
      <w:r w:rsidRPr="00B929E5">
        <w:rPr>
          <w:i/>
          <w:iCs/>
        </w:rPr>
        <w:t>Industries:</w:t>
      </w:r>
      <w:r w:rsidRPr="00B929E5">
        <w:t xml:space="preserve"> Finance, Insurance</w:t>
      </w:r>
    </w:p>
    <w:p w14:paraId="1148E9C9" w14:textId="5F0EC046" w:rsidR="00F9733D" w:rsidRPr="00B929E5" w:rsidRDefault="00F9733D" w:rsidP="00F9733D">
      <w:r w:rsidRPr="00B929E5">
        <w:rPr>
          <w:i/>
          <w:iCs/>
        </w:rPr>
        <w:t>Stakeholders:</w:t>
      </w:r>
      <w:r w:rsidRPr="00B929E5">
        <w:t xml:space="preserve"> Customer services, Engineering, Finance, IT</w:t>
      </w:r>
    </w:p>
    <w:p w14:paraId="12BC2DB3" w14:textId="5C8B50EF" w:rsidR="00F9733D" w:rsidRPr="0067578D" w:rsidRDefault="00F9733D" w:rsidP="00F9733D">
      <w:pPr>
        <w:rPr>
          <w:rFonts w:cstheme="minorHAnsi"/>
        </w:rPr>
      </w:pPr>
      <w:r w:rsidRPr="00B929E5">
        <w:rPr>
          <w:i/>
          <w:iCs/>
        </w:rPr>
        <w:t xml:space="preserve">Products: </w:t>
      </w:r>
      <w:bookmarkStart w:id="4" w:name="_Hlk132018397"/>
      <w:r w:rsidR="0011406B" w:rsidRPr="00B929E5">
        <w:rPr>
          <w:rFonts w:cstheme="minorHAnsi"/>
        </w:rPr>
        <w:t>Dynamics 365 Customer Service</w:t>
      </w:r>
      <w:bookmarkEnd w:id="4"/>
    </w:p>
    <w:p w14:paraId="5831E293" w14:textId="77777777" w:rsidR="00F9733D" w:rsidRDefault="00F9733D" w:rsidP="00F9733D">
      <w:pPr>
        <w:pStyle w:val="Heading2"/>
      </w:pPr>
      <w:r>
        <w:t>Contributors</w:t>
      </w:r>
    </w:p>
    <w:p w14:paraId="56853BAD" w14:textId="77777777" w:rsidR="00F9733D" w:rsidRPr="00F702D5" w:rsidRDefault="00F9733D" w:rsidP="00F9733D">
      <w:pPr>
        <w:rPr>
          <w:i/>
          <w:iCs/>
        </w:rPr>
      </w:pPr>
      <w:r w:rsidRPr="00F702D5">
        <w:rPr>
          <w:i/>
          <w:iCs/>
        </w:rPr>
        <w:t>This article is maintained by Microsoft. It was originally written by the following contributors.</w:t>
      </w:r>
    </w:p>
    <w:p w14:paraId="504F396F" w14:textId="77777777" w:rsidR="00F9733D" w:rsidRDefault="00F9733D" w:rsidP="00F9733D">
      <w:r>
        <w:t>Principal author:</w:t>
      </w:r>
    </w:p>
    <w:p w14:paraId="33B6FA57" w14:textId="07218288" w:rsidR="00F9733D" w:rsidRDefault="007C01E7" w:rsidP="0098318D">
      <w:pPr>
        <w:pStyle w:val="ListParagraph"/>
        <w:numPr>
          <w:ilvl w:val="0"/>
          <w:numId w:val="20"/>
        </w:numPr>
      </w:pPr>
      <w:hyperlink r:id="rId20" w:history="1">
        <w:r w:rsidRPr="007C01E7">
          <w:rPr>
            <w:rStyle w:val="Hyperlink"/>
          </w:rPr>
          <w:t>Henrique Silvestre</w:t>
        </w:r>
      </w:hyperlink>
      <w:r w:rsidRPr="007C01E7">
        <w:t xml:space="preserve"> | Solution Architect</w:t>
      </w:r>
    </w:p>
    <w:p w14:paraId="0DAEAE08" w14:textId="77777777" w:rsidR="00197341" w:rsidRPr="0093530A" w:rsidRDefault="00197341" w:rsidP="00F9733D"/>
    <w:sectPr w:rsidR="00197341" w:rsidRPr="0093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7F000" w14:textId="77777777" w:rsidR="00B929E5" w:rsidRDefault="00B929E5" w:rsidP="00B929E5">
      <w:pPr>
        <w:spacing w:after="0" w:line="240" w:lineRule="auto"/>
      </w:pPr>
      <w:r>
        <w:separator/>
      </w:r>
    </w:p>
  </w:endnote>
  <w:endnote w:type="continuationSeparator" w:id="0">
    <w:p w14:paraId="798AFAB0" w14:textId="77777777" w:rsidR="00B929E5" w:rsidRDefault="00B929E5" w:rsidP="00B9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71D50" w14:textId="77777777" w:rsidR="00B929E5" w:rsidRDefault="00B929E5" w:rsidP="00B929E5">
      <w:pPr>
        <w:spacing w:after="0" w:line="240" w:lineRule="auto"/>
      </w:pPr>
      <w:r>
        <w:separator/>
      </w:r>
    </w:p>
  </w:footnote>
  <w:footnote w:type="continuationSeparator" w:id="0">
    <w:p w14:paraId="6ADE7BA5" w14:textId="77777777" w:rsidR="00B929E5" w:rsidRDefault="00B929E5" w:rsidP="00B9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28DF"/>
    <w:multiLevelType w:val="hybridMultilevel"/>
    <w:tmpl w:val="653E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492"/>
    <w:multiLevelType w:val="multilevel"/>
    <w:tmpl w:val="B1E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06DD"/>
    <w:multiLevelType w:val="hybridMultilevel"/>
    <w:tmpl w:val="6370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81668"/>
    <w:multiLevelType w:val="hybridMultilevel"/>
    <w:tmpl w:val="1240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C28CA"/>
    <w:multiLevelType w:val="hybridMultilevel"/>
    <w:tmpl w:val="1240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3495D"/>
    <w:multiLevelType w:val="hybridMultilevel"/>
    <w:tmpl w:val="B15A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277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6B46"/>
    <w:multiLevelType w:val="hybridMultilevel"/>
    <w:tmpl w:val="B1E63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96B80"/>
    <w:multiLevelType w:val="multilevel"/>
    <w:tmpl w:val="CC8C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F2894"/>
    <w:multiLevelType w:val="multilevel"/>
    <w:tmpl w:val="F40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1327E"/>
    <w:multiLevelType w:val="hybridMultilevel"/>
    <w:tmpl w:val="1240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37CA5"/>
    <w:multiLevelType w:val="multilevel"/>
    <w:tmpl w:val="29F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500BA"/>
    <w:multiLevelType w:val="hybridMultilevel"/>
    <w:tmpl w:val="0C2E81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50B10"/>
    <w:multiLevelType w:val="hybridMultilevel"/>
    <w:tmpl w:val="329C13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A11DA"/>
    <w:multiLevelType w:val="hybridMultilevel"/>
    <w:tmpl w:val="3612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2383A"/>
    <w:multiLevelType w:val="hybridMultilevel"/>
    <w:tmpl w:val="8AEE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F3A85"/>
    <w:multiLevelType w:val="multilevel"/>
    <w:tmpl w:val="8D4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273352"/>
    <w:multiLevelType w:val="hybridMultilevel"/>
    <w:tmpl w:val="1240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B57C7"/>
    <w:multiLevelType w:val="hybridMultilevel"/>
    <w:tmpl w:val="3BA4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A0656"/>
    <w:multiLevelType w:val="hybridMultilevel"/>
    <w:tmpl w:val="8B9C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C56A2"/>
    <w:multiLevelType w:val="hybridMultilevel"/>
    <w:tmpl w:val="5698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866A8"/>
    <w:multiLevelType w:val="hybridMultilevel"/>
    <w:tmpl w:val="EFD0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C11EB"/>
    <w:multiLevelType w:val="hybridMultilevel"/>
    <w:tmpl w:val="E6CCAF72"/>
    <w:lvl w:ilvl="0" w:tplc="7AF68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C2942"/>
    <w:multiLevelType w:val="hybridMultilevel"/>
    <w:tmpl w:val="1C96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8437E"/>
    <w:multiLevelType w:val="hybridMultilevel"/>
    <w:tmpl w:val="40068B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72398"/>
    <w:multiLevelType w:val="hybridMultilevel"/>
    <w:tmpl w:val="4BD2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87E25"/>
    <w:multiLevelType w:val="hybridMultilevel"/>
    <w:tmpl w:val="D5CEC6D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F1E7E77"/>
    <w:multiLevelType w:val="hybridMultilevel"/>
    <w:tmpl w:val="BB6A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D73D5"/>
    <w:multiLevelType w:val="hybridMultilevel"/>
    <w:tmpl w:val="B482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83F32"/>
    <w:multiLevelType w:val="multilevel"/>
    <w:tmpl w:val="3D2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334FB"/>
    <w:multiLevelType w:val="hybridMultilevel"/>
    <w:tmpl w:val="ED04382A"/>
    <w:lvl w:ilvl="0" w:tplc="7C14A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D52D3"/>
    <w:multiLevelType w:val="hybridMultilevel"/>
    <w:tmpl w:val="3F1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B4730"/>
    <w:multiLevelType w:val="hybridMultilevel"/>
    <w:tmpl w:val="E3E42E14"/>
    <w:lvl w:ilvl="0" w:tplc="8B000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339E7"/>
    <w:multiLevelType w:val="multilevel"/>
    <w:tmpl w:val="40A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17AC7"/>
    <w:multiLevelType w:val="multilevel"/>
    <w:tmpl w:val="E09C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DE5CE9"/>
    <w:multiLevelType w:val="hybridMultilevel"/>
    <w:tmpl w:val="5A9A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23ECE"/>
    <w:multiLevelType w:val="hybridMultilevel"/>
    <w:tmpl w:val="3D7C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D222C"/>
    <w:multiLevelType w:val="hybridMultilevel"/>
    <w:tmpl w:val="1240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2B41"/>
    <w:multiLevelType w:val="multilevel"/>
    <w:tmpl w:val="3340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F054C2"/>
    <w:multiLevelType w:val="hybridMultilevel"/>
    <w:tmpl w:val="1240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C2566"/>
    <w:multiLevelType w:val="hybridMultilevel"/>
    <w:tmpl w:val="350C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23C4"/>
    <w:multiLevelType w:val="hybridMultilevel"/>
    <w:tmpl w:val="BEB2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C1447"/>
    <w:multiLevelType w:val="hybridMultilevel"/>
    <w:tmpl w:val="176C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77265B"/>
    <w:multiLevelType w:val="multilevel"/>
    <w:tmpl w:val="683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B26F6"/>
    <w:multiLevelType w:val="hybridMultilevel"/>
    <w:tmpl w:val="B04A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13690"/>
    <w:multiLevelType w:val="hybridMultilevel"/>
    <w:tmpl w:val="F13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55597"/>
    <w:multiLevelType w:val="hybridMultilevel"/>
    <w:tmpl w:val="B1E631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913119">
    <w:abstractNumId w:val="43"/>
  </w:num>
  <w:num w:numId="2" w16cid:durableId="187722703">
    <w:abstractNumId w:val="21"/>
  </w:num>
  <w:num w:numId="3" w16cid:durableId="2142914081">
    <w:abstractNumId w:val="2"/>
  </w:num>
  <w:num w:numId="4" w16cid:durableId="1423839791">
    <w:abstractNumId w:val="35"/>
  </w:num>
  <w:num w:numId="5" w16cid:durableId="1151100602">
    <w:abstractNumId w:val="31"/>
  </w:num>
  <w:num w:numId="6" w16cid:durableId="730466931">
    <w:abstractNumId w:val="5"/>
  </w:num>
  <w:num w:numId="7" w16cid:durableId="1588803389">
    <w:abstractNumId w:val="40"/>
  </w:num>
  <w:num w:numId="8" w16cid:durableId="373702207">
    <w:abstractNumId w:val="29"/>
  </w:num>
  <w:num w:numId="9" w16cid:durableId="1875969154">
    <w:abstractNumId w:val="39"/>
  </w:num>
  <w:num w:numId="10" w16cid:durableId="941650326">
    <w:abstractNumId w:val="30"/>
  </w:num>
  <w:num w:numId="11" w16cid:durableId="134026061">
    <w:abstractNumId w:val="23"/>
  </w:num>
  <w:num w:numId="12" w16cid:durableId="33163921">
    <w:abstractNumId w:val="0"/>
  </w:num>
  <w:num w:numId="13" w16cid:durableId="1088770382">
    <w:abstractNumId w:val="37"/>
  </w:num>
  <w:num w:numId="14" w16cid:durableId="1699742109">
    <w:abstractNumId w:val="28"/>
  </w:num>
  <w:num w:numId="15" w16cid:durableId="720519146">
    <w:abstractNumId w:val="13"/>
  </w:num>
  <w:num w:numId="16" w16cid:durableId="1560677245">
    <w:abstractNumId w:val="41"/>
  </w:num>
  <w:num w:numId="17" w16cid:durableId="928392852">
    <w:abstractNumId w:val="26"/>
  </w:num>
  <w:num w:numId="18" w16cid:durableId="459685756">
    <w:abstractNumId w:val="14"/>
  </w:num>
  <w:num w:numId="19" w16cid:durableId="1259828289">
    <w:abstractNumId w:val="19"/>
  </w:num>
  <w:num w:numId="20" w16cid:durableId="2025477457">
    <w:abstractNumId w:val="25"/>
  </w:num>
  <w:num w:numId="21" w16cid:durableId="1656294815">
    <w:abstractNumId w:val="24"/>
  </w:num>
  <w:num w:numId="22" w16cid:durableId="1694455075">
    <w:abstractNumId w:val="34"/>
  </w:num>
  <w:num w:numId="23" w16cid:durableId="1863083863">
    <w:abstractNumId w:val="18"/>
  </w:num>
  <w:num w:numId="24" w16cid:durableId="1594850073">
    <w:abstractNumId w:val="22"/>
  </w:num>
  <w:num w:numId="25" w16cid:durableId="547300123">
    <w:abstractNumId w:val="44"/>
  </w:num>
  <w:num w:numId="26" w16cid:durableId="1753234377">
    <w:abstractNumId w:val="20"/>
  </w:num>
  <w:num w:numId="27" w16cid:durableId="2056851151">
    <w:abstractNumId w:val="27"/>
  </w:num>
  <w:num w:numId="28" w16cid:durableId="1822303501">
    <w:abstractNumId w:val="17"/>
  </w:num>
  <w:num w:numId="29" w16cid:durableId="2123183260">
    <w:abstractNumId w:val="10"/>
  </w:num>
  <w:num w:numId="30" w16cid:durableId="1788693354">
    <w:abstractNumId w:val="1"/>
  </w:num>
  <w:num w:numId="31" w16cid:durableId="1953441177">
    <w:abstractNumId w:val="11"/>
  </w:num>
  <w:num w:numId="32" w16cid:durableId="1929576965">
    <w:abstractNumId w:val="42"/>
  </w:num>
  <w:num w:numId="33" w16cid:durableId="219170941">
    <w:abstractNumId w:val="32"/>
  </w:num>
  <w:num w:numId="34" w16cid:durableId="1930308372">
    <w:abstractNumId w:val="7"/>
  </w:num>
  <w:num w:numId="35" w16cid:durableId="541865758">
    <w:abstractNumId w:val="15"/>
  </w:num>
  <w:num w:numId="36" w16cid:durableId="592208362">
    <w:abstractNumId w:val="12"/>
  </w:num>
  <w:num w:numId="37" w16cid:durableId="1444614597">
    <w:abstractNumId w:val="45"/>
  </w:num>
  <w:num w:numId="38" w16cid:durableId="791049310">
    <w:abstractNumId w:val="6"/>
  </w:num>
  <w:num w:numId="39" w16cid:durableId="1407992934">
    <w:abstractNumId w:val="16"/>
  </w:num>
  <w:num w:numId="40" w16cid:durableId="336658620">
    <w:abstractNumId w:val="4"/>
  </w:num>
  <w:num w:numId="41" w16cid:durableId="968319608">
    <w:abstractNumId w:val="3"/>
  </w:num>
  <w:num w:numId="42" w16cid:durableId="1411732668">
    <w:abstractNumId w:val="9"/>
  </w:num>
  <w:num w:numId="43" w16cid:durableId="1446071430">
    <w:abstractNumId w:val="38"/>
  </w:num>
  <w:num w:numId="44" w16cid:durableId="719863645">
    <w:abstractNumId w:val="36"/>
  </w:num>
  <w:num w:numId="45" w16cid:durableId="359933953">
    <w:abstractNumId w:val="8"/>
  </w:num>
  <w:num w:numId="46" w16cid:durableId="20941795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86"/>
    <w:rsid w:val="00011A62"/>
    <w:rsid w:val="00056B49"/>
    <w:rsid w:val="000A2C1F"/>
    <w:rsid w:val="000A43A9"/>
    <w:rsid w:val="000E5916"/>
    <w:rsid w:val="0011406B"/>
    <w:rsid w:val="0014694C"/>
    <w:rsid w:val="001539F5"/>
    <w:rsid w:val="001558C8"/>
    <w:rsid w:val="001808A6"/>
    <w:rsid w:val="0018375B"/>
    <w:rsid w:val="00197341"/>
    <w:rsid w:val="001B2DBC"/>
    <w:rsid w:val="001B3391"/>
    <w:rsid w:val="001C7B6E"/>
    <w:rsid w:val="002124CD"/>
    <w:rsid w:val="002217E7"/>
    <w:rsid w:val="00246114"/>
    <w:rsid w:val="002625E0"/>
    <w:rsid w:val="00267B3B"/>
    <w:rsid w:val="0027254A"/>
    <w:rsid w:val="002737BA"/>
    <w:rsid w:val="0027789B"/>
    <w:rsid w:val="00311077"/>
    <w:rsid w:val="00311BC7"/>
    <w:rsid w:val="0032249A"/>
    <w:rsid w:val="003276F7"/>
    <w:rsid w:val="00335B63"/>
    <w:rsid w:val="00337D7B"/>
    <w:rsid w:val="00352A3D"/>
    <w:rsid w:val="0038098A"/>
    <w:rsid w:val="00383C83"/>
    <w:rsid w:val="003960E6"/>
    <w:rsid w:val="003B09D5"/>
    <w:rsid w:val="003B58DF"/>
    <w:rsid w:val="003C2C41"/>
    <w:rsid w:val="003C2CE8"/>
    <w:rsid w:val="003D7708"/>
    <w:rsid w:val="00411F22"/>
    <w:rsid w:val="004439ED"/>
    <w:rsid w:val="0045458E"/>
    <w:rsid w:val="00477077"/>
    <w:rsid w:val="004917E1"/>
    <w:rsid w:val="004E0FD1"/>
    <w:rsid w:val="004F4C53"/>
    <w:rsid w:val="00504467"/>
    <w:rsid w:val="00513B1D"/>
    <w:rsid w:val="005341ED"/>
    <w:rsid w:val="00536461"/>
    <w:rsid w:val="005407D3"/>
    <w:rsid w:val="00544DDC"/>
    <w:rsid w:val="00554BF3"/>
    <w:rsid w:val="005757A8"/>
    <w:rsid w:val="005B131D"/>
    <w:rsid w:val="005B30A6"/>
    <w:rsid w:val="005F0479"/>
    <w:rsid w:val="005F2318"/>
    <w:rsid w:val="005F3298"/>
    <w:rsid w:val="00602A9D"/>
    <w:rsid w:val="00612346"/>
    <w:rsid w:val="0062587F"/>
    <w:rsid w:val="006258D2"/>
    <w:rsid w:val="0063316F"/>
    <w:rsid w:val="006406CA"/>
    <w:rsid w:val="006439C9"/>
    <w:rsid w:val="006568AB"/>
    <w:rsid w:val="00670244"/>
    <w:rsid w:val="00671928"/>
    <w:rsid w:val="0067578D"/>
    <w:rsid w:val="0069138A"/>
    <w:rsid w:val="006A0F30"/>
    <w:rsid w:val="006D50B4"/>
    <w:rsid w:val="006E100F"/>
    <w:rsid w:val="006F5559"/>
    <w:rsid w:val="007975A0"/>
    <w:rsid w:val="007A24FC"/>
    <w:rsid w:val="007C01E7"/>
    <w:rsid w:val="007C6052"/>
    <w:rsid w:val="008201C0"/>
    <w:rsid w:val="00820C07"/>
    <w:rsid w:val="008B5E49"/>
    <w:rsid w:val="008F124F"/>
    <w:rsid w:val="0093530A"/>
    <w:rsid w:val="00946CE3"/>
    <w:rsid w:val="00947979"/>
    <w:rsid w:val="00953A17"/>
    <w:rsid w:val="00972731"/>
    <w:rsid w:val="00980E95"/>
    <w:rsid w:val="0098577B"/>
    <w:rsid w:val="00995A33"/>
    <w:rsid w:val="00995B00"/>
    <w:rsid w:val="009A4FA3"/>
    <w:rsid w:val="009D1143"/>
    <w:rsid w:val="009E32E1"/>
    <w:rsid w:val="009E422F"/>
    <w:rsid w:val="009F3245"/>
    <w:rsid w:val="00A01D8D"/>
    <w:rsid w:val="00A07B6C"/>
    <w:rsid w:val="00A2791B"/>
    <w:rsid w:val="00A42AD3"/>
    <w:rsid w:val="00A709F4"/>
    <w:rsid w:val="00A71449"/>
    <w:rsid w:val="00A839BE"/>
    <w:rsid w:val="00AA4DBC"/>
    <w:rsid w:val="00B13786"/>
    <w:rsid w:val="00B435F1"/>
    <w:rsid w:val="00B45156"/>
    <w:rsid w:val="00B711C3"/>
    <w:rsid w:val="00B74DA4"/>
    <w:rsid w:val="00B929E5"/>
    <w:rsid w:val="00BC1858"/>
    <w:rsid w:val="00BD2751"/>
    <w:rsid w:val="00BE09FB"/>
    <w:rsid w:val="00BE483F"/>
    <w:rsid w:val="00BE6FE0"/>
    <w:rsid w:val="00BF4FD8"/>
    <w:rsid w:val="00C20216"/>
    <w:rsid w:val="00C43DFB"/>
    <w:rsid w:val="00C55929"/>
    <w:rsid w:val="00C77523"/>
    <w:rsid w:val="00C97963"/>
    <w:rsid w:val="00CB6F66"/>
    <w:rsid w:val="00CD4C06"/>
    <w:rsid w:val="00CE10BA"/>
    <w:rsid w:val="00D3458B"/>
    <w:rsid w:val="00D61638"/>
    <w:rsid w:val="00D7179D"/>
    <w:rsid w:val="00D9006A"/>
    <w:rsid w:val="00DA27BA"/>
    <w:rsid w:val="00DD6CDE"/>
    <w:rsid w:val="00DE33D6"/>
    <w:rsid w:val="00DE4DE0"/>
    <w:rsid w:val="00E42775"/>
    <w:rsid w:val="00E52B72"/>
    <w:rsid w:val="00E83E53"/>
    <w:rsid w:val="00EA2B48"/>
    <w:rsid w:val="00EC1605"/>
    <w:rsid w:val="00ED1BE7"/>
    <w:rsid w:val="00F02A6E"/>
    <w:rsid w:val="00F3781F"/>
    <w:rsid w:val="00F4794F"/>
    <w:rsid w:val="00F5424B"/>
    <w:rsid w:val="00F81384"/>
    <w:rsid w:val="00F84209"/>
    <w:rsid w:val="00F9733D"/>
    <w:rsid w:val="00FB3E6E"/>
    <w:rsid w:val="00FC17A8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D2C1"/>
  <w15:chartTrackingRefBased/>
  <w15:docId w15:val="{D19F5BA0-0B25-4F83-9A18-F21083C8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F30"/>
  </w:style>
  <w:style w:type="paragraph" w:styleId="Heading1">
    <w:name w:val="heading 1"/>
    <w:basedOn w:val="Normal"/>
    <w:next w:val="Normal"/>
    <w:link w:val="Heading1Char"/>
    <w:uiPriority w:val="9"/>
    <w:qFormat/>
    <w:rsid w:val="00935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ction">
    <w:name w:val="hljs-section"/>
    <w:basedOn w:val="DefaultParagraphFont"/>
    <w:rsid w:val="0093530A"/>
  </w:style>
  <w:style w:type="character" w:customStyle="1" w:styleId="hljs-emphasis">
    <w:name w:val="hljs-emphasis"/>
    <w:basedOn w:val="DefaultParagraphFont"/>
    <w:rsid w:val="0093530A"/>
  </w:style>
  <w:style w:type="character" w:customStyle="1" w:styleId="hljs-strong">
    <w:name w:val="hljs-strong"/>
    <w:basedOn w:val="DefaultParagraphFont"/>
    <w:rsid w:val="0093530A"/>
  </w:style>
  <w:style w:type="character" w:customStyle="1" w:styleId="hljs-bullet">
    <w:name w:val="hljs-bullet"/>
    <w:basedOn w:val="DefaultParagraphFont"/>
    <w:rsid w:val="0093530A"/>
  </w:style>
  <w:style w:type="character" w:customStyle="1" w:styleId="Heading1Char">
    <w:name w:val="Heading 1 Char"/>
    <w:basedOn w:val="DefaultParagraphFont"/>
    <w:link w:val="Heading1"/>
    <w:uiPriority w:val="9"/>
    <w:rsid w:val="00935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35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5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5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30A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8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B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1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F8420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77077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DA27BA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BF4FD8"/>
    <w:rPr>
      <w:b/>
      <w:bCs/>
    </w:rPr>
  </w:style>
  <w:style w:type="character" w:styleId="Emphasis">
    <w:name w:val="Emphasis"/>
    <w:basedOn w:val="DefaultParagraphFont"/>
    <w:uiPriority w:val="20"/>
    <w:qFormat/>
    <w:rsid w:val="00BF4FD8"/>
    <w:rPr>
      <w:i/>
      <w:iCs/>
    </w:rPr>
  </w:style>
  <w:style w:type="character" w:customStyle="1" w:styleId="cf01">
    <w:name w:val="cf01"/>
    <w:basedOn w:val="DefaultParagraphFont"/>
    <w:rsid w:val="00CB6F66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2625E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D11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E5"/>
  </w:style>
  <w:style w:type="paragraph" w:styleId="Footer">
    <w:name w:val="footer"/>
    <w:basedOn w:val="Normal"/>
    <w:link w:val="FooterChar"/>
    <w:uiPriority w:val="99"/>
    <w:unhideWhenUsed/>
    <w:rsid w:val="00B9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e4you-my.sharepoint.com/personal/henrique_souza_bearingpoint_com/Documents/Bearing%20Point/FastTrackSubmission/BOI-Phase1/Souza_Henrique_BearingPoint_Dynamics365CustomerEngagement/Pre%20Requisites/Reference%20Architecture/graphics-reference-architecture.pptx?web=1" TargetMode="External"/><Relationship Id="rId18" Type="http://schemas.openxmlformats.org/officeDocument/2006/relationships/hyperlink" Target="https://learn.microsoft.com/azure/architecture/framework/cost/overview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learn.microsoft.com/dynamics365/guidan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tra/identity-platform/msal-overview" TargetMode="External"/><Relationship Id="rId20" Type="http://schemas.openxmlformats.org/officeDocument/2006/relationships/hyperlink" Target="https://www.linkedin.com/in/hsilvestr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microsoft.com/security/business/identity-access/microsoft-entra-id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azure.microsoft.com/pricing/calculato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crosoft.com/dynamics-365/products/customer-servic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souza\Downloads\Reference%20archit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943df03-383b-49cb-84d6-f21e13974dfe" xsi:nil="true"/>
    <lcf76f155ced4ddcb4097134ff3c332f xmlns="1d596d27-e1f6-4226-8984-550c8efea889">
      <Terms xmlns="http://schemas.microsoft.com/office/infopath/2007/PartnerControls"/>
    </lcf76f155ced4ddcb4097134ff3c332f>
    <Year xmlns="1d596d27-e1f6-4226-8984-550c8efea889">2023</Year>
    <ProductFamily xmlns="1d596d27-e1f6-4226-8984-550c8efea889" xmlns:xsi="http://www.w3.org/2001/XMLSchema-instance" xsi:nil="true"/>
    <EditingComplete xmlns="1d596d27-e1f6-4226-8984-550c8efea889" xmlns:xsi="http://www.w3.org/2001/XMLSchema-instance" xsi:nil="true"/>
    <UploadedtoYT xmlns="1d596d27-e1f6-4226-8984-550c8efea889">false</UploadedtoYT>
    <MSLearnlink xmlns="1d596d27-e1f6-4226-8984-550c8efea889">
      <Url xsi:nil="true"/>
      <Description xsi:nil="true"/>
    </MSLearn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8811808024241B942FACDEB4D8CC7" ma:contentTypeVersion="23" ma:contentTypeDescription="Create a new document." ma:contentTypeScope="" ma:versionID="83aee25c22f396a510f34c767108f4af">
  <xsd:schema xmlns:xsd="http://www.w3.org/2001/XMLSchema" xmlns:xs="http://www.w3.org/2001/XMLSchema" xmlns:p="http://schemas.microsoft.com/office/2006/metadata/properties" xmlns:ns1="http://schemas.microsoft.com/sharepoint/v3" xmlns:ns2="1d596d27-e1f6-4226-8984-550c8efea889" xmlns:ns3="a943df03-383b-49cb-84d6-f21e13974dfe" targetNamespace="http://schemas.microsoft.com/office/2006/metadata/properties" ma:root="true" ma:fieldsID="f20e5f97f1a8d1f80445a1d6dac8123f" ns1:_="" ns2:_="" ns3:_="">
    <xsd:import namespace="http://schemas.microsoft.com/sharepoint/v3"/>
    <xsd:import namespace="1d596d27-e1f6-4226-8984-550c8efea889"/>
    <xsd:import namespace="a943df03-383b-49cb-84d6-f21e13974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oc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Year" minOccurs="0"/>
                <xsd:element ref="ns2:ProductFamily" minOccurs="0"/>
                <xsd:element ref="ns2:EditingComplete" minOccurs="0"/>
                <xsd:element ref="ns2:UploadedtoYT" minOccurs="0"/>
                <xsd:element ref="ns2:MediaServiceObjectDetectorVersions" minOccurs="0"/>
                <xsd:element ref="ns2:MediaServiceSystemTags" minOccurs="0"/>
                <xsd:element ref="ns2:MSLearn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96d27-e1f6-4226-8984-550c8efea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ocTags" ma:index="16" nillable="true" ma:displayName="MediaServiceDocTags" ma:hidden="true" ma:internalName="MediaServiceDocTag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Year" ma:index="24" nillable="true" ma:displayName="Year" ma:default="2023" ma:description="Year" ma:format="Dropdown" ma:internalName="Year">
      <xsd:simpleType>
        <xsd:restriction base="dms:Text">
          <xsd:maxLength value="4"/>
        </xsd:restriction>
      </xsd:simpleType>
    </xsd:element>
    <xsd:element name="ProductFamily" ma:index="25" nillable="true" ma:displayName="Product Family" ma:default="Finance &amp; Operations" ma:format="Dropdown" ma:internalName="ProductFamily">
      <xsd:simpleType>
        <xsd:restriction base="dms:Choice">
          <xsd:enumeration value="Customer Engagement"/>
          <xsd:enumeration value="Finance &amp; Operations"/>
          <xsd:enumeration value="Both (F&amp;O and CE)"/>
          <xsd:enumeration value="Power Platform"/>
        </xsd:restriction>
      </xsd:simpleType>
    </xsd:element>
    <xsd:element name="EditingComplete" ma:index="26" nillable="true" ma:displayName="Editing Complete" ma:default="Published" ma:description="status of video" ma:format="Dropdown" ma:internalName="EditingComplete">
      <xsd:simpleType>
        <xsd:restriction base="dms:Choice">
          <xsd:enumeration value="Ready for Edition"/>
          <xsd:enumeration value="In Progress"/>
          <xsd:enumeration value="Editing Complete"/>
          <xsd:enumeration value="Planned TechTalk"/>
          <xsd:enumeration value="Published"/>
        </xsd:restriction>
      </xsd:simpleType>
    </xsd:element>
    <xsd:element name="UploadedtoYT" ma:index="27" nillable="true" ma:displayName="Uploaded to YT" ma:default="1" ma:format="Dropdown" ma:internalName="UploadedtoYT">
      <xsd:simpleType>
        <xsd:restriction base="dms:Boolean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9" nillable="true" ma:displayName="MediaServiceSystemTags" ma:hidden="true" ma:internalName="MediaServiceSystemTags" ma:readOnly="true">
      <xsd:simpleType>
        <xsd:restriction base="dms:Note"/>
      </xsd:simpleType>
    </xsd:element>
    <xsd:element name="MSLearnlink" ma:index="30" nillable="true" ma:displayName="MS Learn link" ma:format="Hyperlink" ma:internalName="MSLearn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3df03-383b-49cb-84d6-f21e13974d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09bcb8-5357-46d1-992c-4b91ae6ac352}" ma:internalName="TaxCatchAll" ma:showField="CatchAllData" ma:web="a943df03-383b-49cb-84d6-f21e13974d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7F4BD5-3F1B-40E7-AC4E-5F9D4B81A1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EC07FE-676E-4DFD-80F4-8FAE6240C3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943df03-383b-49cb-84d6-f21e13974dfe"/>
    <ds:schemaRef ds:uri="1d596d27-e1f6-4226-8984-550c8efea889"/>
  </ds:schemaRefs>
</ds:datastoreItem>
</file>

<file path=customXml/itemProps3.xml><?xml version="1.0" encoding="utf-8"?>
<ds:datastoreItem xmlns:ds="http://schemas.openxmlformats.org/officeDocument/2006/customXml" ds:itemID="{5B3E4ABA-6038-47A7-BA64-3122E4727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96d27-e1f6-4226-8984-550c8efea889"/>
    <ds:schemaRef ds:uri="a943df03-383b-49cb-84d6-f21e13974d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a321b6e-c2f4-42f8-95b8-4d018e6d28ec}" enabled="0" method="" siteId="{aa321b6e-c2f4-42f8-95b8-4d018e6d28ec}" removed="1"/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Reference architecture template.dotx</Template>
  <TotalTime>0</TotalTime>
  <Pages>8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architecture template</vt:lpstr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architecture template</dc:title>
  <dc:subject/>
  <dc:creator>Henrique Souza</dc:creator>
  <cp:keywords/>
  <dc:description/>
  <cp:lastModifiedBy>Henrique Souza</cp:lastModifiedBy>
  <cp:revision>79</cp:revision>
  <dcterms:created xsi:type="dcterms:W3CDTF">2025-02-28T09:40:00Z</dcterms:created>
  <dcterms:modified xsi:type="dcterms:W3CDTF">2025-03-03T16:17:00Z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0x01010028B8811808024241B942FACDEB4D8CC7</vt:lpwstr>
  </property>
  <property fmtid="{D5CDD505-2E9C-101B-9397-08002B2CF9AE}" pid="3" name="MediaServiceImageTags">
    <vt:lpwstr/>
  </property>
  <property fmtid="{D5CDD505-2E9C-101B-9397-08002B2CF9AE}" pid="4" name="43b072f0-0f82-4aac-be1e-8abeffc32f66">
    <vt:bool>false</vt:bool>
  </property>
</Properties>
</file>