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</w:pPr>
      <w:r>
        <w:rPr>
          <w:rFonts w:ascii="맑은 고딕" w:cs="맑은 고딕" w:eastAsia="맑은 고딕" w:hAnsi="맑은 고딕"/>
          <w:i/>
          <w:iCs/>
          <w:color w:val="595959"/>
          <w:sz w:val="17"/>
          <w:szCs w:val="17"/>
        </w:rPr>
        <w:t xml:space="preserve">실습용 예시 자료 · 가상의 회사와 수치입니다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AI 데이터센터 구축 투자 검토(안)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한빛에너지 컨소시엄 지분 참여 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2026. 9. 9.  ·  신성장투자팀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검토 배경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생성형 AI가 확산되면서 국내 데이터센터 수요가 늘고 있다. GPU를 많이 쓰는 작업은 기존 상면과 전력 조건으로 감당하기 어려워 전용 시설 수요가 따로 생기고 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한빛에너지가 추진하는 충남 아산 AI 전용 데이터센터 사업에 지분 참여 기회가 제시되었다. 총 사업비는 8,400억 원이며 당사 참여 지분 20%(1,680억 원)를 검토한다.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사업 개요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pct" w:w="2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pct" w:w="7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위치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충남 아산시 (부지 확보 완료, 매매계약 체결 전)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규모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 부하 기준 40MW, 2단계 확장 시 최대 100MW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총 사업비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8,400억 원 (1단계 5,200억, 2단계 3,200억)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참여 형태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SPC 지분 20% 취득, 이사회 1석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일정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2027년 1분기 착공, 2029년 3분기 1단계 상업 가동</w:t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투자 논거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가. 수요 측면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국내 AI 데이터센터 시장은 2030년까지 연평균 34% 성장할 것으로 전망된다. 1단계 40MW는 가동 시점에 완판이 가능할 것으로 본다.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주요 클라우드 사업자 두 곳과 사전 수요 협의를 진행 중이다. 1단계 물량의 60% 이상은 장기 계약으로 소화될 것으로 예상한다.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나. 전력 조건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한빛에너지가 인근 LNG 복합화력 지분을 보유해 전력 조달이 안정적이다. 계통 연계는 2028년 상반기에 마무리된다.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다. 수익성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1단계 기준 IRR 12.4%, 회수 기간 9년으로 산출된다. 당사 투자 기준인 IRR 10%를 넘는다.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기대 효과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그룹 AI 인프라를 확보한다. 계열사 AI 작업을 자체 시설에서 처리할 수 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한빛에너지와 협력 관계를 다진다. 앞으로 재생에너지 사업을 함께 추진할 발판이 된다.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데이터센터 운영 역량을 쌓는다. 2단계 이후 단독 사업을 추진할 수 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리스크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pct" w:w="45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수요 변동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인프라 투자가 둔화되면 가동률이 떨어진다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장기 계약 비중 확대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전력 계통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계통 연계가 늦어질 수 있다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한빛에너지 책임 조항 삽입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건설비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자재비가 오르면 초과분이 발생한다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도급 계약에 상한 설정</w:t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6. 검토 요청 사항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건에 참여할지, 참여한다면 어느 규모로 할지 위원회 의견을 요청한다. 참여할 경우 2026년 10월 중 구속력 있는 투자확약서를 내야 한다.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작성 신성장투자팀 · 검토 요청일 2026. 9. 9.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본 문서는 교육 실습용으로 작성된 가상 사례이며 실재하는 기업이나 사업과 무관합니다.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2026-09-08T11:50:11.015Z</dcterms:created>
  <dcterms:modified xsi:type="dcterms:W3CDTF">2026-09-08T11:50:11.015Z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