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81D8" w14:textId="73A489AD" w:rsidR="002E6750" w:rsidRDefault="693BB121">
      <w:pPr>
        <w:jc w:val="center"/>
      </w:pPr>
      <w:r w:rsidRPr="1F564C9E">
        <w:rPr>
          <w:b/>
          <w:bCs/>
          <w:color w:val="1A3C6E"/>
          <w:sz w:val="32"/>
          <w:szCs w:val="32"/>
        </w:rPr>
        <w:t>Contoso Ltd.</w:t>
      </w:r>
    </w:p>
    <w:p w14:paraId="3F949C9A" w14:textId="77777777" w:rsidR="002E6750" w:rsidRDefault="00000000">
      <w:pPr>
        <w:jc w:val="center"/>
      </w:pPr>
      <w:r>
        <w:rPr>
          <w:sz w:val="22"/>
        </w:rPr>
        <w:t>Human Resources Department</w:t>
      </w:r>
    </w:p>
    <w:tbl>
      <w:tblPr>
        <w:tblW w:w="0" w:type="auto"/>
        <w:tblLook w:val="04A0" w:firstRow="1" w:lastRow="0" w:firstColumn="1" w:lastColumn="0" w:noHBand="0" w:noVBand="1"/>
      </w:tblPr>
      <w:tblGrid>
        <w:gridCol w:w="8640"/>
      </w:tblGrid>
      <w:tr w:rsidR="002E6750" w14:paraId="672A6659" w14:textId="77777777">
        <w:trPr>
          <w:trHeight w:val="72"/>
        </w:trPr>
        <w:tc>
          <w:tcPr>
            <w:tcW w:w="8640" w:type="dxa"/>
            <w:shd w:val="clear" w:color="auto" w:fill="1A3C6E"/>
          </w:tcPr>
          <w:p w14:paraId="0A37501D" w14:textId="77777777" w:rsidR="002E6750" w:rsidRDefault="002E6750"/>
        </w:tc>
      </w:tr>
    </w:tbl>
    <w:p w14:paraId="5DAB6C7B" w14:textId="77777777" w:rsidR="002E6750" w:rsidRDefault="002E6750"/>
    <w:p w14:paraId="7301AAB5" w14:textId="77777777" w:rsidR="002E6750" w:rsidRDefault="00000000">
      <w:pPr>
        <w:jc w:val="center"/>
      </w:pPr>
      <w:r>
        <w:rPr>
          <w:b/>
          <w:color w:val="1A3C6E"/>
          <w:sz w:val="30"/>
        </w:rPr>
        <w:t>Compensation Policy</w:t>
      </w:r>
    </w:p>
    <w:p w14:paraId="02EB378F" w14:textId="77777777" w:rsidR="002E6750" w:rsidRDefault="002E6750"/>
    <w:tbl>
      <w:tblPr>
        <w:tblStyle w:val="TableGrid"/>
        <w:tblW w:w="0" w:type="auto"/>
        <w:tblLook w:val="04A0" w:firstRow="1" w:lastRow="0" w:firstColumn="1" w:lastColumn="0" w:noHBand="0" w:noVBand="1"/>
      </w:tblPr>
      <w:tblGrid>
        <w:gridCol w:w="4320"/>
        <w:gridCol w:w="4320"/>
      </w:tblGrid>
      <w:tr w:rsidR="002E6750" w14:paraId="4300C468" w14:textId="77777777">
        <w:tc>
          <w:tcPr>
            <w:tcW w:w="4320" w:type="dxa"/>
          </w:tcPr>
          <w:p w14:paraId="6AAC106E" w14:textId="77777777" w:rsidR="002E6750" w:rsidRDefault="00000000">
            <w:r>
              <w:rPr>
                <w:b/>
              </w:rPr>
              <w:t>Policy Number:</w:t>
            </w:r>
          </w:p>
        </w:tc>
        <w:tc>
          <w:tcPr>
            <w:tcW w:w="4320" w:type="dxa"/>
          </w:tcPr>
          <w:p w14:paraId="348662F4" w14:textId="77777777" w:rsidR="002E6750" w:rsidRDefault="00000000">
            <w:r>
              <w:t>HR-POL-005</w:t>
            </w:r>
          </w:p>
        </w:tc>
      </w:tr>
      <w:tr w:rsidR="002E6750" w14:paraId="5E158DE6" w14:textId="77777777">
        <w:tc>
          <w:tcPr>
            <w:tcW w:w="4320" w:type="dxa"/>
          </w:tcPr>
          <w:p w14:paraId="700F2D74" w14:textId="77777777" w:rsidR="002E6750" w:rsidRDefault="00000000">
            <w:r>
              <w:rPr>
                <w:b/>
              </w:rPr>
              <w:t>Effective Date:</w:t>
            </w:r>
          </w:p>
        </w:tc>
        <w:tc>
          <w:tcPr>
            <w:tcW w:w="4320" w:type="dxa"/>
          </w:tcPr>
          <w:p w14:paraId="3916745D" w14:textId="77777777" w:rsidR="002E6750" w:rsidRDefault="00000000">
            <w:r>
              <w:t>January 1, 2025</w:t>
            </w:r>
          </w:p>
        </w:tc>
      </w:tr>
      <w:tr w:rsidR="002E6750" w14:paraId="793FF418" w14:textId="77777777">
        <w:tc>
          <w:tcPr>
            <w:tcW w:w="4320" w:type="dxa"/>
          </w:tcPr>
          <w:p w14:paraId="41E29D6E" w14:textId="77777777" w:rsidR="002E6750" w:rsidRDefault="00000000">
            <w:r>
              <w:rPr>
                <w:b/>
              </w:rPr>
              <w:t>Last Revised:</w:t>
            </w:r>
          </w:p>
        </w:tc>
        <w:tc>
          <w:tcPr>
            <w:tcW w:w="4320" w:type="dxa"/>
          </w:tcPr>
          <w:p w14:paraId="17E666DC" w14:textId="77777777" w:rsidR="002E6750" w:rsidRDefault="00000000">
            <w:r>
              <w:t>March 1, 2025</w:t>
            </w:r>
          </w:p>
        </w:tc>
      </w:tr>
    </w:tbl>
    <w:p w14:paraId="6A05A809" w14:textId="77777777" w:rsidR="002E6750" w:rsidRDefault="002E6750"/>
    <w:p w14:paraId="2D4ACC3A" w14:textId="77777777" w:rsidR="002E6750" w:rsidRDefault="00000000">
      <w:r>
        <w:rPr>
          <w:b/>
          <w:color w:val="1A3C6E"/>
          <w:sz w:val="24"/>
        </w:rPr>
        <w:t>1. Purpose</w:t>
      </w:r>
    </w:p>
    <w:p w14:paraId="3E74A02C" w14:textId="11F5383B" w:rsidR="002E6750" w:rsidRDefault="693BB121">
      <w:r>
        <w:t>Contoso Ltd.</w:t>
      </w:r>
      <w:r w:rsidR="1F564C9E">
        <w:t xml:space="preserve"> is committed to providing competitive, equitable, and transparent compensation that attracts and retains top talent, rewards performance, and reflects the value each employee brings to the organization. This policy establishes the framework for how the Company determines, administers, and adjusts employee pay.</w:t>
      </w:r>
    </w:p>
    <w:p w14:paraId="2E3BAD62" w14:textId="77777777" w:rsidR="002E6750" w:rsidRDefault="00000000">
      <w:r>
        <w:rPr>
          <w:b/>
          <w:color w:val="1A3C6E"/>
          <w:sz w:val="24"/>
        </w:rPr>
        <w:t>2. Scope</w:t>
      </w:r>
    </w:p>
    <w:p w14:paraId="7BFE8397" w14:textId="77777777" w:rsidR="002E6750" w:rsidRDefault="00000000">
      <w:r>
        <w:t>This policy applies to all regular full-time and part-time employees. Compensation for temporary workers and contractors is governed by their respective agreements.</w:t>
      </w:r>
    </w:p>
    <w:p w14:paraId="1A6FBB0A" w14:textId="77777777" w:rsidR="002E6750" w:rsidRDefault="00000000">
      <w:r>
        <w:rPr>
          <w:b/>
          <w:color w:val="1A3C6E"/>
          <w:sz w:val="24"/>
        </w:rPr>
        <w:t>3. Salary Bands</w:t>
      </w:r>
    </w:p>
    <w:p w14:paraId="0D2BC743" w14:textId="77777777" w:rsidR="002E6750" w:rsidRDefault="00000000">
      <w:r>
        <w:t>All positions are assigned to a salary band based on job level, scope of responsibilities, market data, and internal equity. Salary bands are reviewed and updated annually based on market benchmarking data from third-party compensation surveys.</w:t>
      </w:r>
    </w:p>
    <w:tbl>
      <w:tblPr>
        <w:tblStyle w:val="TableGrid"/>
        <w:tblW w:w="0" w:type="auto"/>
        <w:tblLook w:val="04A0" w:firstRow="1" w:lastRow="0" w:firstColumn="1" w:lastColumn="0" w:noHBand="0" w:noVBand="1"/>
      </w:tblPr>
      <w:tblGrid>
        <w:gridCol w:w="2160"/>
        <w:gridCol w:w="2160"/>
        <w:gridCol w:w="2160"/>
        <w:gridCol w:w="2160"/>
      </w:tblGrid>
      <w:tr w:rsidR="002E6750" w14:paraId="5F0EE119" w14:textId="77777777">
        <w:tc>
          <w:tcPr>
            <w:tcW w:w="2160" w:type="dxa"/>
          </w:tcPr>
          <w:p w14:paraId="0CFFFD6B" w14:textId="77777777" w:rsidR="002E6750" w:rsidRDefault="00000000">
            <w:r>
              <w:rPr>
                <w:b/>
              </w:rPr>
              <w:t>Level</w:t>
            </w:r>
          </w:p>
        </w:tc>
        <w:tc>
          <w:tcPr>
            <w:tcW w:w="2160" w:type="dxa"/>
          </w:tcPr>
          <w:p w14:paraId="01BA172E" w14:textId="77777777" w:rsidR="002E6750" w:rsidRDefault="00000000">
            <w:r>
              <w:rPr>
                <w:b/>
              </w:rPr>
              <w:t>Title Range</w:t>
            </w:r>
          </w:p>
        </w:tc>
        <w:tc>
          <w:tcPr>
            <w:tcW w:w="2160" w:type="dxa"/>
          </w:tcPr>
          <w:p w14:paraId="79EA2B36" w14:textId="77777777" w:rsidR="002E6750" w:rsidRDefault="00000000">
            <w:r>
              <w:rPr>
                <w:b/>
              </w:rPr>
              <w:t>Band Minimum</w:t>
            </w:r>
          </w:p>
        </w:tc>
        <w:tc>
          <w:tcPr>
            <w:tcW w:w="2160" w:type="dxa"/>
          </w:tcPr>
          <w:p w14:paraId="3D9D79BE" w14:textId="77777777" w:rsidR="002E6750" w:rsidRDefault="00000000">
            <w:r>
              <w:rPr>
                <w:b/>
              </w:rPr>
              <w:t>Band Maximum</w:t>
            </w:r>
          </w:p>
        </w:tc>
      </w:tr>
      <w:tr w:rsidR="002E6750" w14:paraId="75E35E5F" w14:textId="77777777">
        <w:tc>
          <w:tcPr>
            <w:tcW w:w="2160" w:type="dxa"/>
          </w:tcPr>
          <w:p w14:paraId="38DF9111" w14:textId="77777777" w:rsidR="002E6750" w:rsidRDefault="00000000">
            <w:r>
              <w:t>L1</w:t>
            </w:r>
          </w:p>
        </w:tc>
        <w:tc>
          <w:tcPr>
            <w:tcW w:w="2160" w:type="dxa"/>
          </w:tcPr>
          <w:p w14:paraId="2D2FBC29" w14:textId="77777777" w:rsidR="002E6750" w:rsidRDefault="00000000">
            <w:r>
              <w:t>Associate / Coordinator</w:t>
            </w:r>
          </w:p>
        </w:tc>
        <w:tc>
          <w:tcPr>
            <w:tcW w:w="2160" w:type="dxa"/>
          </w:tcPr>
          <w:p w14:paraId="2B47BC9C" w14:textId="77777777" w:rsidR="002E6750" w:rsidRDefault="00000000">
            <w:r>
              <w:t>$42,000</w:t>
            </w:r>
          </w:p>
        </w:tc>
        <w:tc>
          <w:tcPr>
            <w:tcW w:w="2160" w:type="dxa"/>
          </w:tcPr>
          <w:p w14:paraId="68B1CBCC" w14:textId="77777777" w:rsidR="002E6750" w:rsidRDefault="00000000">
            <w:r>
              <w:t>$58,000</w:t>
            </w:r>
          </w:p>
        </w:tc>
      </w:tr>
      <w:tr w:rsidR="002E6750" w14:paraId="242C74A3" w14:textId="77777777">
        <w:tc>
          <w:tcPr>
            <w:tcW w:w="2160" w:type="dxa"/>
          </w:tcPr>
          <w:p w14:paraId="082384FB" w14:textId="77777777" w:rsidR="002E6750" w:rsidRDefault="00000000">
            <w:r>
              <w:t>L2</w:t>
            </w:r>
          </w:p>
        </w:tc>
        <w:tc>
          <w:tcPr>
            <w:tcW w:w="2160" w:type="dxa"/>
          </w:tcPr>
          <w:p w14:paraId="278BA11C" w14:textId="77777777" w:rsidR="002E6750" w:rsidRDefault="00000000">
            <w:r>
              <w:t>Specialist / Analyst</w:t>
            </w:r>
          </w:p>
        </w:tc>
        <w:tc>
          <w:tcPr>
            <w:tcW w:w="2160" w:type="dxa"/>
          </w:tcPr>
          <w:p w14:paraId="3443B8BF" w14:textId="77777777" w:rsidR="002E6750" w:rsidRDefault="00000000">
            <w:r>
              <w:t>$55,000</w:t>
            </w:r>
          </w:p>
        </w:tc>
        <w:tc>
          <w:tcPr>
            <w:tcW w:w="2160" w:type="dxa"/>
          </w:tcPr>
          <w:p w14:paraId="02DFAE46" w14:textId="77777777" w:rsidR="002E6750" w:rsidRDefault="00000000">
            <w:r>
              <w:t>$78,000</w:t>
            </w:r>
          </w:p>
        </w:tc>
      </w:tr>
      <w:tr w:rsidR="002E6750" w14:paraId="3D0710E8" w14:textId="77777777">
        <w:tc>
          <w:tcPr>
            <w:tcW w:w="2160" w:type="dxa"/>
          </w:tcPr>
          <w:p w14:paraId="047BD557" w14:textId="77777777" w:rsidR="002E6750" w:rsidRDefault="00000000">
            <w:r>
              <w:t>L3</w:t>
            </w:r>
          </w:p>
        </w:tc>
        <w:tc>
          <w:tcPr>
            <w:tcW w:w="2160" w:type="dxa"/>
          </w:tcPr>
          <w:p w14:paraId="6C0996DA" w14:textId="77777777" w:rsidR="002E6750" w:rsidRDefault="00000000">
            <w:r>
              <w:t>Senior Specialist / Senior Analyst</w:t>
            </w:r>
          </w:p>
        </w:tc>
        <w:tc>
          <w:tcPr>
            <w:tcW w:w="2160" w:type="dxa"/>
          </w:tcPr>
          <w:p w14:paraId="433EB366" w14:textId="77777777" w:rsidR="002E6750" w:rsidRDefault="00000000">
            <w:r>
              <w:t>$72,000</w:t>
            </w:r>
          </w:p>
        </w:tc>
        <w:tc>
          <w:tcPr>
            <w:tcW w:w="2160" w:type="dxa"/>
          </w:tcPr>
          <w:p w14:paraId="10925767" w14:textId="77777777" w:rsidR="002E6750" w:rsidRDefault="00000000">
            <w:r>
              <w:t>$100,000</w:t>
            </w:r>
          </w:p>
        </w:tc>
      </w:tr>
      <w:tr w:rsidR="002E6750" w14:paraId="20F7FADF" w14:textId="77777777">
        <w:tc>
          <w:tcPr>
            <w:tcW w:w="2160" w:type="dxa"/>
          </w:tcPr>
          <w:p w14:paraId="7E2FE6FC" w14:textId="77777777" w:rsidR="002E6750" w:rsidRDefault="00000000">
            <w:r>
              <w:t>L4</w:t>
            </w:r>
          </w:p>
        </w:tc>
        <w:tc>
          <w:tcPr>
            <w:tcW w:w="2160" w:type="dxa"/>
          </w:tcPr>
          <w:p w14:paraId="68058024" w14:textId="77777777" w:rsidR="002E6750" w:rsidRDefault="00000000">
            <w:r>
              <w:t>Manager / Lead</w:t>
            </w:r>
          </w:p>
        </w:tc>
        <w:tc>
          <w:tcPr>
            <w:tcW w:w="2160" w:type="dxa"/>
          </w:tcPr>
          <w:p w14:paraId="29E33685" w14:textId="77777777" w:rsidR="002E6750" w:rsidRDefault="00000000">
            <w:r>
              <w:t>$90,000</w:t>
            </w:r>
          </w:p>
        </w:tc>
        <w:tc>
          <w:tcPr>
            <w:tcW w:w="2160" w:type="dxa"/>
          </w:tcPr>
          <w:p w14:paraId="6CAFAAB5" w14:textId="77777777" w:rsidR="002E6750" w:rsidRDefault="00000000">
            <w:r>
              <w:t>$130,000</w:t>
            </w:r>
          </w:p>
        </w:tc>
      </w:tr>
      <w:tr w:rsidR="002E6750" w14:paraId="19AB795D" w14:textId="77777777">
        <w:tc>
          <w:tcPr>
            <w:tcW w:w="2160" w:type="dxa"/>
          </w:tcPr>
          <w:p w14:paraId="673CB723" w14:textId="77777777" w:rsidR="002E6750" w:rsidRDefault="00000000">
            <w:r>
              <w:t>L5</w:t>
            </w:r>
          </w:p>
        </w:tc>
        <w:tc>
          <w:tcPr>
            <w:tcW w:w="2160" w:type="dxa"/>
          </w:tcPr>
          <w:p w14:paraId="63B9366B" w14:textId="77777777" w:rsidR="002E6750" w:rsidRDefault="00000000">
            <w:r>
              <w:t>Senior Manager / Director</w:t>
            </w:r>
          </w:p>
        </w:tc>
        <w:tc>
          <w:tcPr>
            <w:tcW w:w="2160" w:type="dxa"/>
          </w:tcPr>
          <w:p w14:paraId="19D8905A" w14:textId="77777777" w:rsidR="002E6750" w:rsidRDefault="00000000">
            <w:r>
              <w:t>$120,000</w:t>
            </w:r>
          </w:p>
        </w:tc>
        <w:tc>
          <w:tcPr>
            <w:tcW w:w="2160" w:type="dxa"/>
          </w:tcPr>
          <w:p w14:paraId="38FD48C6" w14:textId="77777777" w:rsidR="002E6750" w:rsidRDefault="00000000">
            <w:r>
              <w:t>$170,000</w:t>
            </w:r>
          </w:p>
        </w:tc>
      </w:tr>
      <w:tr w:rsidR="002E6750" w14:paraId="6A4491AF" w14:textId="77777777">
        <w:tc>
          <w:tcPr>
            <w:tcW w:w="2160" w:type="dxa"/>
          </w:tcPr>
          <w:p w14:paraId="19CDEE3A" w14:textId="77777777" w:rsidR="002E6750" w:rsidRDefault="00000000">
            <w:r>
              <w:t>L6</w:t>
            </w:r>
          </w:p>
        </w:tc>
        <w:tc>
          <w:tcPr>
            <w:tcW w:w="2160" w:type="dxa"/>
          </w:tcPr>
          <w:p w14:paraId="66EAE344" w14:textId="77777777" w:rsidR="002E6750" w:rsidRDefault="00000000">
            <w:r>
              <w:t>Vice President / Executive</w:t>
            </w:r>
          </w:p>
        </w:tc>
        <w:tc>
          <w:tcPr>
            <w:tcW w:w="2160" w:type="dxa"/>
          </w:tcPr>
          <w:p w14:paraId="3E3580E1" w14:textId="77777777" w:rsidR="002E6750" w:rsidRDefault="00000000">
            <w:r>
              <w:t>$160,000</w:t>
            </w:r>
          </w:p>
        </w:tc>
        <w:tc>
          <w:tcPr>
            <w:tcW w:w="2160" w:type="dxa"/>
          </w:tcPr>
          <w:p w14:paraId="361E6A6C" w14:textId="77777777" w:rsidR="002E6750" w:rsidRDefault="00000000">
            <w:r>
              <w:t>$250,000+</w:t>
            </w:r>
          </w:p>
        </w:tc>
      </w:tr>
    </w:tbl>
    <w:p w14:paraId="5A39BBE3" w14:textId="77777777" w:rsidR="002E6750" w:rsidRDefault="002E6750"/>
    <w:p w14:paraId="1CF94FBD" w14:textId="77777777" w:rsidR="002E6750" w:rsidRDefault="00000000">
      <w:r>
        <w:rPr>
          <w:b/>
          <w:color w:val="1A3C6E"/>
          <w:sz w:val="24"/>
        </w:rPr>
        <w:t>4. Pay Cycles</w:t>
      </w:r>
    </w:p>
    <w:p w14:paraId="2A77E175" w14:textId="77777777" w:rsidR="002E6750" w:rsidRDefault="00000000">
      <w:r>
        <w:lastRenderedPageBreak/>
        <w:t>The Company operates on a bi-weekly payroll cycle (26 pay periods per year). Payday is every other Friday. If payday falls on a bank holiday, pay will be issued on the preceding business day.</w:t>
      </w:r>
    </w:p>
    <w:p w14:paraId="40E4904F" w14:textId="77777777" w:rsidR="002E6750" w:rsidRDefault="00000000">
      <w:r>
        <w:t>Employees are paid via direct deposit. Employees who do not enroll in direct deposit will receive a physical check, which must be collected in person from the Finance Department.</w:t>
      </w:r>
    </w:p>
    <w:p w14:paraId="0CEB921E" w14:textId="77777777" w:rsidR="002E6750" w:rsidRDefault="00000000">
      <w:r>
        <w:rPr>
          <w:b/>
          <w:color w:val="1A3C6E"/>
          <w:sz w:val="24"/>
        </w:rPr>
        <w:t>5. Overtime</w:t>
      </w:r>
    </w:p>
    <w:p w14:paraId="0F073EF9" w14:textId="77777777" w:rsidR="002E6750" w:rsidRDefault="00000000">
      <w:r>
        <w:t xml:space="preserve">Non-exempt employees are eligible for overtime pay at a rate of 1.5x their regular hourly rate for all hours worked </w:t>
      </w:r>
      <w:proofErr w:type="gramStart"/>
      <w:r>
        <w:t>in excess of</w:t>
      </w:r>
      <w:proofErr w:type="gramEnd"/>
      <w:r>
        <w:t xml:space="preserve"> 40 hours in a single workweek. Overtime must be pre-approved in writing by the employee's manager. Unauthorized overtime may result in disciplinary </w:t>
      </w:r>
      <w:proofErr w:type="gramStart"/>
      <w:r>
        <w:t>action, but</w:t>
      </w:r>
      <w:proofErr w:type="gramEnd"/>
      <w:r>
        <w:t xml:space="preserve"> will always be compensated in full as required by law.</w:t>
      </w:r>
    </w:p>
    <w:p w14:paraId="0755FE0E" w14:textId="77777777" w:rsidR="002E6750" w:rsidRDefault="00000000">
      <w:r>
        <w:rPr>
          <w:b/>
          <w:color w:val="1A3C6E"/>
          <w:sz w:val="24"/>
        </w:rPr>
        <w:t>6. Merit Increases</w:t>
      </w:r>
    </w:p>
    <w:p w14:paraId="523C5AD9" w14:textId="77777777" w:rsidR="002E6750" w:rsidRDefault="00000000">
      <w:r>
        <w:t xml:space="preserve">The Company conducts annual performance reviews during the fourth quarter (October-November). Merit increases based on performance ratings are effective January 1 of the following year. General merit </w:t>
      </w:r>
      <w:proofErr w:type="gramStart"/>
      <w:r>
        <w:t>increase</w:t>
      </w:r>
      <w:proofErr w:type="gramEnd"/>
      <w:r>
        <w:t xml:space="preserve"> guidelines:</w:t>
      </w:r>
    </w:p>
    <w:tbl>
      <w:tblPr>
        <w:tblStyle w:val="TableGrid"/>
        <w:tblW w:w="0" w:type="auto"/>
        <w:tblLook w:val="04A0" w:firstRow="1" w:lastRow="0" w:firstColumn="1" w:lastColumn="0" w:noHBand="0" w:noVBand="1"/>
      </w:tblPr>
      <w:tblGrid>
        <w:gridCol w:w="4320"/>
        <w:gridCol w:w="4320"/>
      </w:tblGrid>
      <w:tr w:rsidR="002E6750" w14:paraId="3E50B0A1" w14:textId="77777777">
        <w:tc>
          <w:tcPr>
            <w:tcW w:w="4320" w:type="dxa"/>
          </w:tcPr>
          <w:p w14:paraId="1D75A127" w14:textId="77777777" w:rsidR="002E6750" w:rsidRDefault="00000000">
            <w:r>
              <w:rPr>
                <w:b/>
              </w:rPr>
              <w:t>Performance Rating</w:t>
            </w:r>
          </w:p>
        </w:tc>
        <w:tc>
          <w:tcPr>
            <w:tcW w:w="4320" w:type="dxa"/>
          </w:tcPr>
          <w:p w14:paraId="3DAEEA7F" w14:textId="77777777" w:rsidR="002E6750" w:rsidRDefault="00000000">
            <w:r>
              <w:rPr>
                <w:b/>
              </w:rPr>
              <w:t>Typical Merit Increase Range</w:t>
            </w:r>
          </w:p>
        </w:tc>
      </w:tr>
      <w:tr w:rsidR="002E6750" w14:paraId="14E18718" w14:textId="77777777">
        <w:tc>
          <w:tcPr>
            <w:tcW w:w="4320" w:type="dxa"/>
          </w:tcPr>
          <w:p w14:paraId="484723C7" w14:textId="77777777" w:rsidR="002E6750" w:rsidRDefault="00000000">
            <w:proofErr w:type="gramStart"/>
            <w:r>
              <w:t>Exceeds</w:t>
            </w:r>
            <w:proofErr w:type="gramEnd"/>
            <w:r>
              <w:t xml:space="preserve"> Expectations (5)</w:t>
            </w:r>
          </w:p>
        </w:tc>
        <w:tc>
          <w:tcPr>
            <w:tcW w:w="4320" w:type="dxa"/>
          </w:tcPr>
          <w:p w14:paraId="68716B48" w14:textId="77777777" w:rsidR="002E6750" w:rsidRDefault="00000000">
            <w:r>
              <w:t>4.5% - 6.0%</w:t>
            </w:r>
          </w:p>
        </w:tc>
      </w:tr>
      <w:tr w:rsidR="002E6750" w14:paraId="1F9EBD91" w14:textId="77777777">
        <w:tc>
          <w:tcPr>
            <w:tcW w:w="4320" w:type="dxa"/>
          </w:tcPr>
          <w:p w14:paraId="3FAAB9B5" w14:textId="77777777" w:rsidR="002E6750" w:rsidRDefault="00000000">
            <w:r>
              <w:t>Meets All Expectations (4)</w:t>
            </w:r>
          </w:p>
        </w:tc>
        <w:tc>
          <w:tcPr>
            <w:tcW w:w="4320" w:type="dxa"/>
          </w:tcPr>
          <w:p w14:paraId="0B7C84A4" w14:textId="77777777" w:rsidR="002E6750" w:rsidRDefault="00000000">
            <w:r>
              <w:t>2.5% - 4.0%</w:t>
            </w:r>
          </w:p>
        </w:tc>
      </w:tr>
      <w:tr w:rsidR="002E6750" w14:paraId="6B74275A" w14:textId="77777777">
        <w:tc>
          <w:tcPr>
            <w:tcW w:w="4320" w:type="dxa"/>
          </w:tcPr>
          <w:p w14:paraId="522547B8" w14:textId="77777777" w:rsidR="002E6750" w:rsidRDefault="00000000">
            <w:r>
              <w:t>Meets Most Expectations (3)</w:t>
            </w:r>
          </w:p>
        </w:tc>
        <w:tc>
          <w:tcPr>
            <w:tcW w:w="4320" w:type="dxa"/>
          </w:tcPr>
          <w:p w14:paraId="77E18387" w14:textId="77777777" w:rsidR="002E6750" w:rsidRDefault="00000000">
            <w:r>
              <w:t>1.0% - 2.5%</w:t>
            </w:r>
          </w:p>
        </w:tc>
      </w:tr>
      <w:tr w:rsidR="002E6750" w14:paraId="204DE631" w14:textId="77777777">
        <w:tc>
          <w:tcPr>
            <w:tcW w:w="4320" w:type="dxa"/>
          </w:tcPr>
          <w:p w14:paraId="081C2038" w14:textId="77777777" w:rsidR="002E6750" w:rsidRDefault="00000000">
            <w:r>
              <w:t>Below Expectations (1-2)</w:t>
            </w:r>
          </w:p>
        </w:tc>
        <w:tc>
          <w:tcPr>
            <w:tcW w:w="4320" w:type="dxa"/>
          </w:tcPr>
          <w:p w14:paraId="1AFFA0B3" w14:textId="77777777" w:rsidR="002E6750" w:rsidRDefault="00000000">
            <w:r>
              <w:t>0% (ineligible)</w:t>
            </w:r>
          </w:p>
        </w:tc>
      </w:tr>
    </w:tbl>
    <w:p w14:paraId="41C8F396" w14:textId="77777777" w:rsidR="002E6750" w:rsidRDefault="002E6750"/>
    <w:p w14:paraId="40C6BC7F" w14:textId="77777777" w:rsidR="002E6750" w:rsidRDefault="00000000">
      <w:r>
        <w:t>Merit increases are not guaranteed and are subject to Company financial performance and Board approval of the annual compensation budget.</w:t>
      </w:r>
    </w:p>
    <w:p w14:paraId="2AF768FB" w14:textId="77777777" w:rsidR="002E6750" w:rsidRDefault="00000000">
      <w:r>
        <w:rPr>
          <w:b/>
          <w:color w:val="1A3C6E"/>
          <w:sz w:val="24"/>
        </w:rPr>
        <w:t>7. Bonuses and Incentives</w:t>
      </w:r>
    </w:p>
    <w:p w14:paraId="3F937475" w14:textId="77777777" w:rsidR="002E6750" w:rsidRDefault="00000000">
      <w:r>
        <w:rPr>
          <w:b/>
          <w:color w:val="333333"/>
          <w:sz w:val="22"/>
        </w:rPr>
        <w:t>7.1 Annual Performance Bonus</w:t>
      </w:r>
    </w:p>
    <w:p w14:paraId="2B912C92" w14:textId="77777777" w:rsidR="002E6750" w:rsidRDefault="00000000">
      <w:r>
        <w:t>Eligible employees (Level L2 and above) may receive an annual discretionary bonus based on individual performance and Company financial results. Target bonus percentages by level:</w:t>
      </w:r>
    </w:p>
    <w:p w14:paraId="493A9361" w14:textId="77777777" w:rsidR="002E6750" w:rsidRDefault="00000000">
      <w:pPr>
        <w:pStyle w:val="ListBullet"/>
      </w:pPr>
      <w:r>
        <w:t>L2 - L3: 5% - 10% of base salary</w:t>
      </w:r>
    </w:p>
    <w:p w14:paraId="6629715F" w14:textId="77777777" w:rsidR="002E6750" w:rsidRDefault="00000000">
      <w:pPr>
        <w:pStyle w:val="ListBullet"/>
      </w:pPr>
      <w:r>
        <w:t>L4 - L5: 10% - 20% of base salary</w:t>
      </w:r>
    </w:p>
    <w:p w14:paraId="6C049599" w14:textId="77777777" w:rsidR="002E6750" w:rsidRDefault="00000000">
      <w:pPr>
        <w:pStyle w:val="ListBullet"/>
      </w:pPr>
      <w:r>
        <w:t>L6+: 20% - 35% of base salary (plus potential equity)</w:t>
      </w:r>
    </w:p>
    <w:p w14:paraId="088CA9CD" w14:textId="77777777" w:rsidR="002E6750" w:rsidRDefault="00000000">
      <w:r>
        <w:rPr>
          <w:b/>
          <w:color w:val="333333"/>
          <w:sz w:val="22"/>
        </w:rPr>
        <w:t>7.2 Spot Bonuses</w:t>
      </w:r>
    </w:p>
    <w:p w14:paraId="2EBB2AA3" w14:textId="77777777" w:rsidR="002E6750" w:rsidRDefault="00000000">
      <w:r>
        <w:t>Managers may award spot bonuses of up to $2,500 to recognize exceptional individual contributions outside of the normal review cycle. Spot bonuses above $1,000 require VP approval. All spot bonuses are subject to standard payroll withholding.</w:t>
      </w:r>
    </w:p>
    <w:p w14:paraId="14149399" w14:textId="77777777" w:rsidR="002E6750" w:rsidRDefault="00000000">
      <w:r>
        <w:rPr>
          <w:b/>
          <w:color w:val="333333"/>
          <w:sz w:val="22"/>
        </w:rPr>
        <w:t>7.3 Referral Bonus</w:t>
      </w:r>
    </w:p>
    <w:p w14:paraId="16B111C2" w14:textId="77777777" w:rsidR="002E6750" w:rsidRDefault="00000000">
      <w:r>
        <w:t xml:space="preserve">Employees who </w:t>
      </w:r>
      <w:proofErr w:type="gramStart"/>
      <w:r>
        <w:t>refer</w:t>
      </w:r>
      <w:proofErr w:type="gramEnd"/>
      <w:r>
        <w:t xml:space="preserve"> a candidate who is subsequently hired and remains employed for 90 days will receive a referral bonus of $1,500. Referrals for executive roles (L6+) carry a bonus of $3,000. Referral bonuses are paid in the first payroll cycle following the 90-day milestone.</w:t>
      </w:r>
    </w:p>
    <w:p w14:paraId="5521A266" w14:textId="77777777" w:rsidR="002E6750" w:rsidRDefault="00000000">
      <w:r>
        <w:rPr>
          <w:b/>
          <w:color w:val="1A3C6E"/>
          <w:sz w:val="24"/>
        </w:rPr>
        <w:lastRenderedPageBreak/>
        <w:t>8. Pay Equity</w:t>
      </w:r>
    </w:p>
    <w:p w14:paraId="332C2EAD" w14:textId="77777777" w:rsidR="002E6750" w:rsidRDefault="00000000">
      <w:r>
        <w:t xml:space="preserve">The Company is committed to </w:t>
      </w:r>
      <w:proofErr w:type="gramStart"/>
      <w:r>
        <w:t>pay</w:t>
      </w:r>
      <w:proofErr w:type="gramEnd"/>
      <w:r>
        <w:t xml:space="preserve"> equity regardless of gender, race, ethnicity, or other protected characteristics. HR conducts an annual pay equity analysis and will take corrective action where unjustifiable disparities are identified.</w:t>
      </w:r>
    </w:p>
    <w:p w14:paraId="62EDA4BD" w14:textId="77777777" w:rsidR="002E6750" w:rsidRDefault="00000000">
      <w:r>
        <w:rPr>
          <w:b/>
          <w:color w:val="1A3C6E"/>
          <w:sz w:val="24"/>
        </w:rPr>
        <w:t>9. Pay Transparency</w:t>
      </w:r>
    </w:p>
    <w:p w14:paraId="1025751E" w14:textId="77777777" w:rsidR="002E6750" w:rsidRDefault="00000000">
      <w:r>
        <w:t>The Company shares salary band information with employees upon request and includes salary ranges in all external job postings in compliance with applicable state pay transparency laws. Employees are encouraged to discuss compensation concerns with HR.</w:t>
      </w:r>
    </w:p>
    <w:p w14:paraId="72A3D3EC" w14:textId="77777777" w:rsidR="002E6750" w:rsidRDefault="002E6750"/>
    <w:p w14:paraId="4A479C61" w14:textId="77777777" w:rsidR="002E6750" w:rsidRDefault="00000000">
      <w:r>
        <w:rPr>
          <w:b/>
          <w:color w:val="1A3C6E"/>
          <w:sz w:val="24"/>
        </w:rPr>
        <w:t>Approvals</w:t>
      </w:r>
    </w:p>
    <w:tbl>
      <w:tblPr>
        <w:tblStyle w:val="TableGrid"/>
        <w:tblW w:w="0" w:type="auto"/>
        <w:tblLook w:val="04A0" w:firstRow="1" w:lastRow="0" w:firstColumn="1" w:lastColumn="0" w:noHBand="0" w:noVBand="1"/>
      </w:tblPr>
      <w:tblGrid>
        <w:gridCol w:w="2880"/>
        <w:gridCol w:w="2880"/>
        <w:gridCol w:w="2880"/>
      </w:tblGrid>
      <w:tr w:rsidR="002E6750" w14:paraId="6F4C7C9E" w14:textId="77777777">
        <w:tc>
          <w:tcPr>
            <w:tcW w:w="2880" w:type="dxa"/>
          </w:tcPr>
          <w:p w14:paraId="7810568A" w14:textId="77777777" w:rsidR="002E6750" w:rsidRDefault="00000000">
            <w:r>
              <w:rPr>
                <w:b/>
              </w:rPr>
              <w:t>Role</w:t>
            </w:r>
          </w:p>
        </w:tc>
        <w:tc>
          <w:tcPr>
            <w:tcW w:w="2880" w:type="dxa"/>
          </w:tcPr>
          <w:p w14:paraId="0D909AED" w14:textId="77777777" w:rsidR="002E6750" w:rsidRDefault="00000000">
            <w:r>
              <w:rPr>
                <w:b/>
              </w:rPr>
              <w:t>Name</w:t>
            </w:r>
          </w:p>
        </w:tc>
        <w:tc>
          <w:tcPr>
            <w:tcW w:w="2880" w:type="dxa"/>
          </w:tcPr>
          <w:p w14:paraId="13629496" w14:textId="77777777" w:rsidR="002E6750" w:rsidRDefault="00000000">
            <w:r>
              <w:rPr>
                <w:b/>
              </w:rPr>
              <w:t>Signature / Date</w:t>
            </w:r>
          </w:p>
        </w:tc>
      </w:tr>
      <w:tr w:rsidR="002E6750" w14:paraId="717E767C" w14:textId="77777777">
        <w:tc>
          <w:tcPr>
            <w:tcW w:w="2880" w:type="dxa"/>
          </w:tcPr>
          <w:p w14:paraId="2EF7B000" w14:textId="77777777" w:rsidR="002E6750" w:rsidRDefault="00000000">
            <w:r>
              <w:t>Chief People Officer</w:t>
            </w:r>
          </w:p>
        </w:tc>
        <w:tc>
          <w:tcPr>
            <w:tcW w:w="2880" w:type="dxa"/>
          </w:tcPr>
          <w:p w14:paraId="2E8BFB2C" w14:textId="77777777" w:rsidR="002E6750" w:rsidRDefault="00000000">
            <w:r>
              <w:t>Sandra L. Morgan</w:t>
            </w:r>
          </w:p>
        </w:tc>
        <w:tc>
          <w:tcPr>
            <w:tcW w:w="2880" w:type="dxa"/>
          </w:tcPr>
          <w:p w14:paraId="0D0B940D" w14:textId="77777777" w:rsidR="002E6750" w:rsidRDefault="002E6750"/>
        </w:tc>
      </w:tr>
      <w:tr w:rsidR="002E6750" w14:paraId="174B41E6" w14:textId="77777777">
        <w:tc>
          <w:tcPr>
            <w:tcW w:w="2880" w:type="dxa"/>
          </w:tcPr>
          <w:p w14:paraId="7BFF9C96" w14:textId="77777777" w:rsidR="002E6750" w:rsidRDefault="00000000">
            <w:r>
              <w:t>Chief Executive Officer</w:t>
            </w:r>
          </w:p>
        </w:tc>
        <w:tc>
          <w:tcPr>
            <w:tcW w:w="2880" w:type="dxa"/>
          </w:tcPr>
          <w:p w14:paraId="10A73CFD" w14:textId="77777777" w:rsidR="002E6750" w:rsidRDefault="00000000">
            <w:r>
              <w:t>James R. Harrington</w:t>
            </w:r>
          </w:p>
        </w:tc>
        <w:tc>
          <w:tcPr>
            <w:tcW w:w="2880" w:type="dxa"/>
          </w:tcPr>
          <w:p w14:paraId="0E27B00A" w14:textId="77777777" w:rsidR="002E6750" w:rsidRDefault="002E6750"/>
        </w:tc>
      </w:tr>
    </w:tbl>
    <w:p w14:paraId="60061E4C" w14:textId="77777777" w:rsidR="002E6750" w:rsidRDefault="002E6750"/>
    <w:p w14:paraId="38826537" w14:textId="71160C6E" w:rsidR="002E6750" w:rsidRDefault="1F564C9E">
      <w:r w:rsidRPr="1F564C9E">
        <w:rPr>
          <w:color w:val="888888"/>
          <w:sz w:val="16"/>
          <w:szCs w:val="16"/>
        </w:rPr>
        <w:t xml:space="preserve">This document is a confidential policy of </w:t>
      </w:r>
      <w:r w:rsidR="693BB121" w:rsidRPr="1F564C9E">
        <w:rPr>
          <w:color w:val="888888"/>
          <w:sz w:val="16"/>
          <w:szCs w:val="16"/>
        </w:rPr>
        <w:t xml:space="preserve">Contoso </w:t>
      </w:r>
      <w:proofErr w:type="gramStart"/>
      <w:r w:rsidR="693BB121" w:rsidRPr="1F564C9E">
        <w:rPr>
          <w:color w:val="888888"/>
          <w:sz w:val="16"/>
          <w:szCs w:val="16"/>
        </w:rPr>
        <w:t>Ltd.</w:t>
      </w:r>
      <w:r w:rsidRPr="1F564C9E">
        <w:rPr>
          <w:color w:val="888888"/>
          <w:sz w:val="16"/>
          <w:szCs w:val="16"/>
        </w:rPr>
        <w:t>.</w:t>
      </w:r>
      <w:proofErr w:type="gramEnd"/>
      <w:r w:rsidRPr="1F564C9E">
        <w:rPr>
          <w:color w:val="888888"/>
          <w:sz w:val="16"/>
          <w:szCs w:val="16"/>
        </w:rPr>
        <w:t xml:space="preserve"> Unauthorized reproduction or distribution is prohibited. For questions, contact Human Resources at hr@</w:t>
      </w:r>
      <w:r w:rsidR="542EDE98" w:rsidRPr="1F564C9E">
        <w:rPr>
          <w:color w:val="888888"/>
          <w:sz w:val="16"/>
          <w:szCs w:val="16"/>
        </w:rPr>
        <w:t>Contoso</w:t>
      </w:r>
      <w:r w:rsidRPr="1F564C9E">
        <w:rPr>
          <w:color w:val="888888"/>
          <w:sz w:val="16"/>
          <w:szCs w:val="16"/>
        </w:rPr>
        <w:t>solutions.com.</w:t>
      </w:r>
    </w:p>
    <w:sectPr w:rsidR="002E67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190677">
    <w:abstractNumId w:val="8"/>
  </w:num>
  <w:num w:numId="2" w16cid:durableId="613441325">
    <w:abstractNumId w:val="6"/>
  </w:num>
  <w:num w:numId="3" w16cid:durableId="52000102">
    <w:abstractNumId w:val="5"/>
  </w:num>
  <w:num w:numId="4" w16cid:durableId="1558778682">
    <w:abstractNumId w:val="4"/>
  </w:num>
  <w:num w:numId="5" w16cid:durableId="229778352">
    <w:abstractNumId w:val="7"/>
  </w:num>
  <w:num w:numId="6" w16cid:durableId="1967619887">
    <w:abstractNumId w:val="3"/>
  </w:num>
  <w:num w:numId="7" w16cid:durableId="1788229654">
    <w:abstractNumId w:val="2"/>
  </w:num>
  <w:num w:numId="8" w16cid:durableId="920717407">
    <w:abstractNumId w:val="1"/>
  </w:num>
  <w:num w:numId="9" w16cid:durableId="1017537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7D2"/>
    <w:rsid w:val="0029639D"/>
    <w:rsid w:val="002E6750"/>
    <w:rsid w:val="00300803"/>
    <w:rsid w:val="00326F90"/>
    <w:rsid w:val="00AA1D8D"/>
    <w:rsid w:val="00B47730"/>
    <w:rsid w:val="00CB0664"/>
    <w:rsid w:val="00FC693F"/>
    <w:rsid w:val="1F564C9E"/>
    <w:rsid w:val="542EDE98"/>
    <w:rsid w:val="693BB1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2D314B5-43B1-4FE4-B96E-1E49FEB6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Props1.xml><?xml version="1.0" encoding="utf-8"?>
<ds:datastoreItem xmlns:ds="http://schemas.openxmlformats.org/officeDocument/2006/customXml" ds:itemID="{82CE8C79-32A8-4F5F-8C50-BF2CA11EC79E}">
  <ds:schemaRefs>
    <ds:schemaRef ds:uri="http://schemas.microsoft.com/sharepoint/v3/contenttype/forms"/>
  </ds:schemaRefs>
</ds:datastoreItem>
</file>

<file path=customXml/itemProps2.xml><?xml version="1.0" encoding="utf-8"?>
<ds:datastoreItem xmlns:ds="http://schemas.openxmlformats.org/officeDocument/2006/customXml" ds:itemID="{03F4F45A-0E3C-48BB-B724-855342E73E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9DEEF16-C203-4F3D-A6ED-02CD09E5DB60}">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3674</Characters>
  <Application>Microsoft Office Word</Application>
  <DocSecurity>0</DocSecurity>
  <Lines>30</Lines>
  <Paragraphs>8</Paragraphs>
  <ScaleCrop>false</ScaleCrop>
  <Manager/>
  <Company/>
  <LinksUpToDate>false</LinksUpToDate>
  <CharactersWithSpaces>4310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2013-12-23T23:15:00Z</dcterms:created>
  <dcterms:modified xsi:type="dcterms:W3CDTF">2026-04-09T18:41:00Z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