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Sales KPI &amp; OKR Summary Report – May 2025</w:t>
      </w:r>
    </w:p>
    <w:p>
      <w:r>
        <w:t>This report summarizes the key performance indicators and objective progress for the sales team in May 2025. It includes performance metrics, pipeline coverage, deal progression, and notable trends impacting results.</w:t>
      </w:r>
    </w:p>
    <w:p>
      <w:pPr>
        <w:pStyle w:val="Heading1"/>
      </w:pPr>
      <w:r>
        <w:t>📈 Key Performance Indicators (KPIs)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Revenue</w:t>
            </w:r>
          </w:p>
        </w:tc>
        <w:tc>
          <w:tcPr>
            <w:tcW w:type="dxa" w:w="4320"/>
          </w:tcPr>
          <w:p>
            <w:r>
              <w:t>$1.2M</w:t>
            </w:r>
          </w:p>
        </w:tc>
      </w:tr>
      <w:tr>
        <w:tc>
          <w:tcPr>
            <w:tcW w:type="dxa" w:w="4320"/>
          </w:tcPr>
          <w:p>
            <w:r>
              <w:t>Quota Attainment</w:t>
            </w:r>
          </w:p>
        </w:tc>
        <w:tc>
          <w:tcPr>
            <w:tcW w:type="dxa" w:w="4320"/>
          </w:tcPr>
          <w:p>
            <w:r>
              <w:t>88%</w:t>
            </w:r>
          </w:p>
        </w:tc>
      </w:tr>
      <w:tr>
        <w:tc>
          <w:tcPr>
            <w:tcW w:type="dxa" w:w="4320"/>
          </w:tcPr>
          <w:p>
            <w:r>
              <w:t>Average Deal Size</w:t>
            </w:r>
          </w:p>
        </w:tc>
        <w:tc>
          <w:tcPr>
            <w:tcW w:type="dxa" w:w="4320"/>
          </w:tcPr>
          <w:p>
            <w:r>
              <w:t>$48,000</w:t>
            </w:r>
          </w:p>
        </w:tc>
      </w:tr>
      <w:tr>
        <w:tc>
          <w:tcPr>
            <w:tcW w:type="dxa" w:w="4320"/>
          </w:tcPr>
          <w:p>
            <w:r>
              <w:t>Win Rate</w:t>
            </w:r>
          </w:p>
        </w:tc>
        <w:tc>
          <w:tcPr>
            <w:tcW w:type="dxa" w:w="4320"/>
          </w:tcPr>
          <w:p>
            <w:r>
              <w:t>34%</w:t>
            </w:r>
          </w:p>
        </w:tc>
      </w:tr>
      <w:tr>
        <w:tc>
          <w:tcPr>
            <w:tcW w:type="dxa" w:w="4320"/>
          </w:tcPr>
          <w:p>
            <w:r>
              <w:t>Pipeline Coverage</w:t>
            </w:r>
          </w:p>
        </w:tc>
        <w:tc>
          <w:tcPr>
            <w:tcW w:type="dxa" w:w="4320"/>
          </w:tcPr>
          <w:p>
            <w:r>
              <w:t>3.2x</w:t>
            </w:r>
          </w:p>
        </w:tc>
      </w:tr>
    </w:tbl>
    <w:p>
      <w:pPr>
        <w:pStyle w:val="Heading1"/>
      </w:pPr>
      <w:r>
        <w:t>🎯 Objectives and Key Results (OKRs)</w:t>
      </w:r>
    </w:p>
    <w:p>
      <w:pPr>
        <w:pStyle w:val="ListBullet"/>
      </w:pPr>
      <w:r>
        <w:t>**Objective 1: Expand strategic accounts in finance and healthcare.**</w:t>
      </w:r>
    </w:p>
    <w:p>
      <w:pPr>
        <w:pStyle w:val="ListBullet2"/>
      </w:pPr>
      <w:r>
        <w:t>- Key Result: 4 new strategic deals (Achieved: 3)</w:t>
      </w:r>
    </w:p>
    <w:p>
      <w:pPr>
        <w:pStyle w:val="ListBullet2"/>
      </w:pPr>
      <w:r>
        <w:t>- Key Result: $500K new pipeline from target industries (Achieved: $480K)</w:t>
      </w:r>
    </w:p>
    <w:p>
      <w:pPr>
        <w:pStyle w:val="ListBullet"/>
      </w:pPr>
      <w:r>
        <w:t>**Objective 2: Improve deal velocity and cycle time.**</w:t>
      </w:r>
    </w:p>
    <w:p>
      <w:pPr>
        <w:pStyle w:val="ListBullet2"/>
      </w:pPr>
      <w:r>
        <w:t>- Key Result: Average cycle time reduced by 10% (Achieved: 7%)</w:t>
      </w:r>
    </w:p>
    <w:p>
      <w:pPr>
        <w:pStyle w:val="ListBullet2"/>
      </w:pPr>
      <w:r>
        <w:t>- Key Result: 3 large deals closed in &lt;60 days (Achieved: 2)</w:t>
      </w:r>
    </w:p>
    <w:p>
      <w:pPr>
        <w:pStyle w:val="Heading1"/>
      </w:pPr>
      <w:r>
        <w:t>📊 Insights &amp; Trends</w:t>
      </w:r>
    </w:p>
    <w:p>
      <w:r>
        <w:t>- Larger deals are taking longer to close due to security reviews and legal bottlenecks.</w:t>
        <w:br/>
        <w:t>- Healthcare accounts show increased engagement but slower procurement cycles.</w:t>
        <w:br/>
        <w:t>- Reps with early executive alignment saw faster deal progression and higher win rates.</w:t>
        <w:br/>
        <w:t>- Product demo requests were up 22%, indicating growing interest in new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