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80" w:after="160"/>
      </w:pPr>
      <w:r>
        <w:rPr>
          <w:b/>
          <w:bCs/>
          <w:color w:val="16263B"/>
          <w:sz w:val="40"/>
          <w:szCs w:val="40"/>
          <w:rFonts w:ascii="Segoe UI" w:cs="Segoe UI" w:eastAsia="Segoe UI" w:hAnsi="Segoe UI"/>
        </w:rPr>
        <w:t xml:space="preserve">Power Pages ALM — End-State Architecture &amp; Milestone Walkthrough</w:t>
      </w:r>
    </w:p>
    <w:p>
      <w:pPr>
        <w:spacing w:after="200"/>
      </w:pPr>
      <w:r>
        <w:rPr>
          <w:color w:val="566A82"/>
          <w:sz w:val="21"/>
          <w:szCs w:val="21"/>
          <w:rFonts w:ascii="Segoe UI" w:cs="Segoe UI" w:eastAsia="Segoe UI" w:hAnsi="Segoe UI"/>
        </w:rPr>
        <w:t xml:space="preserve">Editing source document for the leadership presentation deck</w:t>
      </w:r>
    </w:p>
    <w:p>
      <w:pPr>
        <w:spacing w:after="120" w:line="276"/>
      </w:pPr>
      <w:r>
        <w:rPr>
          <w:b/>
          <w:bCs/>
          <w:color w:val="0E7490"/>
          <w:sz w:val="21"/>
          <w:szCs w:val="21"/>
          <w:rFonts w:ascii="Segoe UI" w:cs="Segoe UI" w:eastAsia="Segoe UI" w:hAnsi="Segoe UI"/>
        </w:rPr>
        <w:t xml:space="preserve">Author: </w:t>
      </w:r>
      <w:r>
        <w:rPr>
          <w:color w:val="16263B"/>
          <w:sz w:val="21"/>
          <w:szCs w:val="21"/>
          <w:rFonts w:ascii="Segoe UI" w:cs="Segoe UI" w:eastAsia="Segoe UI" w:hAnsi="Segoe UI"/>
        </w:rPr>
        <w:t xml:space="preserve">Nidhi Tyagi </w:t>
      </w:r>
      <w:r>
        <w:rPr>
          <w:color w:val="566A82"/>
          <w:sz w:val="21"/>
          <w:szCs w:val="21"/>
          <w:rFonts w:ascii="Segoe UI" w:cs="Segoe UI" w:eastAsia="Segoe UI" w:hAnsi="Segoe UI"/>
        </w:rPr>
        <w:t xml:space="preserve">· Sr. SWE, Power Pages ALM</w:t>
      </w:r>
    </w:p>
    <w:p>
      <w:pPr>
        <w:spacing w:after="120" w:line="276"/>
      </w:pPr>
      <w:r>
        <w:rPr>
          <w:b/>
          <w:bCs/>
          <w:color w:val="0E7490"/>
          <w:sz w:val="21"/>
          <w:szCs w:val="21"/>
          <w:rFonts w:ascii="Segoe UI" w:cs="Segoe UI" w:eastAsia="Segoe UI" w:hAnsi="Segoe UI"/>
        </w:rPr>
        <w:t xml:space="preserve">Audience: </w:t>
      </w:r>
      <w:r>
        <w:rPr>
          <w:color w:val="16263B"/>
          <w:sz w:val="21"/>
          <w:szCs w:val="21"/>
          <w:rFonts w:ascii="Segoe UI" w:cs="Segoe UI" w:eastAsia="Segoe UI" w:hAnsi="Segoe UI"/>
        </w:rPr>
        <w:t xml:space="preserve">Skip-level leadership + dependent team leaders (PM, FastTrack, PowerCAT, support, platform)</w:t>
      </w:r>
    </w:p>
    <w:p>
      <w:pPr>
        <w:spacing w:after="120" w:line="276"/>
      </w:pPr>
      <w:r>
        <w:rPr>
          <w:b/>
          <w:bCs/>
          <w:color w:val="0E7490"/>
          <w:sz w:val="21"/>
          <w:szCs w:val="21"/>
          <w:rFonts w:ascii="Segoe UI" w:cs="Segoe UI" w:eastAsia="Segoe UI" w:hAnsi="Segoe UI"/>
        </w:rPr>
        <w:t xml:space="preserve">Source artifact: </w:t>
      </w:r>
      <w:r>
        <w:rPr>
          <w:color w:val="5B3FA3"/>
          <w:sz w:val="19"/>
          <w:szCs w:val="19"/>
          <w:rFonts w:ascii="Cascadia Code" w:cs="Cascadia Code" w:eastAsia="Cascadia Code" w:hAnsi="Cascadia Code"/>
        </w:rPr>
        <w:t xml:space="preserve">powerpages-alm-milestones.html</w:t>
      </w:r>
      <w:r>
        <w:rPr>
          <w:color w:val="16263B"/>
          <w:sz w:val="21"/>
          <w:szCs w:val="21"/>
          <w:rFonts w:ascii="Segoe UI" w:cs="Segoe UI" w:eastAsia="Segoe UI" w:hAnsi="Segoe UI"/>
        </w:rPr>
        <w:t xml:space="preserve"> (10-section presentation)</w:t>
      </w:r>
    </w:p>
    <w:p>
      <w:pPr>
        <w:pStyle w:val="Heading3"/>
        <w:spacing w:before="200" w:after="80"/>
      </w:pPr>
      <w:r>
        <w:rPr>
          <w:b/>
          <w:bCs/>
          <w:color w:val="0E7490"/>
          <w:sz w:val="24"/>
          <w:szCs w:val="24"/>
          <w:rFonts w:ascii="Segoe UI" w:cs="Segoe UI" w:eastAsia="Segoe UI" w:hAnsi="Segoe UI"/>
        </w:rPr>
        <w:t xml:space="preserve">How to use this document</w:t>
      </w:r>
    </w:p>
    <w:p>
      <w:pPr>
        <w:pStyle w:val="ListParagraph"/>
        <w:numPr>
          <w:ilvl w:val="0"/>
          <w:numId w:val="1"/>
        </w:numPr>
        <w:spacing w:after="80" w:line="268"/>
      </w:pPr>
      <w:r>
        <w:rPr>
          <w:b/>
          <w:bCs/>
          <w:color w:val="16263B"/>
          <w:sz w:val="21"/>
          <w:szCs w:val="21"/>
          <w:rFonts w:ascii="Segoe UI" w:cs="Segoe UI" w:eastAsia="Segoe UI" w:hAnsi="Segoe UI"/>
        </w:rPr>
        <w:t xml:space="preserve">One section per slide. </w:t>
      </w:r>
      <w:r>
        <w:rPr>
          <w:color w:val="16263B"/>
          <w:sz w:val="21"/>
          <w:szCs w:val="21"/>
          <w:rFonts w:ascii="Segoe UI" w:cs="Segoe UI" w:eastAsia="Segoe UI" w:hAnsi="Segoe UI"/>
        </w:rPr>
        <w:t xml:space="preserve">Each section below maps 1:1 to a slide in the deck, in order, under the heading </w:t>
      </w:r>
      <w:r>
        <w:rPr>
          <w:b/>
          <w:bCs/>
          <w:color w:val="16263B"/>
          <w:sz w:val="21"/>
          <w:szCs w:val="21"/>
          <w:rFonts w:ascii="Segoe UI" w:cs="Segoe UI" w:eastAsia="Segoe UI" w:hAnsi="Segoe UI"/>
        </w:rPr>
        <w:t xml:space="preserve">“Slide N · Title”</w:t>
      </w:r>
      <w:r>
        <w:rPr>
          <w:color w:val="16263B"/>
          <w:sz w:val="21"/>
          <w:szCs w:val="21"/>
          <w:rFonts w:ascii="Segoe UI" w:cs="Segoe UI" w:eastAsia="Segoe UI" w:hAnsi="Segoe UI"/>
        </w:rPr>
        <w:t xml:space="preserve">. Keep that heading format so the deck can be regenerated from this file.</w:t>
      </w:r>
    </w:p>
    <w:p>
      <w:pPr>
        <w:pStyle w:val="ListParagraph"/>
        <w:numPr>
          <w:ilvl w:val="0"/>
          <w:numId w:val="1"/>
        </w:numPr>
        <w:spacing w:after="80" w:line="268"/>
      </w:pPr>
      <w:r>
        <w:rPr>
          <w:b/>
          <w:bCs/>
          <w:color w:val="16263B"/>
          <w:sz w:val="21"/>
          <w:szCs w:val="21"/>
          <w:rFonts w:ascii="Segoe UI" w:cs="Segoe UI" w:eastAsia="Segoe UI" w:hAnsi="Segoe UI"/>
        </w:rPr>
        <w:t xml:space="preserve">Field labels are structural. </w:t>
      </w:r>
      <w:r>
        <w:rPr>
          <w:color w:val="16263B"/>
          <w:sz w:val="21"/>
          <w:szCs w:val="21"/>
          <w:rFonts w:ascii="Segoe UI" w:cs="Segoe UI" w:eastAsia="Segoe UI" w:hAnsi="Segoe UI"/>
        </w:rPr>
        <w:t xml:space="preserve">Bold teal labels (</w:t>
      </w:r>
      <w:r>
        <w:rPr>
          <w:b/>
          <w:bCs/>
          <w:color w:val="0E7490"/>
          <w:sz w:val="21"/>
          <w:szCs w:val="21"/>
          <w:rFonts w:ascii="Segoe UI" w:cs="Segoe UI" w:eastAsia="Segoe UI" w:hAnsi="Segoe UI"/>
        </w:rPr>
        <w:t xml:space="preserve">Eyebrow, Title, Lead, Definition of done, …</w:t>
      </w:r>
      <w:r>
        <w:rPr>
          <w:color w:val="16263B"/>
          <w:sz w:val="21"/>
          <w:szCs w:val="21"/>
          <w:rFonts w:ascii="Segoe UI" w:cs="Segoe UI" w:eastAsia="Segoe UI" w:hAnsi="Segoe UI"/>
        </w:rPr>
        <w:t xml:space="preserve">) mark fields that map to specific slide elements. Edit the value after the colon; keep the label.</w:t>
      </w:r>
    </w:p>
    <w:p>
      <w:pPr>
        <w:pStyle w:val="ListParagraph"/>
        <w:numPr>
          <w:ilvl w:val="0"/>
          <w:numId w:val="1"/>
        </w:numPr>
        <w:spacing w:after="80" w:line="268"/>
      </w:pPr>
      <w:r>
        <w:rPr>
          <w:b/>
          <w:bCs/>
          <w:color w:val="16263B"/>
          <w:sz w:val="21"/>
          <w:szCs w:val="21"/>
          <w:rFonts w:ascii="Segoe UI" w:cs="Segoe UI" w:eastAsia="Segoe UI" w:hAnsi="Segoe UI"/>
        </w:rPr>
        <w:t xml:space="preserve">Placeholders to fill. </w:t>
      </w:r>
      <w:r>
        <w:rPr>
          <w:color w:val="16263B"/>
          <w:sz w:val="21"/>
          <w:szCs w:val="21"/>
          <w:rFonts w:ascii="Segoe UI" w:cs="Segoe UI" w:eastAsia="Segoe UI" w:hAnsi="Segoe UI"/>
        </w:rPr>
        <w:t xml:space="preserve">Tokens written like </w:t>
      </w:r>
      <w:r>
        <w:rPr>
          <w:b/>
          <w:bCs/>
          <w:color w:val="B45309"/>
          <w:sz w:val="21"/>
          <w:szCs w:val="21"/>
          <w:rFonts w:ascii="Segoe UI" w:cs="Segoe UI" w:eastAsia="Segoe UI" w:hAnsi="Segoe UI"/>
        </w:rPr>
        <w:t xml:space="preserve">‹threshold X%›</w:t>
      </w:r>
      <w:r>
        <w:rPr>
          <w:color w:val="16263B"/>
          <w:sz w:val="21"/>
          <w:szCs w:val="21"/>
          <w:rFonts w:ascii="Segoe UI" w:cs="Segoe UI" w:eastAsia="Segoe UI" w:hAnsi="Segoe UI"/>
        </w:rPr>
        <w:t xml:space="preserve"> are intentional blanks — replace the text between the </w:t>
      </w:r>
      <w:r>
        <w:rPr>
          <w:color w:val="16263B"/>
          <w:sz w:val="21"/>
          <w:szCs w:val="21"/>
          <w:rFonts w:ascii="Segoe UI" w:cs="Segoe UI" w:eastAsia="Segoe UI" w:hAnsi="Segoe UI"/>
        </w:rPr>
        <w:t xml:space="preserve">‹ ›</w:t>
      </w:r>
      <w:r>
        <w:rPr>
          <w:color w:val="16263B"/>
          <w:sz w:val="21"/>
          <w:szCs w:val="21"/>
          <w:rFonts w:ascii="Segoe UI" w:cs="Segoe UI" w:eastAsia="Segoe UI" w:hAnsi="Segoe UI"/>
        </w:rPr>
        <w:t xml:space="preserve"> guillemets before sharing externally; leave the guillemets off your final value.</w:t>
      </w:r>
    </w:p>
    <w:p>
      <w:pPr>
        <w:pStyle w:val="ListParagraph"/>
        <w:numPr>
          <w:ilvl w:val="0"/>
          <w:numId w:val="1"/>
        </w:numPr>
        <w:spacing w:after="80" w:line="268"/>
      </w:pPr>
      <w:r>
        <w:rPr>
          <w:b/>
          <w:bCs/>
          <w:color w:val="16263B"/>
          <w:sz w:val="21"/>
          <w:szCs w:val="21"/>
          <w:rFonts w:ascii="Segoe UI" w:cs="Segoe UI" w:eastAsia="Segoe UI" w:hAnsi="Segoe UI"/>
        </w:rPr>
        <w:t xml:space="preserve">Diagrams are captured as structured text. </w:t>
      </w:r>
      <w:r>
        <w:rPr>
          <w:color w:val="16263B"/>
          <w:sz w:val="21"/>
          <w:szCs w:val="21"/>
          <w:rFonts w:ascii="Segoe UI" w:cs="Segoe UI" w:eastAsia="Segoe UI" w:hAnsi="Segoe UI"/>
        </w:rPr>
        <w:t xml:space="preserve">The architecture and timeline diagrams are represented as editable node/edge and phase lists so changes here can be rebuilt into the Mermaid diagrams.</w:t>
      </w:r>
    </w:p>
    <w:p>
      <w:pPr>
        <w:pStyle w:val="ListParagraph"/>
        <w:numPr>
          <w:ilvl w:val="0"/>
          <w:numId w:val="1"/>
        </w:numPr>
        <w:spacing w:after="80" w:line="268"/>
      </w:pPr>
      <w:r>
        <w:rPr>
          <w:b/>
          <w:bCs/>
          <w:color w:val="16263B"/>
          <w:sz w:val="21"/>
          <w:szCs w:val="21"/>
          <w:rFonts w:ascii="Segoe UI" w:cs="Segoe UI" w:eastAsia="Segoe UI" w:hAnsi="Segoe UI"/>
        </w:rPr>
        <w:t xml:space="preserve">Speaker notes </w:t>
      </w:r>
      <w:r>
        <w:rPr>
          <w:color w:val="16263B"/>
          <w:sz w:val="21"/>
          <w:szCs w:val="21"/>
          <w:rFonts w:ascii="Segoe UI" w:cs="Segoe UI" w:eastAsia="Segoe UI" w:hAnsi="Segoe UI"/>
        </w:rPr>
        <w:t xml:space="preserve">live in the shaded “Speaker notes” block at the end of each section (also editable directly in the HTML deck).</w:t>
      </w:r>
    </w:p>
    <w:p>
      <w:pPr>
        <w:pStyle w:val="Heading3"/>
        <w:spacing w:before="200" w:after="80"/>
      </w:pPr>
      <w:r>
        <w:rPr>
          <w:b/>
          <w:bCs/>
          <w:color w:val="0E7490"/>
          <w:sz w:val="24"/>
          <w:szCs w:val="24"/>
          <w:rFonts w:ascii="Segoe UI" w:cs="Segoe UI" w:eastAsia="Segoe UI" w:hAnsi="Segoe UI"/>
        </w:rPr>
        <w:t xml:space="preserve">Thesis (framing — keep verbatim)</w:t>
      </w:r>
    </w:p>
    <w:p>
      <w:pPr>
        <w:spacing w:after="120" w:line="276"/>
      </w:pPr>
      <w:r>
        <w:rPr>
          <w:color w:val="16263B"/>
          <w:sz w:val="21"/>
          <w:szCs w:val="21"/>
          <w:rFonts w:ascii="Segoe UI" w:cs="Segoe UI" w:eastAsia="Segoe UI" w:hAnsi="Segoe UI"/>
        </w:rPr>
        <w:t xml:space="preserve">For Power Pages, reliability comes from </w:t>
      </w:r>
      <w:r>
        <w:rPr>
          <w:b/>
          <w:bCs/>
          <w:color w:val="16263B"/>
          <w:sz w:val="21"/>
          <w:szCs w:val="21"/>
          <w:rFonts w:ascii="Segoe UI" w:cs="Segoe UI" w:eastAsia="Segoe UI" w:hAnsi="Segoe UI"/>
        </w:rPr>
        <w:t xml:space="preserve">stabilizing</w:t>
      </w:r>
      <w:r>
        <w:rPr>
          <w:color w:val="16263B"/>
          <w:sz w:val="21"/>
          <w:szCs w:val="21"/>
          <w:rFonts w:ascii="Segoe UI" w:cs="Segoe UI" w:eastAsia="Segoe UI" w:hAnsi="Segoe UI"/>
        </w:rPr>
        <w:t xml:space="preserve"> the solution boundary, not shrinking it. The </w:t>
      </w:r>
      <w:r>
        <w:rPr>
          <w:b/>
          <w:bCs/>
          <w:color w:val="16263B"/>
          <w:sz w:val="21"/>
          <w:szCs w:val="21"/>
          <w:rFonts w:ascii="Segoe UI" w:cs="Segoe UI" w:eastAsia="Segoe UI" w:hAnsi="Segoe UI"/>
        </w:rPr>
        <w:t xml:space="preserve">site</w:t>
      </w:r>
      <w:r>
        <w:rPr>
          <w:color w:val="16263B"/>
          <w:sz w:val="21"/>
          <w:szCs w:val="21"/>
          <w:rFonts w:ascii="Segoe UI" w:cs="Segoe UI" w:eastAsia="Segoe UI" w:hAnsi="Segoe UI"/>
        </w:rPr>
        <w:t xml:space="preserve"> is the unit of ALM; </w:t>
      </w:r>
      <w:r>
        <w:rPr>
          <w:b/>
          <w:bCs/>
          <w:color w:val="16263B"/>
          <w:sz w:val="21"/>
          <w:szCs w:val="21"/>
          <w:rFonts w:ascii="Segoe UI" w:cs="Segoe UI" w:eastAsia="Segoe UI" w:hAnsi="Segoe UI"/>
        </w:rPr>
        <w:t xml:space="preserve">Git</w:t>
      </w:r>
      <w:r>
        <w:rPr>
          <w:color w:val="16263B"/>
          <w:sz w:val="21"/>
          <w:szCs w:val="21"/>
          <w:rFonts w:ascii="Segoe UI" w:cs="Segoe UI" w:eastAsia="Segoe UI" w:hAnsi="Segoe UI"/>
        </w:rPr>
        <w:t xml:space="preserve"> is the unit of change; </w:t>
      </w:r>
      <w:r>
        <w:rPr>
          <w:b/>
          <w:bCs/>
          <w:color w:val="16263B"/>
          <w:sz w:val="21"/>
          <w:szCs w:val="21"/>
          <w:rFonts w:ascii="Segoe UI" w:cs="Segoe UI" w:eastAsia="Segoe UI" w:hAnsi="Segoe UI"/>
        </w:rPr>
        <w:t xml:space="preserve">AI</w:t>
      </w:r>
      <w:r>
        <w:rPr>
          <w:color w:val="16263B"/>
          <w:sz w:val="21"/>
          <w:szCs w:val="21"/>
          <w:rFonts w:ascii="Segoe UI" w:cs="Segoe UI" w:eastAsia="Segoe UI" w:hAnsi="Segoe UI"/>
        </w:rPr>
        <w:t xml:space="preserve"> is the orchestrator that removes the room to get it wrong.</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1 · Title &amp; Thesis</w:t>
      </w:r>
    </w:p>
    <w:p>
      <w:pPr>
        <w:spacing w:after="120" w:line="276"/>
      </w:pPr>
      <w:r>
        <w:rPr>
          <w:b/>
          <w:bCs/>
          <w:color w:val="0E7490"/>
          <w:sz w:val="21"/>
          <w:szCs w:val="21"/>
          <w:rFonts w:ascii="Segoe UI" w:cs="Segoe UI" w:eastAsia="Segoe UI" w:hAnsi="Segoe UI"/>
        </w:rPr>
        <w:t xml:space="preserve">Eyebrow: </w:t>
      </w:r>
      <w:r>
        <w:rPr>
          <w:color w:val="16263B"/>
          <w:sz w:val="21"/>
          <w:szCs w:val="21"/>
          <w:rFonts w:ascii="Segoe UI" w:cs="Segoe UI" w:eastAsia="Segoe UI" w:hAnsi="Segoe UI"/>
        </w:rPr>
        <w:t xml:space="preserve">North Star · Leadership walkthrough</w:t>
      </w:r>
    </w:p>
    <w:p>
      <w:pPr>
        <w:spacing w:after="120" w:line="276"/>
      </w:pPr>
      <w:r>
        <w:rPr>
          <w:b/>
          <w:bCs/>
          <w:color w:val="0E7490"/>
          <w:sz w:val="21"/>
          <w:szCs w:val="21"/>
          <w:rFonts w:ascii="Segoe UI" w:cs="Segoe UI" w:eastAsia="Segoe UI" w:hAnsi="Segoe UI"/>
        </w:rPr>
        <w:t xml:space="preserve">Title: </w:t>
      </w:r>
      <w:r>
        <w:rPr>
          <w:color w:val="16263B"/>
          <w:sz w:val="21"/>
          <w:szCs w:val="21"/>
          <w:rFonts w:ascii="Segoe UI" w:cs="Segoe UI" w:eastAsia="Segoe UI" w:hAnsi="Segoe UI"/>
        </w:rPr>
        <w:t xml:space="preserve">Power Pages ALM — End-State Architecture &amp; Milestone Walkthrough</w:t>
      </w:r>
    </w:p>
    <w:p>
      <w:pPr>
        <w:spacing w:after="120" w:line="276"/>
      </w:pPr>
      <w:r>
        <w:rPr>
          <w:b/>
          <w:bCs/>
          <w:color w:val="0E7490"/>
          <w:sz w:val="21"/>
          <w:szCs w:val="21"/>
          <w:rFonts w:ascii="Segoe UI" w:cs="Segoe UI" w:eastAsia="Segoe UI" w:hAnsi="Segoe UI"/>
        </w:rPr>
        <w:t xml:space="preserve">Thesis: </w:t>
      </w:r>
      <w:r>
        <w:rPr>
          <w:color w:val="16263B"/>
          <w:sz w:val="21"/>
          <w:szCs w:val="21"/>
          <w:rFonts w:ascii="Segoe UI" w:cs="Segoe UI" w:eastAsia="Segoe UI" w:hAnsi="Segoe UI"/>
        </w:rPr>
        <w:t xml:space="preserve">For Power Pages, reliability comes from </w:t>
      </w:r>
      <w:r>
        <w:rPr>
          <w:b/>
          <w:bCs/>
          <w:color w:val="16263B"/>
          <w:sz w:val="21"/>
          <w:szCs w:val="21"/>
          <w:rFonts w:ascii="Segoe UI" w:cs="Segoe UI" w:eastAsia="Segoe UI" w:hAnsi="Segoe UI"/>
        </w:rPr>
        <w:t xml:space="preserve">stabilizing</w:t>
      </w:r>
      <w:r>
        <w:rPr>
          <w:color w:val="16263B"/>
          <w:sz w:val="21"/>
          <w:szCs w:val="21"/>
          <w:rFonts w:ascii="Segoe UI" w:cs="Segoe UI" w:eastAsia="Segoe UI" w:hAnsi="Segoe UI"/>
        </w:rPr>
        <w:t xml:space="preserve"> the solution boundary, not shrinking it. The </w:t>
      </w:r>
      <w:r>
        <w:rPr>
          <w:b/>
          <w:bCs/>
          <w:color w:val="16263B"/>
          <w:sz w:val="21"/>
          <w:szCs w:val="21"/>
          <w:rFonts w:ascii="Segoe UI" w:cs="Segoe UI" w:eastAsia="Segoe UI" w:hAnsi="Segoe UI"/>
        </w:rPr>
        <w:t xml:space="preserve">site</w:t>
      </w:r>
      <w:r>
        <w:rPr>
          <w:color w:val="16263B"/>
          <w:sz w:val="21"/>
          <w:szCs w:val="21"/>
          <w:rFonts w:ascii="Segoe UI" w:cs="Segoe UI" w:eastAsia="Segoe UI" w:hAnsi="Segoe UI"/>
        </w:rPr>
        <w:t xml:space="preserve"> is the unit of ALM; </w:t>
      </w:r>
      <w:r>
        <w:rPr>
          <w:b/>
          <w:bCs/>
          <w:color w:val="16263B"/>
          <w:sz w:val="21"/>
          <w:szCs w:val="21"/>
          <w:rFonts w:ascii="Segoe UI" w:cs="Segoe UI" w:eastAsia="Segoe UI" w:hAnsi="Segoe UI"/>
        </w:rPr>
        <w:t xml:space="preserve">Git</w:t>
      </w:r>
      <w:r>
        <w:rPr>
          <w:color w:val="16263B"/>
          <w:sz w:val="21"/>
          <w:szCs w:val="21"/>
          <w:rFonts w:ascii="Segoe UI" w:cs="Segoe UI" w:eastAsia="Segoe UI" w:hAnsi="Segoe UI"/>
        </w:rPr>
        <w:t xml:space="preserve"> is the unit of change; </w:t>
      </w:r>
      <w:r>
        <w:rPr>
          <w:b/>
          <w:bCs/>
          <w:color w:val="16263B"/>
          <w:sz w:val="21"/>
          <w:szCs w:val="21"/>
          <w:rFonts w:ascii="Segoe UI" w:cs="Segoe UI" w:eastAsia="Segoe UI" w:hAnsi="Segoe UI"/>
        </w:rPr>
        <w:t xml:space="preserve">AI</w:t>
      </w:r>
      <w:r>
        <w:rPr>
          <w:color w:val="16263B"/>
          <w:sz w:val="21"/>
          <w:szCs w:val="21"/>
          <w:rFonts w:ascii="Segoe UI" w:cs="Segoe UI" w:eastAsia="Segoe UI" w:hAnsi="Segoe UI"/>
        </w:rPr>
        <w:t xml:space="preserve"> is the orchestrator that removes the room to get it wrong.</w:t>
      </w:r>
    </w:p>
    <w:p>
      <w:pPr>
        <w:spacing w:after="120" w:line="276"/>
      </w:pPr>
      <w:r>
        <w:rPr>
          <w:b/>
          <w:bCs/>
          <w:color w:val="0E7490"/>
          <w:sz w:val="21"/>
          <w:szCs w:val="21"/>
          <w:rFonts w:ascii="Segoe UI" w:cs="Segoe UI" w:eastAsia="Segoe UI" w:hAnsi="Segoe UI"/>
        </w:rPr>
        <w:t xml:space="preserve">Presenter: </w:t>
      </w:r>
      <w:r>
        <w:rPr>
          <w:color w:val="16263B"/>
          <w:sz w:val="21"/>
          <w:szCs w:val="21"/>
          <w:rFonts w:ascii="Segoe UI" w:cs="Segoe UI" w:eastAsia="Segoe UI" w:hAnsi="Segoe UI"/>
        </w:rPr>
        <w:t xml:space="preserve">Nidhi Tyagi · Sr. SWE, Power Pages ALM</w:t>
      </w:r>
    </w:p>
    <w:p>
      <w:pPr>
        <w:spacing w:after="120" w:line="276"/>
      </w:pPr>
      <w:r>
        <w:rPr>
          <w:b/>
          <w:bCs/>
          <w:color w:val="0E7490"/>
          <w:sz w:val="21"/>
          <w:szCs w:val="21"/>
          <w:rFonts w:ascii="Segoe UI" w:cs="Segoe UI" w:eastAsia="Segoe UI" w:hAnsi="Segoe UI"/>
        </w:rPr>
        <w:t xml:space="preserve">Audience: </w:t>
      </w:r>
      <w:r>
        <w:rPr>
          <w:color w:val="16263B"/>
          <w:sz w:val="21"/>
          <w:szCs w:val="21"/>
          <w:rFonts w:ascii="Segoe UI" w:cs="Segoe UI" w:eastAsia="Segoe UI" w:hAnsi="Segoe UI"/>
        </w:rPr>
        <w:t xml:space="preserve">Skip-level leadership + dependent team leaders</w:t>
      </w:r>
    </w:p>
    <w:p>
      <w:pPr>
        <w:spacing w:after="120" w:line="276"/>
      </w:pPr>
      <w:r>
        <w:rPr>
          <w:b/>
          <w:bCs/>
          <w:color w:val="0E7490"/>
          <w:sz w:val="21"/>
          <w:szCs w:val="21"/>
          <w:rFonts w:ascii="Segoe UI" w:cs="Segoe UI" w:eastAsia="Segoe UI" w:hAnsi="Segoe UI"/>
        </w:rPr>
        <w:t xml:space="preserve">Date: </w:t>
      </w:r>
      <w:r>
        <w:rPr>
          <w:color w:val="16263B"/>
          <w:sz w:val="21"/>
          <w:szCs w:val="21"/>
          <w:rFonts w:ascii="Segoe UI" w:cs="Segoe UI" w:eastAsia="Segoe UI" w:hAnsi="Segoe UI"/>
        </w:rPr>
        <w:t xml:space="preserve">June 3, 2026</w:t>
      </w:r>
    </w:p>
    <w:p>
      <w:pPr>
        <w:pStyle w:val="Heading3"/>
        <w:spacing w:before="200" w:after="80"/>
      </w:pPr>
      <w:r>
        <w:rPr>
          <w:b/>
          <w:bCs/>
          <w:color w:val="0E7490"/>
          <w:sz w:val="24"/>
          <w:szCs w:val="24"/>
          <w:rFonts w:ascii="Segoe UI" w:cs="Segoe UI" w:eastAsia="Segoe UI" w:hAnsi="Segoe UI"/>
        </w:rPr>
        <w:t xml:space="preserve">Status row (four stat cards)</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tblGrid>
      <w:tr>
        <w:tc>
          <w:tcPr>
            <w:tcW w:type="pct" w:w="4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Phase</w:t>
            </w:r>
          </w:p>
        </w:tc>
        <w:tc>
          <w:tcPr>
            <w:tcW w:type="pct" w:w="24%"/>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Status</w:t>
            </w:r>
          </w:p>
        </w:tc>
        <w:tc>
          <w:tcPr>
            <w:tcW w:type="pct" w:w="36%"/>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Milestone</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0 · Solution Explorer</w:t>
            </w:r>
          </w:p>
        </w:tc>
        <w:tc>
          <w:tcPr>
            <w:tcMar>
              <w:top w:type="dxa" w:w="60"/>
              <w:left w:type="dxa" w:w="110"/>
              <w:bottom w:type="dxa" w:w="60"/>
              <w:right w:type="dxa" w:w="110"/>
            </w:tcMar>
          </w:tcPr>
          <w:p>
            <w:pPr>
              <w:spacing w:after="0" w:line="264"/>
            </w:pPr>
            <w:r>
              <w:rPr>
                <w:b/>
                <w:bCs/>
                <w:color w:val="0B6E36"/>
                <w:sz w:val="21"/>
                <w:szCs w:val="21"/>
                <w:rFonts w:ascii="Segoe UI" w:cs="Segoe UI" w:eastAsia="Segoe UI" w:hAnsi="Segoe UI"/>
              </w:rPr>
              <w:t xml:space="preserve">Done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GA · Jan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1 · AI Outer Loop</w:t>
            </w:r>
          </w:p>
        </w:tc>
        <w:tc>
          <w:tcPr>
            <w:tcMar>
              <w:top w:type="dxa" w:w="60"/>
              <w:left w:type="dxa" w:w="110"/>
              <w:bottom w:type="dxa" w:w="60"/>
              <w:right w:type="dxa" w:w="110"/>
            </w:tcMar>
          </w:tcPr>
          <w:p>
            <w:pPr>
              <w:spacing w:after="0" w:line="264"/>
            </w:pPr>
            <w:r>
              <w:rPr>
                <w:b/>
                <w:bCs/>
                <w:color w:val="0B6E36"/>
                <w:sz w:val="21"/>
                <w:szCs w:val="21"/>
                <w:rFonts w:ascii="Segoe UI" w:cs="Segoe UI" w:eastAsia="Segoe UI" w:hAnsi="Segoe UI"/>
              </w:rPr>
              <w:t xml:space="preserve">Done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GA · May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2 · Native Git</w:t>
            </w:r>
          </w:p>
        </w:tc>
        <w:tc>
          <w:tcPr>
            <w:tcMar>
              <w:top w:type="dxa" w:w="60"/>
              <w:left w:type="dxa" w:w="110"/>
              <w:bottom w:type="dxa" w:w="60"/>
              <w:right w:type="dxa" w:w="110"/>
            </w:tcMar>
          </w:tcPr>
          <w:p>
            <w:pPr>
              <w:spacing w:after="0" w:line="264"/>
            </w:pPr>
            <w:r>
              <w:rPr>
                <w:b/>
                <w:bCs/>
                <w:color w:val="0E7490"/>
                <w:sz w:val="21"/>
                <w:szCs w:val="21"/>
                <w:rFonts w:ascii="Segoe UI" w:cs="Segoe UI" w:eastAsia="Segoe UI" w:hAnsi="Segoe UI"/>
              </w:rPr>
              <w:t xml:space="preserve">Active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Target · Jul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3 · AI Inner Loop</w:t>
            </w:r>
          </w:p>
        </w:tc>
        <w:tc>
          <w:tcPr>
            <w:tcMar>
              <w:top w:type="dxa" w:w="60"/>
              <w:left w:type="dxa" w:w="110"/>
              <w:bottom w:type="dxa" w:w="60"/>
              <w:right w:type="dxa" w:w="110"/>
            </w:tcMar>
          </w:tcPr>
          <w:p>
            <w:pPr>
              <w:spacing w:after="0" w:line="264"/>
            </w:pPr>
            <w:r>
              <w:rPr>
                <w:b/>
                <w:bCs/>
                <w:color w:val="0E7490"/>
                <w:sz w:val="21"/>
                <w:szCs w:val="21"/>
                <w:rFonts w:ascii="Segoe UI" w:cs="Segoe UI" w:eastAsia="Segoe UI" w:hAnsi="Segoe UI"/>
              </w:rPr>
              <w:t xml:space="preserve">Active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Target · Jul 2026</w:t>
            </w:r>
          </w:p>
        </w:tc>
      </w:tr>
    </w:tbl>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Open with the thesis verbatim — it’s the through-line for the whole deck. The single most important reframe: we are </w:t>
      </w:r>
      <w:r>
        <w:rPr>
          <w:i/>
          <w:iCs/>
          <w:color w:val="5B3FA3"/>
          <w:sz w:val="21"/>
          <w:szCs w:val="21"/>
          <w:rFonts w:ascii="Segoe UI" w:cs="Segoe UI" w:eastAsia="Segoe UI" w:hAnsi="Segoe UI"/>
        </w:rPr>
        <w:t xml:space="preserve">not</w:t>
      </w:r>
      <w:r>
        <w:rPr>
          <w:color w:val="16263B"/>
          <w:sz w:val="21"/>
          <w:szCs w:val="21"/>
          <w:rFonts w:ascii="Segoe UI" w:cs="Segoe UI" w:eastAsia="Segoe UI" w:hAnsi="Segoe UI"/>
        </w:rPr>
        <w:t xml:space="preserve"> trying to make the solution smaller or split sites into many solutions. We’re stabilizing one durable boundary per site.</w:t>
      </w:r>
    </w:p>
    <w:p>
      <w:pPr>
        <w:shd w:fill="F7FAFC" w:val="clear"/>
        <w:spacing w:after="100" w:line="276"/>
      </w:pPr>
      <w:r>
        <w:rPr>
          <w:color w:val="16263B"/>
          <w:sz w:val="21"/>
          <w:szCs w:val="21"/>
          <w:rFonts w:ascii="Segoe UI" w:cs="Segoe UI" w:eastAsia="Segoe UI" w:hAnsi="Segoe UI"/>
        </w:rPr>
        <w:t xml:space="preserve">Three nouns to plant now and reuse all deck: </w:t>
      </w:r>
      <w:r>
        <w:rPr>
          <w:b/>
          <w:bCs/>
          <w:color w:val="16263B"/>
          <w:sz w:val="21"/>
          <w:szCs w:val="21"/>
          <w:rFonts w:ascii="Segoe UI" w:cs="Segoe UI" w:eastAsia="Segoe UI" w:hAnsi="Segoe UI"/>
        </w:rPr>
        <w:t xml:space="preserve">site</w:t>
      </w:r>
      <w:r>
        <w:rPr>
          <w:color w:val="16263B"/>
          <w:sz w:val="21"/>
          <w:szCs w:val="21"/>
          <w:rFonts w:ascii="Segoe UI" w:cs="Segoe UI" w:eastAsia="Segoe UI" w:hAnsi="Segoe UI"/>
        </w:rPr>
        <w:t xml:space="preserve"> (unit of ALM), </w:t>
      </w:r>
      <w:r>
        <w:rPr>
          <w:b/>
          <w:bCs/>
          <w:color w:val="16263B"/>
          <w:sz w:val="21"/>
          <w:szCs w:val="21"/>
          <w:rFonts w:ascii="Segoe UI" w:cs="Segoe UI" w:eastAsia="Segoe UI" w:hAnsi="Segoe UI"/>
        </w:rPr>
        <w:t xml:space="preserve">Git</w:t>
      </w:r>
      <w:r>
        <w:rPr>
          <w:color w:val="16263B"/>
          <w:sz w:val="21"/>
          <w:szCs w:val="21"/>
          <w:rFonts w:ascii="Segoe UI" w:cs="Segoe UI" w:eastAsia="Segoe UI" w:hAnsi="Segoe UI"/>
        </w:rPr>
        <w:t xml:space="preserve"> (unit of change), </w:t>
      </w:r>
      <w:r>
        <w:rPr>
          <w:b/>
          <w:bCs/>
          <w:color w:val="16263B"/>
          <w:sz w:val="21"/>
          <w:szCs w:val="21"/>
          <w:rFonts w:ascii="Segoe UI" w:cs="Segoe UI" w:eastAsia="Segoe UI" w:hAnsi="Segoe UI"/>
        </w:rPr>
        <w:t xml:space="preserve">AI</w:t>
      </w:r>
      <w:r>
        <w:rPr>
          <w:color w:val="16263B"/>
          <w:sz w:val="21"/>
          <w:szCs w:val="21"/>
          <w:rFonts w:ascii="Segoe UI" w:cs="Segoe UI" w:eastAsia="Segoe UI" w:hAnsi="Segoe UI"/>
        </w:rPr>
        <w:t xml:space="preserve"> (orchestrator). Everything downstream hangs off these three.</w:t>
      </w:r>
    </w:p>
    <w:p>
      <w:pPr>
        <w:shd w:fill="F7FAFC" w:val="clear"/>
        <w:spacing w:after="100" w:line="276"/>
      </w:pPr>
      <w:r>
        <w:rPr>
          <w:color w:val="16263B"/>
          <w:sz w:val="21"/>
          <w:szCs w:val="21"/>
          <w:rFonts w:ascii="Segoe UI" w:cs="Segoe UI" w:eastAsia="Segoe UI" w:hAnsi="Segoe UI"/>
        </w:rPr>
        <w:t xml:space="preserve">Note the status row: two phases already GA, two targeting end of July. Lead with momentum — this is a “we’ve shipped, here’s what’s next and why” story, not a pitch for net-new investment.</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2 · Problem &amp; Why Now</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Today’s Power Pages ALM is fragmented across tools that were never designed to compose. The maker pays the integration tax.</w:t>
      </w:r>
    </w:p>
    <w:p>
      <w:pPr>
        <w:pStyle w:val="Heading3"/>
        <w:spacing w:before="200" w:after="80"/>
      </w:pPr>
      <w:r>
        <w:rPr>
          <w:b/>
          <w:bCs/>
          <w:color w:val="0E7490"/>
          <w:sz w:val="24"/>
          <w:szCs w:val="24"/>
          <w:rFonts w:ascii="Segoe UI" w:cs="Segoe UI" w:eastAsia="Segoe UI" w:hAnsi="Segoe UI"/>
        </w:rPr>
        <w:t xml:space="preserve">Fragmentation today</w:t>
      </w:r>
    </w:p>
    <w:p>
      <w:pPr>
        <w:pStyle w:val="ListParagraph"/>
        <w:numPr>
          <w:ilvl w:val="0"/>
          <w:numId w:val="1"/>
        </w:numPr>
        <w:spacing w:after="80" w:line="268"/>
      </w:pPr>
      <w:r>
        <w:rPr>
          <w:b/>
          <w:bCs/>
          <w:color w:val="16263B"/>
          <w:sz w:val="21"/>
          <w:szCs w:val="21"/>
          <w:rFonts w:ascii="Segoe UI" w:cs="Segoe UI" w:eastAsia="Segoe UI" w:hAnsi="Segoe UI"/>
        </w:rPr>
        <w:t xml:space="preserve">PAC CLI</w:t>
      </w:r>
      <w:r>
        <w:rPr>
          <w:color w:val="16263B"/>
          <w:sz w:val="21"/>
          <w:szCs w:val="21"/>
          <w:rFonts w:ascii="Segoe UI" w:cs="Segoe UI" w:eastAsia="Segoe UI" w:hAnsi="Segoe UI"/>
        </w:rPr>
        <w:t xml:space="preserve"> — scriptable, but a separate mental model from the Maker UX.</w:t>
      </w:r>
    </w:p>
    <w:p>
      <w:pPr>
        <w:pStyle w:val="ListParagraph"/>
        <w:numPr>
          <w:ilvl w:val="0"/>
          <w:numId w:val="1"/>
        </w:numPr>
        <w:spacing w:after="80" w:line="268"/>
      </w:pPr>
      <w:r>
        <w:rPr>
          <w:b/>
          <w:bCs/>
          <w:color w:val="16263B"/>
          <w:sz w:val="21"/>
          <w:szCs w:val="21"/>
          <w:rFonts w:ascii="Segoe UI" w:cs="Segoe UI" w:eastAsia="Segoe UI" w:hAnsi="Segoe UI"/>
        </w:rPr>
        <w:t xml:space="preserve">Azure DevOps pipelines</w:t>
      </w:r>
      <w:r>
        <w:rPr>
          <w:color w:val="16263B"/>
          <w:sz w:val="21"/>
          <w:szCs w:val="21"/>
          <w:rFonts w:ascii="Segoe UI" w:cs="Segoe UI" w:eastAsia="Segoe UI" w:hAnsi="Segoe UI"/>
        </w:rPr>
        <w:t xml:space="preserve"> — powerful, IT-owned, heavy to stand up.</w:t>
      </w:r>
    </w:p>
    <w:p>
      <w:pPr>
        <w:pStyle w:val="ListParagraph"/>
        <w:numPr>
          <w:ilvl w:val="0"/>
          <w:numId w:val="1"/>
        </w:numPr>
        <w:spacing w:after="80" w:line="268"/>
      </w:pPr>
      <w:r>
        <w:rPr>
          <w:b/>
          <w:bCs/>
          <w:color w:val="16263B"/>
          <w:sz w:val="21"/>
          <w:szCs w:val="21"/>
          <w:rFonts w:ascii="Segoe UI" w:cs="Segoe UI" w:eastAsia="Segoe UI" w:hAnsi="Segoe UI"/>
        </w:rPr>
        <w:t xml:space="preserve">Power Platform Pipelines</w:t>
      </w:r>
      <w:r>
        <w:rPr>
          <w:color w:val="16263B"/>
          <w:sz w:val="21"/>
          <w:szCs w:val="21"/>
          <w:rFonts w:ascii="Segoe UI" w:cs="Segoe UI" w:eastAsia="Segoe UI" w:hAnsi="Segoe UI"/>
        </w:rPr>
        <w:t xml:space="preserve"> — maker-friendly, but host provisioning + config is manual.</w:t>
      </w:r>
    </w:p>
    <w:p>
      <w:pPr>
        <w:pStyle w:val="ListParagraph"/>
        <w:numPr>
          <w:ilvl w:val="0"/>
          <w:numId w:val="1"/>
        </w:numPr>
        <w:spacing w:after="80" w:line="268"/>
      </w:pPr>
      <w:r>
        <w:rPr>
          <w:b/>
          <w:bCs/>
          <w:color w:val="16263B"/>
          <w:sz w:val="21"/>
          <w:szCs w:val="21"/>
          <w:rFonts w:ascii="Segoe UI" w:cs="Segoe UI" w:eastAsia="Segoe UI" w:hAnsi="Segoe UI"/>
        </w:rPr>
        <w:t xml:space="preserve">Solution Explorer</w:t>
      </w:r>
      <w:r>
        <w:rPr>
          <w:color w:val="16263B"/>
          <w:sz w:val="21"/>
          <w:szCs w:val="21"/>
          <w:rFonts w:ascii="Segoe UI" w:cs="Segoe UI" w:eastAsia="Segoe UI" w:hAnsi="Segoe UI"/>
        </w:rPr>
        <w:t xml:space="preserve"> — packaging UI, historically classic-only for Pages.</w:t>
      </w:r>
    </w:p>
    <w:p>
      <w:pPr>
        <w:pStyle w:val="ListParagraph"/>
        <w:numPr>
          <w:ilvl w:val="0"/>
          <w:numId w:val="1"/>
        </w:numPr>
        <w:spacing w:after="80" w:line="268"/>
      </w:pPr>
      <w:r>
        <w:rPr>
          <w:b/>
          <w:bCs/>
          <w:color w:val="16263B"/>
          <w:sz w:val="21"/>
          <w:szCs w:val="21"/>
          <w:rFonts w:ascii="Segoe UI" w:cs="Segoe UI" w:eastAsia="Segoe UI" w:hAnsi="Segoe UI"/>
        </w:rPr>
        <w:t xml:space="preserve">Manual env-var &amp; secret handling</w:t>
      </w:r>
      <w:r>
        <w:rPr>
          <w:color w:val="16263B"/>
          <w:sz w:val="21"/>
          <w:szCs w:val="21"/>
          <w:rFonts w:ascii="Segoe UI" w:cs="Segoe UI" w:eastAsia="Segoe UI" w:hAnsi="Segoe UI"/>
        </w:rPr>
        <w:t xml:space="preserve"> — copy/paste between environments, error-prone.</w:t>
      </w:r>
    </w:p>
    <w:p>
      <w:pPr>
        <w:pStyle w:val="ListParagraph"/>
        <w:numPr>
          <w:ilvl w:val="0"/>
          <w:numId w:val="1"/>
        </w:numPr>
        <w:spacing w:after="80" w:line="268"/>
      </w:pPr>
      <w:r>
        <w:rPr>
          <w:b/>
          <w:bCs/>
          <w:color w:val="16263B"/>
          <w:sz w:val="21"/>
          <w:szCs w:val="21"/>
          <w:rFonts w:ascii="Segoe UI" w:cs="Segoe UI" w:eastAsia="Segoe UI" w:hAnsi="Segoe UI"/>
        </w:rPr>
        <w:t xml:space="preserve">GitHub Actions</w:t>
      </w:r>
      <w:r>
        <w:rPr>
          <w:color w:val="16263B"/>
          <w:sz w:val="21"/>
          <w:szCs w:val="21"/>
          <w:rFonts w:ascii="Segoe UI" w:cs="Segoe UI" w:eastAsia="Segoe UI" w:hAnsi="Segoe UI"/>
        </w:rPr>
        <w:t xml:space="preserve"> — wraps PAC CLI to invoke Power Platform solution-promotion actions; yet another CI/CD entry point to reconcile.</w:t>
      </w:r>
    </w:p>
    <w:p>
      <w:pPr>
        <w:pStyle w:val="Heading3"/>
        <w:spacing w:before="200" w:after="80"/>
      </w:pPr>
      <w:r>
        <w:rPr>
          <w:b/>
          <w:bCs/>
          <w:color w:val="0E7490"/>
          <w:sz w:val="24"/>
          <w:szCs w:val="24"/>
          <w:rFonts w:ascii="Segoe UI" w:cs="Segoe UI" w:eastAsia="Segoe UI" w:hAnsi="Segoe UI"/>
        </w:rPr>
        <w:t xml:space="preserve">The human cost</w:t>
      </w:r>
    </w:p>
    <w:p>
      <w:pPr>
        <w:pStyle w:val="ListParagraph"/>
        <w:numPr>
          <w:ilvl w:val="0"/>
          <w:numId w:val="1"/>
        </w:numPr>
        <w:spacing w:after="80" w:line="268"/>
      </w:pPr>
      <w:r>
        <w:rPr>
          <w:color w:val="16263B"/>
          <w:sz w:val="21"/>
          <w:szCs w:val="21"/>
          <w:rFonts w:ascii="Segoe UI" w:cs="Segoe UI" w:eastAsia="Segoe UI" w:hAnsi="Segoe UI"/>
        </w:rPr>
        <w:t xml:space="preserve">Makers and devs are </w:t>
      </w:r>
      <w:r>
        <w:rPr>
          <w:b/>
          <w:bCs/>
          <w:color w:val="16263B"/>
          <w:sz w:val="21"/>
          <w:szCs w:val="21"/>
          <w:rFonts w:ascii="Segoe UI" w:cs="Segoe UI" w:eastAsia="Segoe UI" w:hAnsi="Segoe UI"/>
        </w:rPr>
        <w:t xml:space="preserve">forced to become ALM specialists</w:t>
      </w:r>
      <w:r>
        <w:rPr>
          <w:color w:val="16263B"/>
          <w:sz w:val="21"/>
          <w:szCs w:val="21"/>
          <w:rFonts w:ascii="Segoe UI" w:cs="Segoe UI" w:eastAsia="Segoe UI" w:hAnsi="Segoe UI"/>
        </w:rPr>
        <w:t xml:space="preserve"> just to promote a site.</w:t>
      </w:r>
    </w:p>
    <w:p>
      <w:pPr>
        <w:pStyle w:val="ListParagraph"/>
        <w:numPr>
          <w:ilvl w:val="0"/>
          <w:numId w:val="1"/>
        </w:numPr>
        <w:spacing w:after="80" w:line="268"/>
      </w:pPr>
      <w:r>
        <w:rPr>
          <w:color w:val="16263B"/>
          <w:sz w:val="21"/>
          <w:szCs w:val="21"/>
          <w:rFonts w:ascii="Segoe UI" w:cs="Segoe UI" w:eastAsia="Segoe UI" w:hAnsi="Segoe UI"/>
        </w:rPr>
        <w:t xml:space="preserve">Deployment errors spike at </w:t>
      </w:r>
      <w:r>
        <w:rPr>
          <w:b/>
          <w:bCs/>
          <w:color w:val="16263B"/>
          <w:sz w:val="21"/>
          <w:szCs w:val="21"/>
          <w:rFonts w:ascii="Segoe UI" w:cs="Segoe UI" w:eastAsia="Segoe UI" w:hAnsi="Segoe UI"/>
        </w:rPr>
        <w:t xml:space="preserve">1,000+ component sites</w:t>
      </w:r>
      <w:r>
        <w:rPr>
          <w:color w:val="16263B"/>
          <w:sz w:val="21"/>
          <w:szCs w:val="21"/>
          <w:rFonts w:ascii="Segoe UI" w:cs="Segoe UI" w:eastAsia="Segoe UI" w:hAnsi="Segoe UI"/>
        </w:rPr>
        <w:t xml:space="preserve"> — the exact sites that matter most.</w:t>
      </w:r>
    </w:p>
    <w:p>
      <w:pPr>
        <w:pStyle w:val="ListParagraph"/>
        <w:numPr>
          <w:ilvl w:val="0"/>
          <w:numId w:val="1"/>
        </w:numPr>
        <w:spacing w:after="80" w:line="268"/>
      </w:pPr>
      <w:r>
        <w:rPr>
          <w:b/>
          <w:bCs/>
          <w:color w:val="16263B"/>
          <w:sz w:val="21"/>
          <w:szCs w:val="21"/>
          <w:rFonts w:ascii="Segoe UI" w:cs="Segoe UI" w:eastAsia="Segoe UI" w:hAnsi="Segoe UI"/>
        </w:rPr>
        <w:t xml:space="preserve">Limited traceability</w:t>
      </w:r>
      <w:r>
        <w:rPr>
          <w:color w:val="16263B"/>
          <w:sz w:val="21"/>
          <w:szCs w:val="21"/>
          <w:rFonts w:ascii="Segoe UI" w:cs="Segoe UI" w:eastAsia="Segoe UI" w:hAnsi="Segoe UI"/>
        </w:rPr>
        <w:t xml:space="preserve">: no reliable map from “what’s deployed” back to “who changed what, when, why.”</w:t>
      </w:r>
    </w:p>
    <w:p>
      <w:pPr>
        <w:pStyle w:val="ListParagraph"/>
        <w:numPr>
          <w:ilvl w:val="0"/>
          <w:numId w:val="1"/>
        </w:numPr>
        <w:spacing w:after="80" w:line="268"/>
      </w:pPr>
      <w:r>
        <w:rPr>
          <w:color w:val="16263B"/>
          <w:sz w:val="21"/>
          <w:szCs w:val="21"/>
          <w:rFonts w:ascii="Segoe UI" w:cs="Segoe UI" w:eastAsia="Segoe UI" w:hAnsi="Segoe UI"/>
        </w:rPr>
        <w:t xml:space="preserve">No single recommended pattern </w:t>
      </w:r>
      <w:r>
        <w:rPr>
          <w:b/>
          <w:bCs/>
          <w:color w:val="16263B"/>
          <w:sz w:val="21"/>
          <w:szCs w:val="21"/>
          <w:rFonts w:ascii="Segoe UI" w:cs="Segoe UI" w:eastAsia="Segoe UI" w:hAnsi="Segoe UI"/>
        </w:rPr>
        <w:t xml:space="preserve">→ contradictory guidance</w:t>
      </w:r>
      <w:r>
        <w:rPr>
          <w:color w:val="16263B"/>
          <w:sz w:val="21"/>
          <w:szCs w:val="21"/>
          <w:rFonts w:ascii="Segoe UI" w:cs="Segoe UI" w:eastAsia="Segoe UI" w:hAnsi="Segoe UI"/>
        </w:rPr>
        <w:t xml:space="preserve"> across FastTrack, PowerCAT, support.</w:t>
      </w:r>
    </w:p>
    <w:p>
      <w:pPr>
        <w:spacing w:after="120" w:line="276"/>
      </w:pPr>
      <w:r>
        <w:rPr>
          <w:b/>
          <w:bCs/>
          <w:color w:val="0E7490"/>
          <w:sz w:val="21"/>
          <w:szCs w:val="21"/>
          <w:rFonts w:ascii="Segoe UI" w:cs="Segoe UI" w:eastAsia="Segoe UI" w:hAnsi="Segoe UI"/>
        </w:rPr>
        <w:t xml:space="preserve">Callout — cost of inaction: </w:t>
      </w:r>
      <w:r>
        <w:rPr>
          <w:color w:val="16263B"/>
          <w:sz w:val="21"/>
          <w:szCs w:val="21"/>
          <w:rFonts w:ascii="Segoe UI" w:cs="Segoe UI" w:eastAsia="Segoe UI" w:hAnsi="Segoe UI"/>
        </w:rPr>
        <w:t xml:space="preserve">Elevated incident volume, repeated deployment failures, and slowed enterprise adoption. Quantify locally with </w:t>
      </w:r>
      <w:r>
        <w:rPr>
          <w:b/>
          <w:bCs/>
          <w:color w:val="B45309"/>
          <w:sz w:val="21"/>
          <w:szCs w:val="21"/>
          <w:rFonts w:ascii="Segoe UI" w:cs="Segoe UI" w:eastAsia="Segoe UI" w:hAnsi="Segoe UI"/>
        </w:rPr>
        <w:t xml:space="preserve">‹incident count / quarter›</w:t>
      </w:r>
      <w:r>
        <w:rPr>
          <w:color w:val="16263B"/>
          <w:sz w:val="21"/>
          <w:szCs w:val="21"/>
          <w:rFonts w:ascii="Segoe UI" w:cs="Segoe UI" w:eastAsia="Segoe UI" w:hAnsi="Segoe UI"/>
        </w:rPr>
        <w:t xml:space="preserve">, </w:t>
      </w:r>
      <w:r>
        <w:rPr>
          <w:b/>
          <w:bCs/>
          <w:color w:val="B45309"/>
          <w:sz w:val="21"/>
          <w:szCs w:val="21"/>
          <w:rFonts w:ascii="Segoe UI" w:cs="Segoe UI" w:eastAsia="Segoe UI" w:hAnsi="Segoe UI"/>
        </w:rPr>
        <w:t xml:space="preserve">‹deploy failure rate at 1k+ sites›</w:t>
      </w:r>
      <w:r>
        <w:rPr>
          <w:color w:val="16263B"/>
          <w:sz w:val="21"/>
          <w:szCs w:val="21"/>
          <w:rFonts w:ascii="Segoe UI" w:cs="Segoe UI" w:eastAsia="Segoe UI" w:hAnsi="Segoe UI"/>
        </w:rPr>
        <w:t xml:space="preserve">, and </w:t>
      </w:r>
      <w:r>
        <w:rPr>
          <w:b/>
          <w:bCs/>
          <w:color w:val="B45309"/>
          <w:sz w:val="21"/>
          <w:szCs w:val="21"/>
          <w:rFonts w:ascii="Segoe UI" w:cs="Segoe UI" w:eastAsia="Segoe UI" w:hAnsi="Segoe UI"/>
        </w:rPr>
        <w:t xml:space="preserve">‹adoption / time-to-prod›</w:t>
      </w:r>
      <w:r>
        <w:rPr>
          <w:color w:val="16263B"/>
          <w:sz w:val="21"/>
          <w:szCs w:val="21"/>
          <w:rFonts w:ascii="Segoe UI" w:cs="Segoe UI" w:eastAsia="Segoe UI" w:hAnsi="Segoe UI"/>
        </w:rPr>
        <w:t xml:space="preserve">.</w:t>
      </w:r>
    </w:p>
    <w:p>
      <w:pPr>
        <w:spacing w:after="120" w:line="276"/>
      </w:pPr>
      <w:r>
        <w:rPr>
          <w:b/>
          <w:bCs/>
          <w:color w:val="0E7490"/>
          <w:sz w:val="21"/>
          <w:szCs w:val="21"/>
          <w:rFonts w:ascii="Segoe UI" w:cs="Segoe UI" w:eastAsia="Segoe UI" w:hAnsi="Segoe UI"/>
        </w:rPr>
        <w:t xml:space="preserve">Callout — why now: </w:t>
      </w:r>
      <w:r>
        <w:rPr>
          <w:color w:val="16263B"/>
          <w:sz w:val="21"/>
          <w:szCs w:val="21"/>
          <w:rFonts w:ascii="Segoe UI" w:cs="Segoe UI" w:eastAsia="Segoe UI" w:hAnsi="Segoe UI"/>
        </w:rPr>
        <w:t xml:space="preserve">Solution Explorer for Pages went GA (Jan 2026) and the AI outer loop went GA (May 2026). The foundation exists — this is the moment to </w:t>
      </w:r>
      <w:r>
        <w:rPr>
          <w:b/>
          <w:bCs/>
          <w:color w:val="16263B"/>
          <w:sz w:val="21"/>
          <w:szCs w:val="21"/>
          <w:rFonts w:ascii="Segoe UI" w:cs="Segoe UI" w:eastAsia="Segoe UI" w:hAnsi="Segoe UI"/>
        </w:rPr>
        <w:t xml:space="preserve">converge</w:t>
      </w:r>
      <w:r>
        <w:rPr>
          <w:color w:val="16263B"/>
          <w:sz w:val="21"/>
          <w:szCs w:val="21"/>
          <w:rFonts w:ascii="Segoe UI" w:cs="Segoe UI" w:eastAsia="Segoe UI" w:hAnsi="Segoe UI"/>
        </w:rPr>
        <w:t xml:space="preserve"> the pieces before divergent guidance hardens.</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Don’t enumerate tools as features — frame each as a </w:t>
      </w:r>
      <w:r>
        <w:rPr>
          <w:i/>
          <w:iCs/>
          <w:color w:val="5B3FA3"/>
          <w:sz w:val="21"/>
          <w:szCs w:val="21"/>
          <w:rFonts w:ascii="Segoe UI" w:cs="Segoe UI" w:eastAsia="Segoe UI" w:hAnsi="Segoe UI"/>
        </w:rPr>
        <w:t xml:space="preserve">seam</w:t>
      </w:r>
      <w:r>
        <w:rPr>
          <w:color w:val="16263B"/>
          <w:sz w:val="21"/>
          <w:szCs w:val="21"/>
          <w:rFonts w:ascii="Segoe UI" w:cs="Segoe UI" w:eastAsia="Segoe UI" w:hAnsi="Segoe UI"/>
        </w:rPr>
        <w:t xml:space="preserve"> the maker has to stitch by hand. The point isn’t “we have many tools,” it’s “the integration burden lands on the wrong person.”</w:t>
      </w:r>
    </w:p>
    <w:p>
      <w:pPr>
        <w:shd w:fill="F7FAFC" w:val="clear"/>
        <w:spacing w:after="100" w:line="276"/>
      </w:pPr>
      <w:r>
        <w:rPr>
          <w:color w:val="16263B"/>
          <w:sz w:val="21"/>
          <w:szCs w:val="21"/>
          <w:rFonts w:ascii="Segoe UI" w:cs="Segoe UI" w:eastAsia="Segoe UI" w:hAnsi="Segoe UI"/>
        </w:rPr>
        <w:t xml:space="preserve">The 1,000+ component number is the emotional hook for this audience — these are flagship customer sites, so failures here are disproportionately visible and escalation-heavy.</w:t>
      </w:r>
    </w:p>
    <w:p>
      <w:pPr>
        <w:shd w:fill="F7FAFC" w:val="clear"/>
        <w:spacing w:after="100" w:line="276"/>
      </w:pPr>
      <w:r>
        <w:rPr>
          <w:color w:val="16263B"/>
          <w:sz w:val="21"/>
          <w:szCs w:val="21"/>
          <w:rFonts w:ascii="Segoe UI" w:cs="Segoe UI" w:eastAsia="Segoe UI" w:hAnsi="Segoe UI"/>
        </w:rPr>
        <w:t xml:space="preserve">Fill the placeholders with real numbers before presenting to leadership; even rough figures make the cost-of-inaction concrete and move the conversation from anecdote to trend.</w:t>
      </w:r>
    </w:p>
    <w:p>
      <w:pPr>
        <w:shd w:fill="F7FAFC" w:val="clear"/>
        <w:spacing w:after="100" w:line="276"/>
      </w:pPr>
      <w:r>
        <w:rPr>
          <w:color w:val="16263B"/>
          <w:sz w:val="21"/>
          <w:szCs w:val="21"/>
          <w:rFonts w:ascii="Segoe UI" w:cs="Segoe UI" w:eastAsia="Segoe UI" w:hAnsi="Segoe UI"/>
        </w:rPr>
        <w:t xml:space="preserve">“Why now” pre-empts the obvious question — land that the foundation is already GA, so this is convergence, not a from-scratch bet.</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3 · End-State Architecture</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A hub-and-spoke model. The AI orchestrator is the hub that captures intent, plans, validates, and executes. The building blocks are spokes — interoperable, not competing. Telemetry closes the loop.</w:t>
      </w:r>
    </w:p>
    <w:p>
      <w:pPr>
        <w:pStyle w:val="Heading3"/>
        <w:spacing w:before="200" w:after="80"/>
      </w:pPr>
      <w:r>
        <w:rPr>
          <w:b/>
          <w:bCs/>
          <w:color w:val="0E7490"/>
          <w:sz w:val="24"/>
          <w:szCs w:val="24"/>
          <w:rFonts w:ascii="Segoe UI" w:cs="Segoe UI" w:eastAsia="Segoe UI" w:hAnsi="Segoe UI"/>
        </w:rPr>
        <w:t xml:space="preserve">Architecture diagram (structured text)</w:t>
      </w:r>
    </w:p>
    <w:p>
      <w:pPr>
        <w:spacing w:after="120" w:line="276"/>
      </w:pPr>
      <w:r>
        <w:rPr>
          <w:b/>
          <w:bCs/>
          <w:color w:val="0E7490"/>
          <w:sz w:val="21"/>
          <w:szCs w:val="21"/>
          <w:rFonts w:ascii="Segoe UI" w:cs="Segoe UI" w:eastAsia="Segoe UI" w:hAnsi="Segoe UI"/>
        </w:rPr>
        <w:t xml:space="preserve">Hub: </w:t>
      </w:r>
      <w:r>
        <w:rPr>
          <w:color w:val="16263B"/>
          <w:sz w:val="21"/>
          <w:szCs w:val="21"/>
          <w:rFonts w:ascii="Segoe UI" w:cs="Segoe UI" w:eastAsia="Segoe UI" w:hAnsi="Segoe UI"/>
        </w:rPr>
        <w:t xml:space="preserve">AI orchestrator — plan · validate · execute</w:t>
      </w:r>
    </w:p>
    <w:p>
      <w:pPr>
        <w:spacing w:after="120" w:line="276"/>
      </w:pPr>
      <w:r>
        <w:rPr>
          <w:b/>
          <w:bCs/>
          <w:color w:val="0E7490"/>
          <w:sz w:val="21"/>
          <w:szCs w:val="21"/>
          <w:rFonts w:ascii="Segoe UI" w:cs="Segoe UI" w:eastAsia="Segoe UI" w:hAnsi="Segoe UI"/>
        </w:rPr>
        <w:t xml:space="preserve">Inner-loop spokes: </w:t>
      </w:r>
      <w:r>
        <w:rPr>
          <w:color w:val="16263B"/>
          <w:sz w:val="21"/>
          <w:szCs w:val="21"/>
          <w:rFonts w:ascii="Segoe UI" w:cs="Segoe UI" w:eastAsia="Segoe UI" w:hAnsi="Segoe UI"/>
        </w:rPr>
        <w:t xml:space="preserve">Native Git, PAC CLI</w:t>
      </w:r>
    </w:p>
    <w:p>
      <w:pPr>
        <w:spacing w:after="120" w:line="276"/>
      </w:pPr>
      <w:r>
        <w:rPr>
          <w:b/>
          <w:bCs/>
          <w:color w:val="0E7490"/>
          <w:sz w:val="21"/>
          <w:szCs w:val="21"/>
          <w:rFonts w:ascii="Segoe UI" w:cs="Segoe UI" w:eastAsia="Segoe UI" w:hAnsi="Segoe UI"/>
        </w:rPr>
        <w:t xml:space="preserve">Outer-loop spokes: </w:t>
      </w:r>
      <w:r>
        <w:rPr>
          <w:color w:val="16263B"/>
          <w:sz w:val="21"/>
          <w:szCs w:val="21"/>
          <w:rFonts w:ascii="Segoe UI" w:cs="Segoe UI" w:eastAsia="Segoe UI" w:hAnsi="Segoe UI"/>
        </w:rPr>
        <w:t xml:space="preserve">Solution Explorer, Power Pipelines, Azure DevOps, GitHub Actions, Env Variables + Key Vault</w:t>
      </w:r>
    </w:p>
    <w:p>
      <w:pPr>
        <w:spacing w:after="120" w:line="276"/>
      </w:pPr>
      <w:r>
        <w:rPr>
          <w:b/>
          <w:bCs/>
          <w:color w:val="0E7490"/>
          <w:sz w:val="21"/>
          <w:szCs w:val="21"/>
          <w:rFonts w:ascii="Segoe UI" w:cs="Segoe UI" w:eastAsia="Segoe UI" w:hAnsi="Segoe UI"/>
        </w:rPr>
        <w:t xml:space="preserve">Feedback: </w:t>
      </w:r>
      <w:r>
        <w:rPr>
          <w:color w:val="16263B"/>
          <w:sz w:val="21"/>
          <w:szCs w:val="21"/>
          <w:rFonts w:ascii="Segoe UI" w:cs="Segoe UI" w:eastAsia="Segoe UI" w:hAnsi="Segoe UI"/>
        </w:rPr>
        <w:t xml:space="preserve">All spokes emit to Telemetry / App Insights / Diagnostics, which feeds back into the orchestrator.</w:t>
      </w:r>
    </w:p>
    <w:p>
      <w:pPr>
        <w:spacing w:after="120" w:line="276"/>
      </w:pPr>
      <w:r>
        <w:rPr>
          <w:b/>
          <w:bCs/>
          <w:color w:val="0E7490"/>
          <w:sz w:val="21"/>
          <w:szCs w:val="21"/>
          <w:rFonts w:ascii="Segoe UI" w:cs="Segoe UI" w:eastAsia="Segoe UI" w:hAnsi="Segoe UI"/>
        </w:rPr>
        <w:t xml:space="preserve">Key edges: </w:t>
      </w:r>
      <w:r>
        <w:rPr>
          <w:color w:val="16263B"/>
          <w:sz w:val="21"/>
          <w:szCs w:val="21"/>
          <w:rFonts w:ascii="Segoe UI" w:cs="Segoe UI" w:eastAsia="Segoe UI" w:hAnsi="Segoe UI"/>
        </w:rPr>
        <w:t xml:space="preserve">AI → inner loop; inner loop —(PR merged)→ outer loop; inner &amp; outer —emit→ telemetry; telemetry —feedback→ AI.</w:t>
      </w:r>
    </w:p>
    <w:p>
      <w:pPr>
        <w:pStyle w:val="Heading3"/>
        <w:spacing w:before="200" w:after="80"/>
      </w:pPr>
      <w:r>
        <w:rPr>
          <w:b/>
          <w:bCs/>
          <w:color w:val="0E7490"/>
          <w:sz w:val="24"/>
          <w:szCs w:val="24"/>
          <w:rFonts w:ascii="Segoe UI" w:cs="Segoe UI" w:eastAsia="Segoe UI" w:hAnsi="Segoe UI"/>
        </w:rPr>
        <w:t xml:space="preserve">Architectural principles</w:t>
      </w:r>
    </w:p>
    <w:p>
      <w:pPr>
        <w:pStyle w:val="ListParagraph"/>
        <w:numPr>
          <w:ilvl w:val="0"/>
          <w:numId w:val="1"/>
        </w:numPr>
        <w:spacing w:after="80" w:line="268"/>
      </w:pPr>
      <w:r>
        <w:rPr>
          <w:b/>
          <w:bCs/>
          <w:color w:val="16263B"/>
          <w:sz w:val="21"/>
          <w:szCs w:val="21"/>
          <w:rFonts w:ascii="Segoe UI" w:cs="Segoe UI" w:eastAsia="Segoe UI" w:hAnsi="Segoe UI"/>
        </w:rPr>
        <w:t xml:space="preserve">1. Site is the unit of ALM </w:t>
      </w:r>
      <w:r>
        <w:rPr>
          <w:color w:val="566A82"/>
          <w:sz w:val="21"/>
          <w:szCs w:val="21"/>
          <w:rFonts w:ascii="Segoe UI" w:cs="Segoe UI" w:eastAsia="Segoe UI" w:hAnsi="Segoe UI"/>
        </w:rPr>
        <w:t xml:space="preserve">— one long-lived solution per site.</w:t>
      </w:r>
    </w:p>
    <w:p>
      <w:pPr>
        <w:pStyle w:val="ListParagraph"/>
        <w:numPr>
          <w:ilvl w:val="0"/>
          <w:numId w:val="1"/>
        </w:numPr>
        <w:spacing w:after="80" w:line="268"/>
      </w:pPr>
      <w:r>
        <w:rPr>
          <w:b/>
          <w:bCs/>
          <w:color w:val="16263B"/>
          <w:sz w:val="21"/>
          <w:szCs w:val="21"/>
          <w:rFonts w:ascii="Segoe UI" w:cs="Segoe UI" w:eastAsia="Segoe UI" w:hAnsi="Segoe UI"/>
        </w:rPr>
        <w:t xml:space="preserve">2. Git is the unit of change </w:t>
      </w:r>
      <w:r>
        <w:rPr>
          <w:color w:val="566A82"/>
          <w:sz w:val="21"/>
          <w:szCs w:val="21"/>
          <w:rFonts w:ascii="Segoe UI" w:cs="Segoe UI" w:eastAsia="Segoe UI" w:hAnsi="Segoe UI"/>
        </w:rPr>
        <w:t xml:space="preserve">— every artifact maps to a commit/PR.</w:t>
      </w:r>
    </w:p>
    <w:p>
      <w:pPr>
        <w:pStyle w:val="ListParagraph"/>
        <w:numPr>
          <w:ilvl w:val="0"/>
          <w:numId w:val="1"/>
        </w:numPr>
        <w:spacing w:after="80" w:line="268"/>
      </w:pPr>
      <w:r>
        <w:rPr>
          <w:b/>
          <w:bCs/>
          <w:color w:val="16263B"/>
          <w:sz w:val="21"/>
          <w:szCs w:val="21"/>
          <w:rFonts w:ascii="Segoe UI" w:cs="Segoe UI" w:eastAsia="Segoe UI" w:hAnsi="Segoe UI"/>
        </w:rPr>
        <w:t xml:space="preserve">3. AI orchestrates; humans approve </w:t>
      </w:r>
      <w:r>
        <w:rPr>
          <w:color w:val="566A82"/>
          <w:sz w:val="21"/>
          <w:szCs w:val="21"/>
          <w:rFonts w:ascii="Segoe UI" w:cs="Segoe UI" w:eastAsia="Segoe UI" w:hAnsi="Segoe UI"/>
        </w:rPr>
        <w:t xml:space="preserve">— plan → consent → execute.</w:t>
      </w:r>
    </w:p>
    <w:p>
      <w:pPr>
        <w:pStyle w:val="ListParagraph"/>
        <w:numPr>
          <w:ilvl w:val="0"/>
          <w:numId w:val="1"/>
        </w:numPr>
        <w:spacing w:after="80" w:line="268"/>
      </w:pPr>
      <w:r>
        <w:rPr>
          <w:b/>
          <w:bCs/>
          <w:color w:val="16263B"/>
          <w:sz w:val="21"/>
          <w:szCs w:val="21"/>
          <w:rFonts w:ascii="Segoe UI" w:cs="Segoe UI" w:eastAsia="Segoe UI" w:hAnsi="Segoe UI"/>
        </w:rPr>
        <w:t xml:space="preserve">4. Incrementality in source control </w:t>
      </w:r>
      <w:r>
        <w:rPr>
          <w:color w:val="566A82"/>
          <w:sz w:val="21"/>
          <w:szCs w:val="21"/>
          <w:rFonts w:ascii="Segoe UI" w:cs="Segoe UI" w:eastAsia="Segoe UI" w:hAnsi="Segoe UI"/>
        </w:rPr>
        <w:t xml:space="preserve">— not in solution composition.</w:t>
      </w:r>
    </w:p>
    <w:p>
      <w:pPr>
        <w:pStyle w:val="ListParagraph"/>
        <w:numPr>
          <w:ilvl w:val="0"/>
          <w:numId w:val="1"/>
        </w:numPr>
        <w:spacing w:after="80" w:line="268"/>
      </w:pPr>
      <w:r>
        <w:rPr>
          <w:b/>
          <w:bCs/>
          <w:color w:val="16263B"/>
          <w:sz w:val="21"/>
          <w:szCs w:val="21"/>
          <w:rFonts w:ascii="Segoe UI" w:cs="Segoe UI" w:eastAsia="Segoe UI" w:hAnsi="Segoe UI"/>
        </w:rPr>
        <w:t xml:space="preserve">5. Idempotent · resumable · auditable </w:t>
      </w:r>
      <w:r>
        <w:rPr>
          <w:color w:val="566A82"/>
          <w:sz w:val="21"/>
          <w:szCs w:val="21"/>
          <w:rFonts w:ascii="Segoe UI" w:cs="Segoe UI" w:eastAsia="Segoe UI" w:hAnsi="Segoe UI"/>
        </w:rPr>
        <w:t xml:space="preserve">— every action, every time.</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This is the slide to slow down on. Walk the hub first: the orchestrator is the single front door — makers express intent, not tool invocations.</w:t>
      </w:r>
    </w:p>
    <w:p>
      <w:pPr>
        <w:shd w:fill="F7FAFC" w:val="clear"/>
        <w:spacing w:after="100" w:line="276"/>
      </w:pPr>
      <w:r>
        <w:rPr>
          <w:color w:val="16263B"/>
          <w:sz w:val="21"/>
          <w:szCs w:val="21"/>
          <w:rFonts w:ascii="Segoe UI" w:cs="Segoe UI" w:eastAsia="Segoe UI" w:hAnsi="Segoe UI"/>
        </w:rPr>
        <w:t xml:space="preserve">Then the spokes. The key message: these are </w:t>
      </w:r>
      <w:r>
        <w:rPr>
          <w:b/>
          <w:bCs/>
          <w:color w:val="16263B"/>
          <w:sz w:val="21"/>
          <w:szCs w:val="21"/>
          <w:rFonts w:ascii="Segoe UI" w:cs="Segoe UI" w:eastAsia="Segoe UI" w:hAnsi="Segoe UI"/>
        </w:rPr>
        <w:t xml:space="preserve">interoperable, not competing</w:t>
      </w:r>
      <w:r>
        <w:rPr>
          <w:color w:val="16263B"/>
          <w:sz w:val="21"/>
          <w:szCs w:val="21"/>
          <w:rFonts w:ascii="Segoe UI" w:cs="Segoe UI" w:eastAsia="Segoe UI" w:hAnsi="Segoe UI"/>
        </w:rPr>
        <w:t xml:space="preserve">. PAC CLI, Power Pipelines, and ADO Pipelines are not three answers to the same question — they’re different reach points the orchestrator drives. Git is the gate everything promotes through.</w:t>
      </w:r>
    </w:p>
    <w:p>
      <w:pPr>
        <w:shd w:fill="F7FAFC" w:val="clear"/>
        <w:spacing w:after="100" w:line="276"/>
      </w:pPr>
      <w:r>
        <w:rPr>
          <w:color w:val="16263B"/>
          <w:sz w:val="21"/>
          <w:szCs w:val="21"/>
          <w:rFonts w:ascii="Segoe UI" w:cs="Segoe UI" w:eastAsia="Segoe UI" w:hAnsi="Segoe UI"/>
        </w:rPr>
        <w:t xml:space="preserve">Principle 4 is the one most likely to get pushback and is the heart of the thesis. The instinct under pressure is to shrink/split the solution to make deploys safer. We reject that: incrementality lives in </w:t>
      </w:r>
      <w:r>
        <w:rPr>
          <w:i/>
          <w:iCs/>
          <w:color w:val="5B3FA3"/>
          <w:sz w:val="21"/>
          <w:szCs w:val="21"/>
          <w:rFonts w:ascii="Segoe UI" w:cs="Segoe UI" w:eastAsia="Segoe UI" w:hAnsi="Segoe UI"/>
        </w:rPr>
        <w:t xml:space="preserve">source control</w:t>
      </w:r>
      <w:r>
        <w:rPr>
          <w:color w:val="16263B"/>
          <w:sz w:val="21"/>
          <w:szCs w:val="21"/>
          <w:rFonts w:ascii="Segoe UI" w:cs="Segoe UI" w:eastAsia="Segoe UI" w:hAnsi="Segoe UI"/>
        </w:rPr>
        <w:t xml:space="preserve"> (diffs, PRs, selective commits), while the solution boundary stays whole and stable. Say it explicitly.</w:t>
      </w:r>
    </w:p>
    <w:p>
      <w:pPr>
        <w:shd w:fill="F7FAFC" w:val="clear"/>
        <w:spacing w:after="100" w:line="276"/>
      </w:pPr>
      <w:r>
        <w:rPr>
          <w:color w:val="16263B"/>
          <w:sz w:val="21"/>
          <w:szCs w:val="21"/>
          <w:rFonts w:ascii="Segoe UI" w:cs="Segoe UI" w:eastAsia="Segoe UI" w:hAnsi="Segoe UI"/>
        </w:rPr>
        <w:t xml:space="preserve">Close on the telemetry feedback edge — it’s what makes the orchestrator get smarter at diagnosis over time, not just a one-shot executor.</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4 · Inner Loop vs Outer Loop</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Two distinct cadences. The inner loop is a developer iterating inside one environment. The outer loop is promotion across environments. Same ALM substrate; different verbs.</w:t>
      </w:r>
    </w:p>
    <w:p>
      <w:pPr>
        <w:pStyle w:val="Heading3"/>
        <w:spacing w:before="200" w:after="80"/>
      </w:pPr>
      <w:r>
        <w:rPr>
          <w:b/>
          <w:bCs/>
          <w:color w:val="0E7490"/>
          <w:sz w:val="24"/>
          <w:szCs w:val="24"/>
          <w:rFonts w:ascii="Segoe UI" w:cs="Segoe UI" w:eastAsia="Segoe UI" w:hAnsi="Segoe UI"/>
        </w:rPr>
        <w:t xml:space="preserve">Inner Loop — iterate inside an env</w:t>
      </w:r>
    </w:p>
    <w:p>
      <w:pPr>
        <w:spacing w:after="120" w:line="276"/>
      </w:pPr>
      <w:r>
        <w:rPr>
          <w:color w:val="566A82"/>
          <w:sz w:val="21"/>
          <w:szCs w:val="21"/>
          <w:rFonts w:ascii="Segoe UI" w:cs="Segoe UI" w:eastAsia="Segoe UI" w:hAnsi="Segoe UI"/>
        </w:rPr>
        <w:t xml:space="preserve">A maker/dev iterating within a single environment.</w:t>
      </w:r>
    </w:p>
    <w:p>
      <w:pPr>
        <w:pStyle w:val="ListParagraph"/>
        <w:numPr>
          <w:ilvl w:val="0"/>
          <w:numId w:val="1"/>
        </w:numPr>
        <w:spacing w:after="80" w:line="268"/>
      </w:pPr>
      <w:r>
        <w:rPr>
          <w:color w:val="16263B"/>
          <w:sz w:val="21"/>
          <w:szCs w:val="21"/>
          <w:rFonts w:ascii="Segoe UI" w:cs="Segoe UI" w:eastAsia="Segoe UI" w:hAnsi="Segoe UI"/>
        </w:rPr>
        <w:t xml:space="preserve">Edit &amp; preview; branch &amp; commit; push &amp; pull (two-way sync); pre-commit validation; multi-user edits &amp; conflict resolution; inner-loop diagnostics.</w:t>
      </w:r>
    </w:p>
    <w:p>
      <w:pPr>
        <w:spacing w:after="120" w:line="276"/>
      </w:pPr>
      <w:r>
        <w:rPr>
          <w:b/>
          <w:bCs/>
          <w:color w:val="0E7490"/>
          <w:sz w:val="21"/>
          <w:szCs w:val="21"/>
          <w:rFonts w:ascii="Segoe UI" w:cs="Segoe UI" w:eastAsia="Segoe UI" w:hAnsi="Segoe UI"/>
        </w:rPr>
        <w:t xml:space="preserve">Investments: </w:t>
      </w:r>
      <w:r>
        <w:rPr>
          <w:color w:val="16263B"/>
          <w:sz w:val="21"/>
          <w:szCs w:val="21"/>
          <w:rFonts w:ascii="Segoe UI" w:cs="Segoe UI" w:eastAsia="Segoe UI" w:hAnsi="Segoe UI"/>
        </w:rPr>
        <w:t xml:space="preserve">Native Git (Phase 2), AI Inner Loop skills (Phase 3), PAC CLI primitives.</w:t>
      </w:r>
    </w:p>
    <w:p>
      <w:pPr>
        <w:pStyle w:val="Heading3"/>
        <w:spacing w:before="200" w:after="80"/>
      </w:pPr>
      <w:r>
        <w:rPr>
          <w:b/>
          <w:bCs/>
          <w:color w:val="0E7490"/>
          <w:sz w:val="24"/>
          <w:szCs w:val="24"/>
          <w:rFonts w:ascii="Segoe UI" w:cs="Segoe UI" w:eastAsia="Segoe UI" w:hAnsi="Segoe UI"/>
        </w:rPr>
        <w:t xml:space="preserve">Outer Loop — promote across envs</w:t>
      </w:r>
    </w:p>
    <w:p>
      <w:pPr>
        <w:spacing w:after="120" w:line="276"/>
      </w:pPr>
      <w:r>
        <w:rPr>
          <w:color w:val="566A82"/>
          <w:sz w:val="21"/>
          <w:szCs w:val="21"/>
          <w:rFonts w:ascii="Segoe UI" w:cs="Segoe UI" w:eastAsia="Segoe UI" w:hAnsi="Segoe UI"/>
        </w:rPr>
        <w:t xml:space="preserve">Promotion of a validated site from one environment to the next.</w:t>
      </w:r>
    </w:p>
    <w:p>
      <w:pPr>
        <w:pStyle w:val="ListParagraph"/>
        <w:numPr>
          <w:ilvl w:val="0"/>
          <w:numId w:val="1"/>
        </w:numPr>
        <w:spacing w:after="80" w:line="268"/>
      </w:pPr>
      <w:r>
        <w:rPr>
          <w:color w:val="16263B"/>
          <w:sz w:val="21"/>
          <w:szCs w:val="21"/>
          <w:rFonts w:ascii="Segoe UI" w:cs="Segoe UI" w:eastAsia="Segoe UI" w:hAnsi="Segoe UI"/>
        </w:rPr>
        <w:t xml:space="preserve">Build &amp; package; validate (solution checker, tests); deploy (managed upgrade); activate site; monitor; rollback.</w:t>
      </w:r>
    </w:p>
    <w:p>
      <w:pPr>
        <w:spacing w:after="120" w:line="276"/>
      </w:pPr>
      <w:r>
        <w:rPr>
          <w:b/>
          <w:bCs/>
          <w:color w:val="0E7490"/>
          <w:sz w:val="21"/>
          <w:szCs w:val="21"/>
          <w:rFonts w:ascii="Segoe UI" w:cs="Segoe UI" w:eastAsia="Segoe UI" w:hAnsi="Segoe UI"/>
        </w:rPr>
        <w:t xml:space="preserve">Investments: </w:t>
      </w:r>
      <w:r>
        <w:rPr>
          <w:color w:val="16263B"/>
          <w:sz w:val="21"/>
          <w:szCs w:val="21"/>
          <w:rFonts w:ascii="Segoe UI" w:cs="Segoe UI" w:eastAsia="Segoe UI" w:hAnsi="Segoe UI"/>
        </w:rPr>
        <w:t xml:space="preserve">AI Outer Loop skills (Phase 1, GA), Solution Explorer packaging, Power Pipelines, ADO Pipelines, GitHub Actions, Env Variables + Key Vault, diagnose-deployment.</w:t>
      </w:r>
    </w:p>
    <w:p>
      <w:pPr>
        <w:pStyle w:val="Heading3"/>
        <w:spacing w:before="200" w:after="80"/>
      </w:pPr>
      <w:r>
        <w:rPr>
          <w:b/>
          <w:bCs/>
          <w:color w:val="0E7490"/>
          <w:sz w:val="24"/>
          <w:szCs w:val="24"/>
          <w:rFonts w:ascii="Segoe UI" w:cs="Segoe UI" w:eastAsia="Segoe UI" w:hAnsi="Segoe UI"/>
        </w:rPr>
        <w:t xml:space="preserve">Mapping at a glance</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tblGrid>
      <w:tr>
        <w:tc>
          <w:tcPr>
            <w:tcW w:type="pct" w:w="22%"/>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Dimension</w:t>
            </w:r>
          </w:p>
        </w:tc>
        <w:tc>
          <w:tcPr>
            <w:tcW w:type="pct" w:w="39%"/>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Inner loop</w:t>
            </w:r>
          </w:p>
        </w:tc>
        <w:tc>
          <w:tcPr>
            <w:tcW w:type="pct" w:w="39%"/>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Outer loop</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Scope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Single environment (Dev)</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Dev → Test → Prod promotion path</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Primary actor</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Maker / pro-dev</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Maker / release owner + approvers</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Unit of work</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Commit / PR</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Managed solution upgrade</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Cadence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Minutes — many times/day</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Per release — gated</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Source of truth</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Native Git (two-way sync)</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Git commit → pipeline artifact</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AI phase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3 (Jul 2026 target)</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1 (GA · May 2026)</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Guarantee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Pre-commit validation, idempotent sync</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Idempotent, resumable, auditable deploy + rollback</w:t>
            </w:r>
          </w:p>
        </w:tc>
      </w:tr>
    </w:tbl>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Why this slide exists: leaders conflate “deployment” with “all of ALM.” Separating the loops lets us show that the GA’d work (outer loop) and the in-flight work (inner loop) are complementary, not redundant.</w:t>
      </w:r>
    </w:p>
    <w:p>
      <w:pPr>
        <w:shd w:fill="F7FAFC" w:val="clear"/>
        <w:spacing w:after="100" w:line="276"/>
      </w:pPr>
      <w:r>
        <w:rPr>
          <w:color w:val="16263B"/>
          <w:sz w:val="21"/>
          <w:szCs w:val="21"/>
          <w:rFonts w:ascii="Segoe UI" w:cs="Segoe UI" w:eastAsia="Segoe UI" w:hAnsi="Segoe UI"/>
        </w:rPr>
        <w:t xml:space="preserve">The punchline in the last table row: </w:t>
      </w:r>
      <w:r>
        <w:rPr>
          <w:b/>
          <w:bCs/>
          <w:color w:val="16263B"/>
          <w:sz w:val="21"/>
          <w:szCs w:val="21"/>
          <w:rFonts w:ascii="Segoe UI" w:cs="Segoe UI" w:eastAsia="Segoe UI" w:hAnsi="Segoe UI"/>
        </w:rPr>
        <w:t xml:space="preserve">both loops carry the same guarantees</w:t>
      </w:r>
      <w:r>
        <w:rPr>
          <w:color w:val="16263B"/>
          <w:sz w:val="21"/>
          <w:szCs w:val="21"/>
          <w:rFonts w:ascii="Segoe UI" w:cs="Segoe UI" w:eastAsia="Segoe UI" w:hAnsi="Segoe UI"/>
        </w:rPr>
        <w:t xml:space="preserve"> — idempotent, resumable, auditable. Phase 3’s job is to bring inner-loop daily work up to the bar outer loop already meets.</w:t>
      </w:r>
    </w:p>
    <w:p>
      <w:pPr>
        <w:shd w:fill="F7FAFC" w:val="clear"/>
        <w:spacing w:after="100" w:line="276"/>
      </w:pPr>
      <w:r>
        <w:rPr>
          <w:color w:val="16263B"/>
          <w:sz w:val="21"/>
          <w:szCs w:val="21"/>
          <w:rFonts w:ascii="Segoe UI" w:cs="Segoe UI" w:eastAsia="Segoe UI" w:hAnsi="Segoe UI"/>
        </w:rPr>
        <w:t xml:space="preserve">If asked “why ship outer loop first?” — because promotion failures are the loudest pain (escalations, prod incidents). Inner loop is higher-frequency but lower-blast-radius, so it followed.</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5 · Phased Milestones — Timeline</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Five phases. Two shipped, two targeting end of July 2026, one directional. Dates are exact where committed; anything post-July is marked </w:t>
      </w:r>
      <w:r>
        <w:rPr>
          <w:b/>
          <w:bCs/>
          <w:color w:val="16263B"/>
          <w:sz w:val="21"/>
          <w:szCs w:val="21"/>
          <w:rFonts w:ascii="Segoe UI" w:cs="Segoe UI" w:eastAsia="Segoe UI" w:hAnsi="Segoe UI"/>
        </w:rPr>
        <w:t xml:space="preserve">Directional / TBD</w:t>
      </w:r>
      <w:r>
        <w:rPr>
          <w:color w:val="16263B"/>
          <w:sz w:val="21"/>
          <w:szCs w:val="21"/>
          <w:rFonts w:ascii="Segoe UI" w:cs="Segoe UI" w:eastAsia="Segoe UI" w:hAnsi="Segoe UI"/>
        </w:rPr>
        <w:t xml:space="preserve">.</w:t>
      </w:r>
    </w:p>
    <w:p>
      <w:pPr>
        <w:pStyle w:val="Heading3"/>
        <w:spacing w:before="200" w:after="80"/>
      </w:pPr>
      <w:r>
        <w:rPr>
          <w:b/>
          <w:bCs/>
          <w:color w:val="0E7490"/>
          <w:sz w:val="24"/>
          <w:szCs w:val="24"/>
          <w:rFonts w:ascii="Segoe UI" w:cs="Segoe UI" w:eastAsia="Segoe UI" w:hAnsi="Segoe UI"/>
        </w:rPr>
        <w:t xml:space="preserve">Timeline (phase table)</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tblGrid>
      <w:tr>
        <w:tc>
          <w:tcPr>
            <w:tcW w:type="pct" w:w="46%"/>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Phase</w:t>
            </w:r>
          </w:p>
        </w:tc>
        <w:tc>
          <w:tcPr>
            <w:tcW w:type="pct" w:w="26%"/>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Status</w:t>
            </w:r>
          </w:p>
        </w:tc>
        <w:tc>
          <w:tcPr>
            <w:tcW w:type="pct" w:w="28%"/>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Window</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0 — Solution Explorer in Maker UX</w:t>
            </w:r>
          </w:p>
        </w:tc>
        <w:tc>
          <w:tcPr>
            <w:tcMar>
              <w:top w:type="dxa" w:w="60"/>
              <w:left w:type="dxa" w:w="110"/>
              <w:bottom w:type="dxa" w:w="60"/>
              <w:right w:type="dxa" w:w="110"/>
            </w:tcMar>
          </w:tcPr>
          <w:p>
            <w:pPr>
              <w:spacing w:after="0" w:line="264"/>
            </w:pPr>
            <w:r>
              <w:rPr>
                <w:b/>
                <w:bCs/>
                <w:color w:val="0B6E36"/>
                <w:sz w:val="21"/>
                <w:szCs w:val="21"/>
                <w:rFonts w:ascii="Segoe UI" w:cs="Segoe UI" w:eastAsia="Segoe UI" w:hAnsi="Segoe UI"/>
              </w:rPr>
              <w:t xml:space="preserve">Done (GA)</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 Jan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1 — AI-first Outer Loop</w:t>
            </w:r>
          </w:p>
        </w:tc>
        <w:tc>
          <w:tcPr>
            <w:tcMar>
              <w:top w:type="dxa" w:w="60"/>
              <w:left w:type="dxa" w:w="110"/>
              <w:bottom w:type="dxa" w:w="60"/>
              <w:right w:type="dxa" w:w="110"/>
            </w:tcMar>
          </w:tcPr>
          <w:p>
            <w:pPr>
              <w:spacing w:after="0" w:line="264"/>
            </w:pPr>
            <w:r>
              <w:rPr>
                <w:b/>
                <w:bCs/>
                <w:color w:val="0B6E36"/>
                <w:sz w:val="21"/>
                <w:szCs w:val="21"/>
                <w:rFonts w:ascii="Segoe UI" w:cs="Segoe UI" w:eastAsia="Segoe UI" w:hAnsi="Segoe UI"/>
              </w:rPr>
              <w:t xml:space="preserve">Done (GA)</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 May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2 — Native Git for Pages</w:t>
            </w:r>
          </w:p>
        </w:tc>
        <w:tc>
          <w:tcPr>
            <w:tcMar>
              <w:top w:type="dxa" w:w="60"/>
              <w:left w:type="dxa" w:w="110"/>
              <w:bottom w:type="dxa" w:w="60"/>
              <w:right w:type="dxa" w:w="110"/>
            </w:tcMar>
          </w:tcPr>
          <w:p>
            <w:pPr>
              <w:spacing w:after="0" w:line="264"/>
            </w:pPr>
            <w:r>
              <w:rPr>
                <w:b/>
                <w:bCs/>
                <w:color w:val="0E7490"/>
                <w:sz w:val="21"/>
                <w:szCs w:val="21"/>
                <w:rFonts w:ascii="Segoe UI" w:cs="Segoe UI" w:eastAsia="Segoe UI" w:hAnsi="Segoe UI"/>
              </w:rPr>
              <w:t xml:space="preserve">Active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target Jul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3 — AI-first Inner Loop</w:t>
            </w:r>
          </w:p>
        </w:tc>
        <w:tc>
          <w:tcPr>
            <w:tcMar>
              <w:top w:type="dxa" w:w="60"/>
              <w:left w:type="dxa" w:w="110"/>
              <w:bottom w:type="dxa" w:w="60"/>
              <w:right w:type="dxa" w:w="110"/>
            </w:tcMar>
          </w:tcPr>
          <w:p>
            <w:pPr>
              <w:spacing w:after="0" w:line="264"/>
            </w:pPr>
            <w:r>
              <w:rPr>
                <w:b/>
                <w:bCs/>
                <w:color w:val="0E7490"/>
                <w:sz w:val="21"/>
                <w:szCs w:val="21"/>
                <w:rFonts w:ascii="Segoe UI" w:cs="Segoe UI" w:eastAsia="Segoe UI" w:hAnsi="Segoe UI"/>
              </w:rPr>
              <w:t xml:space="preserve">Active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target Jul 2026</w:t>
            </w:r>
          </w:p>
        </w:tc>
      </w:tr>
      <w:tr>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Phase 4 — Convergence &amp; Enterprise Hardening</w:t>
            </w:r>
          </w:p>
        </w:tc>
        <w:tc>
          <w:tcPr>
            <w:tcMar>
              <w:top w:type="dxa" w:w="60"/>
              <w:left w:type="dxa" w:w="110"/>
              <w:bottom w:type="dxa" w:w="60"/>
              <w:right w:type="dxa" w:w="110"/>
            </w:tcMar>
          </w:tcPr>
          <w:p>
            <w:pPr>
              <w:spacing w:after="0" w:line="264"/>
            </w:pPr>
            <w:r>
              <w:rPr>
                <w:b/>
                <w:bCs/>
                <w:color w:val="5B3FA3"/>
                <w:sz w:val="21"/>
                <w:szCs w:val="21"/>
                <w:rFonts w:ascii="Segoe UI" w:cs="Segoe UI" w:eastAsia="Segoe UI" w:hAnsi="Segoe UI"/>
              </w:rPr>
              <w:t xml:space="preserve">Directional / TBD</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post-Jul 2026</w:t>
            </w:r>
          </w:p>
        </w:tc>
      </w:tr>
    </w:tbl>
    <w:p>
      <w:pPr>
        <w:pStyle w:val="Heading3"/>
        <w:spacing w:before="200" w:after="80"/>
      </w:pPr>
      <w:r>
        <w:rPr>
          <w:b/>
          <w:bCs/>
          <w:color w:val="0E7490"/>
          <w:sz w:val="24"/>
          <w:szCs w:val="24"/>
          <w:rFonts w:ascii="Segoe UI" w:cs="Segoe UI" w:eastAsia="Segoe UI" w:hAnsi="Segoe UI"/>
        </w:rPr>
        <w:t xml:space="preserve">Phase 0 — Foundation (GA · Jan 2026)</w:t>
      </w:r>
    </w:p>
    <w:p>
      <w:pPr>
        <w:spacing w:after="120" w:line="276"/>
      </w:pPr>
      <w:r>
        <w:rPr>
          <w:color w:val="566A82"/>
          <w:sz w:val="21"/>
          <w:szCs w:val="21"/>
          <w:rFonts w:ascii="Segoe UI" w:cs="Segoe UI" w:eastAsia="Segoe UI" w:hAnsi="Segoe UI"/>
        </w:rPr>
        <w:t xml:space="preserve">Solution Explorer support for Power Pages in Maker UX — fully available end of January 2026.</w:t>
      </w:r>
    </w:p>
    <w:p>
      <w:pPr>
        <w:spacing w:after="120" w:line="276"/>
      </w:pPr>
      <w:r>
        <w:rPr>
          <w:b/>
          <w:bCs/>
          <w:color w:val="0E7490"/>
          <w:sz w:val="21"/>
          <w:szCs w:val="21"/>
          <w:rFonts w:ascii="Segoe UI" w:cs="Segoe UI" w:eastAsia="Segoe UI" w:hAnsi="Segoe UI"/>
        </w:rPr>
        <w:t xml:space="preserve">Definition of done: </w:t>
      </w:r>
      <w:r>
        <w:rPr>
          <w:color w:val="16263B"/>
          <w:sz w:val="21"/>
          <w:szCs w:val="21"/>
          <w:rFonts w:ascii="Segoe UI" w:cs="Segoe UI" w:eastAsia="Segoe UI" w:hAnsi="Segoe UI"/>
        </w:rPr>
        <w:t xml:space="preserve">Makers can author, package, and move site-scoped solutions from Maker UX without falling back to classic experiences.</w:t>
      </w:r>
    </w:p>
    <w:p>
      <w:pPr>
        <w:pStyle w:val="Heading3"/>
        <w:spacing w:before="200" w:after="80"/>
      </w:pPr>
      <w:r>
        <w:rPr>
          <w:b/>
          <w:bCs/>
          <w:color w:val="0E7490"/>
          <w:sz w:val="24"/>
          <w:szCs w:val="24"/>
          <w:rFonts w:ascii="Segoe UI" w:cs="Segoe UI" w:eastAsia="Segoe UI" w:hAnsi="Segoe UI"/>
        </w:rPr>
        <w:t xml:space="preserve">Phase 1 — AI-first Outer Loop (GA · May 2026)</w:t>
      </w:r>
    </w:p>
    <w:p>
      <w:pPr>
        <w:spacing w:after="120" w:line="276"/>
      </w:pPr>
      <w:r>
        <w:rPr>
          <w:b/>
          <w:bCs/>
          <w:color w:val="0E7490"/>
          <w:sz w:val="21"/>
          <w:szCs w:val="21"/>
          <w:rFonts w:ascii="Segoe UI" w:cs="Segoe UI" w:eastAsia="Segoe UI" w:hAnsi="Segoe UI"/>
        </w:rPr>
        <w:t xml:space="preserve">Skills: </w:t>
      </w:r>
      <w:r>
        <w:rPr>
          <w:color w:val="5B3FA3"/>
          <w:sz w:val="19"/>
          <w:szCs w:val="19"/>
          <w:rFonts w:ascii="Cascadia Code" w:cs="Cascadia Code" w:eastAsia="Cascadia Code" w:hAnsi="Cascadia Code"/>
        </w:rPr>
        <w:t xml:space="preserve">/plan-alm</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/setup-solution</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/export-solution</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/import-solution</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/setup-pipeline</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/deploy-pipeline</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/ensure-pipelines-host</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/configure-env-variables</w:t>
      </w:r>
      <w:r>
        <w:rPr>
          <w:color w:val="16263B"/>
          <w:sz w:val="21"/>
          <w:szCs w:val="21"/>
          <w:rFonts w:ascii="Segoe UI" w:cs="Segoe UI" w:eastAsia="Segoe UI" w:hAnsi="Segoe UI"/>
        </w:rPr>
        <w:t xml:space="preserve">, </w:t>
      </w:r>
      <w:r>
        <w:rPr>
          <w:color w:val="5B3FA3"/>
          <w:sz w:val="19"/>
          <w:szCs w:val="19"/>
          <w:rFonts w:ascii="Cascadia Code" w:cs="Cascadia Code" w:eastAsia="Cascadia Code" w:hAnsi="Cascadia Code"/>
        </w:rPr>
        <w:t xml:space="preserve">/diagnose-deployment</w:t>
      </w:r>
      <w:r>
        <w:rPr>
          <w:color w:val="16263B"/>
          <w:sz w:val="21"/>
          <w:szCs w:val="21"/>
          <w:rFonts w:ascii="Segoe UI" w:cs="Segoe UI" w:eastAsia="Segoe UI" w:hAnsi="Segoe UI"/>
        </w:rPr>
        <w:t xml:space="preserve">.</w:t>
      </w:r>
    </w:p>
    <w:p>
      <w:pPr>
        <w:spacing w:after="120" w:line="276"/>
      </w:pPr>
      <w:r>
        <w:rPr>
          <w:b/>
          <w:bCs/>
          <w:color w:val="0E7490"/>
          <w:sz w:val="21"/>
          <w:szCs w:val="21"/>
          <w:rFonts w:ascii="Segoe UI" w:cs="Segoe UI" w:eastAsia="Segoe UI" w:hAnsi="Segoe UI"/>
        </w:rPr>
        <w:t xml:space="preserve">Definition of done: </w:t>
      </w:r>
      <w:r>
        <w:rPr>
          <w:color w:val="16263B"/>
          <w:sz w:val="21"/>
          <w:szCs w:val="21"/>
          <w:rFonts w:ascii="Segoe UI" w:cs="Segoe UI" w:eastAsia="Segoe UI" w:hAnsi="Segoe UI"/>
        </w:rPr>
        <w:t xml:space="preserve">A maker/dev can go from “deploy Dev → Prod” intent to a validated production deployment without manual PPAC click-throughs.</w:t>
      </w:r>
    </w:p>
    <w:p>
      <w:pPr>
        <w:pStyle w:val="Heading3"/>
        <w:spacing w:before="200" w:after="80"/>
      </w:pPr>
      <w:r>
        <w:rPr>
          <w:b/>
          <w:bCs/>
          <w:color w:val="0E7490"/>
          <w:sz w:val="24"/>
          <w:szCs w:val="24"/>
          <w:rFonts w:ascii="Segoe UI" w:cs="Segoe UI" w:eastAsia="Segoe UI" w:hAnsi="Segoe UI"/>
        </w:rPr>
        <w:t xml:space="preserve">Phase 2 — Native Git for Power Pages (Target · Jul 2026)</w:t>
      </w:r>
    </w:p>
    <w:p>
      <w:pPr>
        <w:pStyle w:val="ListParagraph"/>
        <w:numPr>
          <w:ilvl w:val="0"/>
          <w:numId w:val="1"/>
        </w:numPr>
        <w:spacing w:after="80" w:line="268"/>
      </w:pPr>
      <w:r>
        <w:rPr>
          <w:color w:val="16263B"/>
          <w:sz w:val="21"/>
          <w:szCs w:val="21"/>
          <w:rFonts w:ascii="Segoe UI" w:cs="Segoe UI" w:eastAsia="Segoe UI" w:hAnsi="Segoe UI"/>
        </w:rPr>
        <w:t xml:space="preserve">Two-way sync between Dataverse and the customer’s source control.</w:t>
      </w:r>
    </w:p>
    <w:p>
      <w:pPr>
        <w:pStyle w:val="ListParagraph"/>
        <w:numPr>
          <w:ilvl w:val="0"/>
          <w:numId w:val="1"/>
        </w:numPr>
        <w:spacing w:after="80" w:line="268"/>
      </w:pPr>
      <w:r>
        <w:rPr>
          <w:color w:val="16263B"/>
          <w:sz w:val="21"/>
          <w:szCs w:val="21"/>
          <w:rFonts w:ascii="Segoe UI" w:cs="Segoe UI" w:eastAsia="Segoe UI" w:hAnsi="Segoe UI"/>
        </w:rPr>
        <w:t xml:space="preserve">Human-readable formats (yaml / js / css / html) replacing XML.</w:t>
      </w:r>
    </w:p>
    <w:p>
      <w:pPr>
        <w:pStyle w:val="ListParagraph"/>
        <w:numPr>
          <w:ilvl w:val="0"/>
          <w:numId w:val="1"/>
        </w:numPr>
        <w:spacing w:after="80" w:line="268"/>
      </w:pPr>
      <w:r>
        <w:rPr>
          <w:color w:val="16263B"/>
          <w:sz w:val="21"/>
          <w:szCs w:val="21"/>
          <w:rFonts w:ascii="Segoe UI" w:cs="Segoe UI" w:eastAsia="Segoe UI" w:hAnsi="Segoe UI"/>
        </w:rPr>
        <w:t xml:space="preserve">PR-style review with component-level diffs.</w:t>
      </w:r>
    </w:p>
    <w:p>
      <w:pPr>
        <w:pStyle w:val="ListParagraph"/>
        <w:numPr>
          <w:ilvl w:val="0"/>
          <w:numId w:val="1"/>
        </w:numPr>
        <w:spacing w:after="80" w:line="268"/>
      </w:pPr>
      <w:r>
        <w:rPr>
          <w:color w:val="16263B"/>
          <w:sz w:val="21"/>
          <w:szCs w:val="21"/>
          <w:rFonts w:ascii="Segoe UI" w:cs="Segoe UI" w:eastAsia="Segoe UI" w:hAnsi="Segoe UI"/>
        </w:rPr>
        <w:t xml:space="preserve">PAC CLI commands for push/pull/commit/sync (non-AI path) + skill wrappers (AI path).</w:t>
      </w:r>
    </w:p>
    <w:p>
      <w:pPr>
        <w:spacing w:after="120" w:line="276"/>
      </w:pPr>
      <w:r>
        <w:rPr>
          <w:b/>
          <w:bCs/>
          <w:color w:val="0E7490"/>
          <w:sz w:val="21"/>
          <w:szCs w:val="21"/>
          <w:rFonts w:ascii="Segoe UI" w:cs="Segoe UI" w:eastAsia="Segoe UI" w:hAnsi="Segoe UI"/>
        </w:rPr>
        <w:t xml:space="preserve">Definition of done: </w:t>
      </w:r>
      <w:r>
        <w:rPr>
          <w:color w:val="16263B"/>
          <w:sz w:val="21"/>
          <w:szCs w:val="21"/>
          <w:rFonts w:ascii="Segoe UI" w:cs="Segoe UI" w:eastAsia="Segoe UI" w:hAnsi="Segoe UI"/>
        </w:rPr>
        <w:t xml:space="preserve">An enterprise customer can use Git as source of truth with PR review, branching strategies, and reliable two-way sync — without IT involvement beyond providing the repo.</w:t>
      </w:r>
    </w:p>
    <w:p>
      <w:pPr>
        <w:pStyle w:val="Heading3"/>
        <w:spacing w:before="200" w:after="80"/>
      </w:pPr>
      <w:r>
        <w:rPr>
          <w:b/>
          <w:bCs/>
          <w:color w:val="0E7490"/>
          <w:sz w:val="24"/>
          <w:szCs w:val="24"/>
          <w:rFonts w:ascii="Segoe UI" w:cs="Segoe UI" w:eastAsia="Segoe UI" w:hAnsi="Segoe UI"/>
        </w:rPr>
        <w:t xml:space="preserve">Phase 3 — AI-first Inner Loop (Target · Jul 2026)</w:t>
      </w:r>
    </w:p>
    <w:p>
      <w:pPr>
        <w:pStyle w:val="ListParagraph"/>
        <w:numPr>
          <w:ilvl w:val="0"/>
          <w:numId w:val="1"/>
        </w:numPr>
        <w:spacing w:after="80" w:line="268"/>
      </w:pPr>
      <w:r>
        <w:rPr>
          <w:color w:val="16263B"/>
          <w:sz w:val="21"/>
          <w:szCs w:val="21"/>
          <w:rFonts w:ascii="Segoe UI" w:cs="Segoe UI" w:eastAsia="Segoe UI" w:hAnsi="Segoe UI"/>
        </w:rPr>
        <w:t xml:space="preserve">Skills: branch creation, multi-user edits, conflict-resolution guidance, pre-commit validation, local preview orchestration, inner-loop diagnostics.</w:t>
      </w:r>
    </w:p>
    <w:p>
      <w:pPr>
        <w:spacing w:after="120" w:line="276"/>
      </w:pPr>
      <w:r>
        <w:rPr>
          <w:b/>
          <w:bCs/>
          <w:color w:val="0E7490"/>
          <w:sz w:val="21"/>
          <w:szCs w:val="21"/>
          <w:rFonts w:ascii="Segoe UI" w:cs="Segoe UI" w:eastAsia="Segoe UI" w:hAnsi="Segoe UI"/>
        </w:rPr>
        <w:t xml:space="preserve">Definition of done: </w:t>
      </w:r>
      <w:r>
        <w:rPr>
          <w:color w:val="16263B"/>
          <w:sz w:val="21"/>
          <w:szCs w:val="21"/>
          <w:rFonts w:ascii="Segoe UI" w:cs="Segoe UI" w:eastAsia="Segoe UI" w:hAnsi="Segoe UI"/>
        </w:rPr>
        <w:t xml:space="preserve">A developer’s daily edit-commit-preview-PR cycle is orchestrated and validated by the AI plugin with the same idempotency guarantees as the outer loop.</w:t>
      </w:r>
    </w:p>
    <w:p>
      <w:pPr>
        <w:pStyle w:val="Heading3"/>
        <w:spacing w:before="200" w:after="80"/>
      </w:pPr>
      <w:r>
        <w:rPr>
          <w:b/>
          <w:bCs/>
          <w:color w:val="0E7490"/>
          <w:sz w:val="24"/>
          <w:szCs w:val="24"/>
          <w:rFonts w:ascii="Segoe UI" w:cs="Segoe UI" w:eastAsia="Segoe UI" w:hAnsi="Segoe UI"/>
        </w:rPr>
        <w:t xml:space="preserve">Phase 4 — Convergence &amp; Enterprise Hardening (Directional / TBD · post-Jul 2026)</w:t>
      </w:r>
    </w:p>
    <w:p>
      <w:pPr>
        <w:pStyle w:val="ListParagraph"/>
        <w:numPr>
          <w:ilvl w:val="0"/>
          <w:numId w:val="1"/>
        </w:numPr>
        <w:spacing w:after="80" w:line="268"/>
      </w:pPr>
      <w:r>
        <w:rPr>
          <w:b/>
          <w:bCs/>
          <w:color w:val="16263B"/>
          <w:sz w:val="21"/>
          <w:szCs w:val="21"/>
          <w:rFonts w:ascii="Segoe UI" w:cs="Segoe UI" w:eastAsia="Segoe UI" w:hAnsi="Segoe UI"/>
        </w:rPr>
        <w:t xml:space="preserve">End-to-end: </w:t>
      </w:r>
      <w:r>
        <w:rPr>
          <w:color w:val="16263B"/>
          <w:sz w:val="21"/>
          <w:szCs w:val="21"/>
          <w:rFonts w:ascii="Segoe UI" w:cs="Segoe UI" w:eastAsia="Segoe UI" w:hAnsi="Segoe UI"/>
        </w:rPr>
        <w:t xml:space="preserve">intent → AI orchestrator → Native Git PR → Pipelines (Power, ADO, or GitHub Actions) → managed solution upgrade → validation → rollback.</w:t>
      </w:r>
    </w:p>
    <w:p>
      <w:pPr>
        <w:pStyle w:val="ListParagraph"/>
        <w:numPr>
          <w:ilvl w:val="0"/>
          <w:numId w:val="1"/>
        </w:numPr>
        <w:spacing w:after="80" w:line="268"/>
      </w:pPr>
      <w:r>
        <w:rPr>
          <w:color w:val="16263B"/>
          <w:sz w:val="21"/>
          <w:szCs w:val="21"/>
          <w:rFonts w:ascii="Segoe UI" w:cs="Segoe UI" w:eastAsia="Segoe UI" w:hAnsi="Segoe UI"/>
        </w:rPr>
        <w:t xml:space="preserve">Selective commits, conflict-resolution UX, monitoring-hub integration, post-deployment site-config skills.</w:t>
      </w:r>
    </w:p>
    <w:p>
      <w:pPr>
        <w:pStyle w:val="ListParagraph"/>
        <w:numPr>
          <w:ilvl w:val="0"/>
          <w:numId w:val="1"/>
        </w:numPr>
        <w:spacing w:after="80" w:line="268"/>
      </w:pPr>
      <w:r>
        <w:rPr>
          <w:b/>
          <w:bCs/>
          <w:color w:val="16263B"/>
          <w:sz w:val="21"/>
          <w:szCs w:val="21"/>
          <w:rFonts w:ascii="Segoe UI" w:cs="Segoe UI" w:eastAsia="Segoe UI" w:hAnsi="Segoe UI"/>
        </w:rPr>
        <w:t xml:space="preserve">Enterprise governance: </w:t>
      </w:r>
      <w:r>
        <w:rPr>
          <w:color w:val="16263B"/>
          <w:sz w:val="21"/>
          <w:szCs w:val="21"/>
          <w:rFonts w:ascii="Segoe UI" w:cs="Segoe UI" w:eastAsia="Segoe UI" w:hAnsi="Segoe UI"/>
        </w:rPr>
        <w:t xml:space="preserve">solution-checker integration, code/security analysis, test plans, approval gates.</w:t>
      </w:r>
    </w:p>
    <w:p>
      <w:pPr>
        <w:spacing w:after="120" w:line="276"/>
      </w:pPr>
      <w:r>
        <w:rPr>
          <w:b/>
          <w:bCs/>
          <w:color w:val="0E7490"/>
          <w:sz w:val="21"/>
          <w:szCs w:val="21"/>
          <w:rFonts w:ascii="Segoe UI" w:cs="Segoe UI" w:eastAsia="Segoe UI" w:hAnsi="Segoe UI"/>
        </w:rPr>
        <w:t xml:space="preserve">Definition of done: </w:t>
      </w:r>
      <w:r>
        <w:rPr>
          <w:color w:val="16263B"/>
          <w:sz w:val="21"/>
          <w:szCs w:val="21"/>
          <w:rFonts w:ascii="Segoe UI" w:cs="Segoe UI" w:eastAsia="Segoe UI" w:hAnsi="Segoe UI"/>
        </w:rPr>
        <w:t xml:space="preserve">“enterprise-grade ALM” criteria met (see Slide 7).</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Anchor on the dates and don’t drift: Jan 2026, end-May 2026, end-July 2026 (×2, in progress). Everything after July is explicitly Directional / TBD — say “directional” out loud so no one writes down a commitment we didn’t make.</w:t>
      </w:r>
    </w:p>
    <w:p>
      <w:pPr>
        <w:shd w:fill="F7FAFC" w:val="clear"/>
        <w:spacing w:after="100" w:line="276"/>
      </w:pPr>
      <w:r>
        <w:rPr>
          <w:color w:val="16263B"/>
          <w:sz w:val="21"/>
          <w:szCs w:val="21"/>
          <w:rFonts w:ascii="Segoe UI" w:cs="Segoe UI" w:eastAsia="Segoe UI" w:hAnsi="Segoe UI"/>
        </w:rPr>
        <w:t xml:space="preserve">Phase 2 and Phase 3 land together (end of July). That’s deliberate: inner-loop AI (Phase 3) is only as good as the Git substrate (Phase 2) underneath it — they’re co-dependent, so they ship as a pair.</w:t>
      </w:r>
    </w:p>
    <w:p>
      <w:pPr>
        <w:shd w:fill="F7FAFC" w:val="clear"/>
        <w:spacing w:after="100" w:line="276"/>
      </w:pPr>
      <w:r>
        <w:rPr>
          <w:color w:val="16263B"/>
          <w:sz w:val="21"/>
          <w:szCs w:val="21"/>
          <w:rFonts w:ascii="Segoe UI" w:cs="Segoe UI" w:eastAsia="Segoe UI" w:hAnsi="Segoe UI"/>
        </w:rPr>
        <w:t xml:space="preserve">If pushed on Phase 4 dates: we’ll commit dates once Phase 2/3 land and we’ve measured the failure-rate and rollback metrics in Slide 7. Resist being pinned.</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6 · Trade-offs</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Every phase made a deliberate cut. Surfacing them builds trust — and pre-empts “why didn’t you just…” questions.</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gridCol w:w="100"/>
      </w:tblGrid>
      <w:tr>
        <w:tc>
          <w:tcPr>
            <w:tcW w:type="pct" w:w="13%"/>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Phase</w:t>
            </w:r>
          </w:p>
        </w:tc>
        <w:tc>
          <w:tcPr>
            <w:tcW w:type="pct" w:w="29%"/>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What we chose</w:t>
            </w:r>
          </w:p>
        </w:tc>
        <w:tc>
          <w:tcPr>
            <w:tcW w:type="pct" w:w="29%"/>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What we deferred</w:t>
            </w:r>
          </w:p>
        </w:tc>
        <w:tc>
          <w:tcPr>
            <w:tcW w:type="pct" w:w="29%"/>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Why</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Phase 0 (Foundation)</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Solution Explorer in Maker UX as the packaging surface for sites.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Deep classic Solution Explorer parity for edge component types.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Meet makers where they already work; cover the 90% authoring path first.</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Phase 1 (Outer Loop)</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Orchestrator + /plan-alm front door with human approval gates.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Fully autonomous, unattended deploy.</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Human approval gates build trust at GA; autonomy is earned after the failure-rate bar is proven.</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Phase 2 (Native Git)</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Two-way sync via Dataverse native APIs.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Migration from external Git providers; ADO-API-based sync.</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Reliability + off-sync avoidance — owning the sync path end-to-end prevents drift.</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Phase 3 (Inner Loop)</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AI-assisted inner loop layered on existing PAC CLI primitives.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IDE-native (VS Code) deep integration beyond what exists today.</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Ship orchestration value first, deepen IDE integration later once the skill surface stabilizes.</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Phase 4 (Convergence)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Unify into one end-to-end path + enterprise governance gates.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Locking dates &amp; full autonomy until metrics are proven.</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Converge only on a measured foundation; governance before autonomy.</w:t>
            </w:r>
          </w:p>
        </w:tc>
      </w:tr>
    </w:tbl>
    <w:p>
      <w:pPr>
        <w:spacing w:after="120" w:line="276"/>
      </w:pPr>
      <w:r>
        <w:rPr>
          <w:b/>
          <w:bCs/>
          <w:color w:val="0E7490"/>
          <w:sz w:val="21"/>
          <w:szCs w:val="21"/>
          <w:rFonts w:ascii="Segoe UI" w:cs="Segoe UI" w:eastAsia="Segoe UI" w:hAnsi="Segoe UI"/>
        </w:rPr>
        <w:t xml:space="preserve">Callout — the meta-trade-off: </w:t>
      </w:r>
      <w:r>
        <w:rPr>
          <w:color w:val="16263B"/>
          <w:sz w:val="21"/>
          <w:szCs w:val="21"/>
          <w:rFonts w:ascii="Segoe UI" w:cs="Segoe UI" w:eastAsia="Segoe UI" w:hAnsi="Segoe UI"/>
        </w:rPr>
        <w:t xml:space="preserve">We consistently chose </w:t>
      </w:r>
      <w:r>
        <w:rPr>
          <w:b/>
          <w:bCs/>
          <w:color w:val="16263B"/>
          <w:sz w:val="21"/>
          <w:szCs w:val="21"/>
          <w:rFonts w:ascii="Segoe UI" w:cs="Segoe UI" w:eastAsia="Segoe UI" w:hAnsi="Segoe UI"/>
        </w:rPr>
        <w:t xml:space="preserve">trust and reliability over speed and autonomy</w:t>
      </w:r>
      <w:r>
        <w:rPr>
          <w:color w:val="16263B"/>
          <w:sz w:val="21"/>
          <w:szCs w:val="21"/>
          <w:rFonts w:ascii="Segoe UI" w:cs="Segoe UI" w:eastAsia="Segoe UI" w:hAnsi="Segoe UI"/>
        </w:rPr>
        <w:t xml:space="preserve">. Approval gates, owned sync paths, and primitives-first all defer convenience to protect correctness — exactly the right ordering for 1,000+ component flagship sites.</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This is the credibility slide. Leaders trust roadmaps that name their own cuts. Walk each row as “we chose X, we knowingly deferred Y, and here’s the principle that made that the right call.”</w:t>
      </w:r>
    </w:p>
    <w:p>
      <w:pPr>
        <w:shd w:fill="F7FAFC" w:val="clear"/>
        <w:spacing w:after="100" w:line="276"/>
      </w:pPr>
      <w:r>
        <w:rPr>
          <w:color w:val="16263B"/>
          <w:sz w:val="21"/>
          <w:szCs w:val="21"/>
          <w:rFonts w:ascii="Segoe UI" w:cs="Segoe UI" w:eastAsia="Segoe UI" w:hAnsi="Segoe UI"/>
        </w:rPr>
        <w:t xml:space="preserve">The recurring theme — call it out at the bottom — is </w:t>
      </w:r>
      <w:r>
        <w:rPr>
          <w:b/>
          <w:bCs/>
          <w:color w:val="16263B"/>
          <w:sz w:val="21"/>
          <w:szCs w:val="21"/>
          <w:rFonts w:ascii="Segoe UI" w:cs="Segoe UI" w:eastAsia="Segoe UI" w:hAnsi="Segoe UI"/>
        </w:rPr>
        <w:t xml:space="preserve">trust/reliability over speed/autonomy</w:t>
      </w:r>
      <w:r>
        <w:rPr>
          <w:color w:val="16263B"/>
          <w:sz w:val="21"/>
          <w:szCs w:val="21"/>
          <w:rFonts w:ascii="Segoe UI" w:cs="Segoe UI" w:eastAsia="Segoe UI" w:hAnsi="Segoe UI"/>
        </w:rPr>
        <w:t xml:space="preserve">. Every deferral protects correctness on high-stakes sites.</w:t>
      </w:r>
    </w:p>
    <w:p>
      <w:pPr>
        <w:shd w:fill="F7FAFC" w:val="clear"/>
        <w:spacing w:after="100" w:line="276"/>
      </w:pPr>
      <w:r>
        <w:rPr>
          <w:color w:val="16263B"/>
          <w:sz w:val="21"/>
          <w:szCs w:val="21"/>
          <w:rFonts w:ascii="Segoe UI" w:cs="Segoe UI" w:eastAsia="Segoe UI" w:hAnsi="Segoe UI"/>
        </w:rPr>
        <w:t xml:space="preserve">The Phase 2 row is the one platform peers will probe: why native Dataverse APIs instead of reusing ADO’s Git APIs? Answer: to </w:t>
      </w:r>
      <w:r>
        <w:rPr>
          <w:i/>
          <w:iCs/>
          <w:color w:val="5B3FA3"/>
          <w:sz w:val="21"/>
          <w:szCs w:val="21"/>
          <w:rFonts w:ascii="Segoe UI" w:cs="Segoe UI" w:eastAsia="Segoe UI" w:hAnsi="Segoe UI"/>
        </w:rPr>
        <w:t xml:space="preserve">own the sync contract</w:t>
      </w:r>
      <w:r>
        <w:rPr>
          <w:color w:val="16263B"/>
          <w:sz w:val="21"/>
          <w:szCs w:val="21"/>
          <w:rFonts w:ascii="Segoe UI" w:cs="Segoe UI" w:eastAsia="Segoe UI" w:hAnsi="Segoe UI"/>
        </w:rPr>
        <w:t xml:space="preserve"> and avoid off-sync states. That’s a reliability decision, not a NIH one.</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7 · What “Done” Looks Like — Enterprise-Grade ALM</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Ten measurable criteria. Fill the placeholders with committed thresholds before sharing externally; this is the bar Phase 4 closes against.</w:t>
      </w:r>
    </w:p>
    <w:p>
      <w:pPr>
        <w:pStyle w:val="ListParagraph"/>
        <w:numPr>
          <w:ilvl w:val="0"/>
          <w:numId w:val="1"/>
        </w:numPr>
        <w:spacing w:after="80" w:line="268"/>
      </w:pPr>
      <w:r>
        <w:rPr>
          <w:b/>
          <w:bCs/>
          <w:color w:val="16263B"/>
          <w:sz w:val="21"/>
          <w:szCs w:val="21"/>
          <w:rFonts w:ascii="Segoe UI" w:cs="Segoe UI" w:eastAsia="Segoe UI" w:hAnsi="Segoe UI"/>
        </w:rPr>
        <w:t xml:space="preserve">Site-as-unit-of-ALM. </w:t>
      </w:r>
      <w:r>
        <w:rPr>
          <w:color w:val="16263B"/>
          <w:sz w:val="21"/>
          <w:szCs w:val="21"/>
          <w:rFonts w:ascii="Segoe UI" w:cs="Segoe UI" w:eastAsia="Segoe UI" w:hAnsi="Segoe UI"/>
        </w:rPr>
        <w:t xml:space="preserve">Bundled solution (one or split based on size) per site, long-lived, managed upgrades only — no recreate-from-scratch deploys.</w:t>
      </w:r>
    </w:p>
    <w:p>
      <w:pPr>
        <w:pStyle w:val="ListParagraph"/>
        <w:numPr>
          <w:ilvl w:val="0"/>
          <w:numId w:val="1"/>
        </w:numPr>
        <w:spacing w:after="80" w:line="268"/>
      </w:pPr>
      <w:r>
        <w:rPr>
          <w:b/>
          <w:bCs/>
          <w:color w:val="16263B"/>
          <w:sz w:val="21"/>
          <w:szCs w:val="21"/>
          <w:rFonts w:ascii="Segoe UI" w:cs="Segoe UI" w:eastAsia="Segoe UI" w:hAnsi="Segoe UI"/>
        </w:rPr>
        <w:t xml:space="preserve">Git is the source of truth. </w:t>
      </w:r>
      <w:r>
        <w:rPr>
          <w:color w:val="16263B"/>
          <w:sz w:val="21"/>
          <w:szCs w:val="21"/>
          <w:rFonts w:ascii="Segoe UI" w:cs="Segoe UI" w:eastAsia="Segoe UI" w:hAnsi="Segoe UI"/>
        </w:rPr>
        <w:t xml:space="preserve">Every deployed artifact maps to a commit / PR; provenance is queryable.</w:t>
      </w:r>
    </w:p>
    <w:p>
      <w:pPr>
        <w:pStyle w:val="ListParagraph"/>
        <w:numPr>
          <w:ilvl w:val="0"/>
          <w:numId w:val="1"/>
        </w:numPr>
        <w:spacing w:after="80" w:line="268"/>
      </w:pPr>
      <w:r>
        <w:rPr>
          <w:b/>
          <w:bCs/>
          <w:color w:val="16263B"/>
          <w:sz w:val="21"/>
          <w:szCs w:val="21"/>
          <w:rFonts w:ascii="Segoe UI" w:cs="Segoe UI" w:eastAsia="Segoe UI" w:hAnsi="Segoe UI"/>
        </w:rPr>
        <w:t xml:space="preserve">Idempotent, resumable, auditable. </w:t>
      </w:r>
      <w:r>
        <w:rPr>
          <w:color w:val="16263B"/>
          <w:sz w:val="21"/>
          <w:szCs w:val="21"/>
          <w:rFonts w:ascii="Segoe UI" w:cs="Segoe UI" w:eastAsia="Segoe UI" w:hAnsi="Segoe UI"/>
        </w:rPr>
        <w:t xml:space="preserve">Any deployment can be re-run safely, resumed after interruption, and reconstructed from an audit trail.</w:t>
      </w:r>
    </w:p>
    <w:p>
      <w:pPr>
        <w:pStyle w:val="ListParagraph"/>
        <w:numPr>
          <w:ilvl w:val="0"/>
          <w:numId w:val="1"/>
        </w:numPr>
        <w:spacing w:after="80" w:line="268"/>
      </w:pPr>
      <w:r>
        <w:rPr>
          <w:b/>
          <w:bCs/>
          <w:color w:val="16263B"/>
          <w:sz w:val="21"/>
          <w:szCs w:val="21"/>
          <w:rFonts w:ascii="Segoe UI" w:cs="Segoe UI" w:eastAsia="Segoe UI" w:hAnsi="Segoe UI"/>
        </w:rPr>
        <w:t xml:space="preserve">Shared substrate across personas. </w:t>
      </w:r>
      <w:r>
        <w:rPr>
          <w:color w:val="16263B"/>
          <w:sz w:val="21"/>
          <w:szCs w:val="21"/>
          <w:rFonts w:ascii="Segoe UI" w:cs="Segoe UI" w:eastAsia="Segoe UI" w:hAnsi="Segoe UI"/>
        </w:rPr>
        <w:t xml:space="preserve">Maker and pro-dev share the same underlying ALM substrate — no fork in tooling or guidance.</w:t>
      </w:r>
    </w:p>
    <w:p>
      <w:pPr>
        <w:pStyle w:val="ListParagraph"/>
        <w:numPr>
          <w:ilvl w:val="0"/>
          <w:numId w:val="1"/>
        </w:numPr>
        <w:spacing w:after="80" w:line="268"/>
      </w:pPr>
      <w:r>
        <w:rPr>
          <w:b/>
          <w:bCs/>
          <w:color w:val="16263B"/>
          <w:sz w:val="21"/>
          <w:szCs w:val="21"/>
          <w:rFonts w:ascii="Segoe UI" w:cs="Segoe UI" w:eastAsia="Segoe UI" w:hAnsi="Segoe UI"/>
        </w:rPr>
        <w:t xml:space="preserve">AI removes ≥ </w:t>
      </w:r>
      <w:r>
        <w:rPr>
          <w:b/>
          <w:bCs/>
          <w:color w:val="B45309"/>
          <w:sz w:val="21"/>
          <w:szCs w:val="21"/>
          <w:rFonts w:ascii="Segoe UI" w:cs="Segoe UI" w:eastAsia="Segoe UI" w:hAnsi="Segoe UI"/>
        </w:rPr>
        <w:t xml:space="preserve">‹80›</w:t>
      </w:r>
      <w:r>
        <w:rPr>
          <w:b/>
          <w:bCs/>
          <w:color w:val="16263B"/>
          <w:sz w:val="21"/>
          <w:szCs w:val="21"/>
          <w:rFonts w:ascii="Segoe UI" w:cs="Segoe UI" w:eastAsia="Segoe UI" w:hAnsi="Segoe UI"/>
        </w:rPr>
        <w:t xml:space="preserve">% of manual ALM setup steps</w:t>
      </w:r>
      <w:r>
        <w:rPr>
          <w:color w:val="16263B"/>
          <w:sz w:val="21"/>
          <w:szCs w:val="21"/>
          <w:rFonts w:ascii="Segoe UI" w:cs="Segoe UI" w:eastAsia="Segoe UI" w:hAnsi="Segoe UI"/>
        </w:rPr>
        <w:t xml:space="preserve">, with consent checkpoints preserved at every state-changing action.</w:t>
      </w:r>
    </w:p>
    <w:p>
      <w:pPr>
        <w:pStyle w:val="ListParagraph"/>
        <w:numPr>
          <w:ilvl w:val="0"/>
          <w:numId w:val="1"/>
        </w:numPr>
        <w:spacing w:after="80" w:line="268"/>
      </w:pPr>
      <w:r>
        <w:rPr>
          <w:b/>
          <w:bCs/>
          <w:color w:val="16263B"/>
          <w:sz w:val="21"/>
          <w:szCs w:val="21"/>
          <w:rFonts w:ascii="Segoe UI" w:cs="Segoe UI" w:eastAsia="Segoe UI" w:hAnsi="Segoe UI"/>
        </w:rPr>
        <w:t xml:space="preserve">Deployment failure rate at 1,000+ component sites &lt; </w:t>
      </w:r>
      <w:r>
        <w:rPr>
          <w:b/>
          <w:bCs/>
          <w:color w:val="B45309"/>
          <w:sz w:val="21"/>
          <w:szCs w:val="21"/>
          <w:rFonts w:ascii="Segoe UI" w:cs="Segoe UI" w:eastAsia="Segoe UI" w:hAnsi="Segoe UI"/>
        </w:rPr>
        <w:t xml:space="preserve">‹10›</w:t>
      </w:r>
      <w:r>
        <w:rPr>
          <w:b/>
          <w:bCs/>
          <w:color w:val="16263B"/>
          <w:sz w:val="21"/>
          <w:szCs w:val="21"/>
          <w:rFonts w:ascii="Segoe UI" w:cs="Segoe UI" w:eastAsia="Segoe UI" w:hAnsi="Segoe UI"/>
        </w:rPr>
        <w:t xml:space="preserve">%</w:t>
      </w:r>
      <w:r>
        <w:rPr>
          <w:color w:val="16263B"/>
          <w:sz w:val="21"/>
          <w:szCs w:val="21"/>
          <w:rFonts w:ascii="Segoe UI" w:cs="Segoe UI" w:eastAsia="Segoe UI" w:hAnsi="Segoe UI"/>
        </w:rPr>
        <w:t xml:space="preserve"> (set committed threshold), measured over </w:t>
      </w:r>
      <w:r>
        <w:rPr>
          <w:b/>
          <w:bCs/>
          <w:color w:val="B45309"/>
          <w:sz w:val="21"/>
          <w:szCs w:val="21"/>
          <w:rFonts w:ascii="Segoe UI" w:cs="Segoe UI" w:eastAsia="Segoe UI" w:hAnsi="Segoe UI"/>
        </w:rPr>
        <w:t xml:space="preserve">‹30d›</w:t>
      </w:r>
      <w:r>
        <w:rPr>
          <w:color w:val="16263B"/>
          <w:sz w:val="21"/>
          <w:szCs w:val="21"/>
          <w:rFonts w:ascii="Segoe UI" w:cs="Segoe UI" w:eastAsia="Segoe UI" w:hAnsi="Segoe UI"/>
        </w:rPr>
        <w:t xml:space="preserve">.</w:t>
      </w:r>
    </w:p>
    <w:p>
      <w:pPr>
        <w:pStyle w:val="ListParagraph"/>
        <w:numPr>
          <w:ilvl w:val="0"/>
          <w:numId w:val="1"/>
        </w:numPr>
        <w:spacing w:after="80" w:line="268"/>
      </w:pPr>
      <w:r>
        <w:rPr>
          <w:b/>
          <w:bCs/>
          <w:color w:val="16263B"/>
          <w:sz w:val="21"/>
          <w:szCs w:val="21"/>
          <w:rFonts w:ascii="Segoe UI" w:cs="Segoe UI" w:eastAsia="Segoe UI" w:hAnsi="Segoe UI"/>
        </w:rPr>
        <w:t xml:space="preserve">Rollback is a single command</w:t>
      </w:r>
      <w:r>
        <w:rPr>
          <w:color w:val="16263B"/>
          <w:sz w:val="21"/>
          <w:szCs w:val="21"/>
          <w:rFonts w:ascii="Segoe UI" w:cs="Segoe UI" w:eastAsia="Segoe UI" w:hAnsi="Segoe UI"/>
        </w:rPr>
        <w:t xml:space="preserve"> and predictable — bounded, well-understood blast radius.</w:t>
      </w:r>
    </w:p>
    <w:p>
      <w:pPr>
        <w:pStyle w:val="ListParagraph"/>
        <w:numPr>
          <w:ilvl w:val="0"/>
          <w:numId w:val="1"/>
        </w:numPr>
        <w:spacing w:after="80" w:line="268"/>
      </w:pPr>
      <w:r>
        <w:rPr>
          <w:b/>
          <w:bCs/>
          <w:color w:val="16263B"/>
          <w:sz w:val="21"/>
          <w:szCs w:val="21"/>
          <w:rFonts w:ascii="Segoe UI" w:cs="Segoe UI" w:eastAsia="Segoe UI" w:hAnsi="Segoe UI"/>
        </w:rPr>
        <w:t xml:space="preserve">Closed telemetry loop. </w:t>
      </w:r>
      <w:r>
        <w:rPr>
          <w:color w:val="16263B"/>
          <w:sz w:val="21"/>
          <w:szCs w:val="21"/>
          <w:rFonts w:ascii="Segoe UI" w:cs="Segoe UI" w:eastAsia="Segoe UI" w:hAnsi="Segoe UI"/>
        </w:rPr>
        <w:t xml:space="preserve">Deployment telemetry feeds back into AI orchestrator diagnostics; recurring failures become guided fixes.</w:t>
      </w:r>
    </w:p>
    <w:p>
      <w:pPr>
        <w:pStyle w:val="ListParagraph"/>
        <w:numPr>
          <w:ilvl w:val="0"/>
          <w:numId w:val="1"/>
        </w:numPr>
        <w:spacing w:after="80" w:line="268"/>
      </w:pPr>
      <w:r>
        <w:rPr>
          <w:b/>
          <w:bCs/>
          <w:color w:val="16263B"/>
          <w:sz w:val="21"/>
          <w:szCs w:val="21"/>
          <w:rFonts w:ascii="Segoe UI" w:cs="Segoe UI" w:eastAsia="Segoe UI" w:hAnsi="Segoe UI"/>
        </w:rPr>
        <w:t xml:space="preserve">One recommended pattern. </w:t>
      </w:r>
      <w:r>
        <w:rPr>
          <w:color w:val="16263B"/>
          <w:sz w:val="21"/>
          <w:szCs w:val="21"/>
          <w:rFonts w:ascii="Segoe UI" w:cs="Segoe UI" w:eastAsia="Segoe UI" w:hAnsi="Segoe UI"/>
        </w:rPr>
        <w:t xml:space="preserve">FastTrack / SI / PowerCAT give a single, non-contradictory ALM recommendation.</w:t>
      </w:r>
    </w:p>
    <w:p>
      <w:pPr>
        <w:pStyle w:val="ListParagraph"/>
        <w:numPr>
          <w:ilvl w:val="0"/>
          <w:numId w:val="1"/>
        </w:numPr>
        <w:spacing w:after="80" w:line="268"/>
      </w:pPr>
      <w:r>
        <w:rPr>
          <w:b/>
          <w:bCs/>
          <w:color w:val="16263B"/>
          <w:sz w:val="21"/>
          <w:szCs w:val="21"/>
          <w:rFonts w:ascii="Segoe UI" w:cs="Segoe UI" w:eastAsia="Segoe UI" w:hAnsi="Segoe UI"/>
        </w:rPr>
        <w:t xml:space="preserve">Interoperable, not competing. </w:t>
      </w:r>
      <w:r>
        <w:rPr>
          <w:color w:val="16263B"/>
          <w:sz w:val="21"/>
          <w:szCs w:val="21"/>
          <w:rFonts w:ascii="Segoe UI" w:cs="Segoe UI" w:eastAsia="Segoe UI" w:hAnsi="Segoe UI"/>
        </w:rPr>
        <w:t xml:space="preserve">Native Git, Power Pipelines, ADO Pipelines, GitHub Actions, and PAC CLI compose into one model with clear persona defaults.</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This is the contract. When someone asks “how will we know we’re done?”, this slide is the answer. Every line is meant to be measurable or binary.</w:t>
      </w:r>
    </w:p>
    <w:p>
      <w:pPr>
        <w:shd w:fill="F7FAFC" w:val="clear"/>
        <w:spacing w:after="100" w:line="276"/>
      </w:pPr>
      <w:r>
        <w:rPr>
          <w:color w:val="16263B"/>
          <w:sz w:val="21"/>
          <w:szCs w:val="21"/>
          <w:rFonts w:ascii="Segoe UI" w:cs="Segoe UI" w:eastAsia="Segoe UI" w:hAnsi="Segoe UI"/>
        </w:rPr>
        <w:t xml:space="preserve">Two numbers need committing before external sharing: the ≥80% automation target and the failure-rate threshold X%. Set them with the telemetry team using a real baseline, not a guess.</w:t>
      </w:r>
    </w:p>
    <w:p>
      <w:pPr>
        <w:shd w:fill="F7FAFC" w:val="clear"/>
        <w:spacing w:after="100" w:line="276"/>
      </w:pPr>
      <w:r>
        <w:rPr>
          <w:color w:val="16263B"/>
          <w:sz w:val="21"/>
          <w:szCs w:val="21"/>
          <w:rFonts w:ascii="Segoe UI" w:cs="Segoe UI" w:eastAsia="Segoe UI" w:hAnsi="Segoe UI"/>
        </w:rPr>
        <w:t xml:space="preserve">The last two criteria are organizational, not technical — single recommended pattern and interoperability. They matter most to the dependent-team leads in the room.</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8 · Dependencies &amp; Ask</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Convergence is cross-team. Each dependency below has a specific ask, an owner to assign, and a by-when to commit.</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gridCol w:w="100"/>
      </w:tblGrid>
      <w:tr>
        <w:tc>
          <w:tcPr>
            <w:tcW w:type="pct" w:w="2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Team</w:t>
            </w:r>
          </w:p>
        </w:tc>
        <w:tc>
          <w:tcPr>
            <w:tcW w:type="pct" w:w="4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Specific ask</w:t>
            </w:r>
          </w:p>
        </w:tc>
        <w:tc>
          <w:tcPr>
            <w:tcW w:type="pct" w:w="2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Owner</w:t>
            </w:r>
          </w:p>
        </w:tc>
        <w:tc>
          <w:tcPr>
            <w:tcW w:type="pct" w:w="2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By when</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Platform</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Native Git API stability + Dataverse two-way sync reliability (no off-sync states); published SLA for sync.</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‹nityagi›</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‹July 2026›</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Power Platform Pipelines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Pipeline host provisioning + BAP API stability; deterministic host creation for /ensure-pipelines-host.</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‹nityagi›</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‹August 2026›</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PAC CLI</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Command-surface alignment with skill expectations (push/pull/commit/sync); versioned, stable contract.</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‹owner›</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‹July 2026›</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Telemetry / App Insights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Structured deployment events (schema’d, queryable) to power the closed-loop diagnostics in the orchestrator.</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‹owner›</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‹by-when›</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Docs / PM</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Single recommended ALM pattern published across FastTrack / PowerCAT / Pro-Dev; retire contradictory guidance.</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‹owner›</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‹August 2026›</w:t>
            </w:r>
          </w:p>
        </w:tc>
      </w:tr>
    </w:tbl>
    <w:p>
      <w:pPr>
        <w:spacing w:after="120" w:line="276"/>
      </w:pPr>
      <w:r>
        <w:rPr>
          <w:b/>
          <w:bCs/>
          <w:color w:val="0E7490"/>
          <w:sz w:val="21"/>
          <w:szCs w:val="21"/>
          <w:rFonts w:ascii="Segoe UI" w:cs="Segoe UI" w:eastAsia="Segoe UI" w:hAnsi="Segoe UI"/>
        </w:rPr>
        <w:t xml:space="preserve">Callout — what I’m asking for in this room: </w:t>
      </w:r>
      <w:r>
        <w:rPr>
          <w:color w:val="16263B"/>
          <w:sz w:val="21"/>
          <w:szCs w:val="21"/>
          <w:rFonts w:ascii="Segoe UI" w:cs="Segoe UI" w:eastAsia="Segoe UI" w:hAnsi="Segoe UI"/>
        </w:rPr>
        <w:t xml:space="preserve">Name an owner per row and agree a by-when. These five unblock convergence (Phase 4); without them, the spokes stay loosely coupled and the “one pattern” promise can’t hold.</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This is the action slide — don’t leave the room without owners named against at least the top three rows (Platform, Pipelines, PAC CLI). Those three are on the critical path for Phase 2/3 landing in July.</w:t>
      </w:r>
    </w:p>
    <w:p>
      <w:pPr>
        <w:shd w:fill="F7FAFC" w:val="clear"/>
        <w:spacing w:after="100" w:line="276"/>
      </w:pPr>
      <w:r>
        <w:rPr>
          <w:color w:val="16263B"/>
          <w:sz w:val="21"/>
          <w:szCs w:val="21"/>
          <w:rFonts w:ascii="Segoe UI" w:cs="Segoe UI" w:eastAsia="Segoe UI" w:hAnsi="Segoe UI"/>
        </w:rPr>
        <w:t xml:space="preserve">Telemetry and Docs/PM are convergence-enablers (Phase 4) — important but not July-blocking. Frame them as “start now so we’re ready when Phase 2/3 land.”</w:t>
      </w:r>
    </w:p>
    <w:p>
      <w:pPr>
        <w:shd w:fill="F7FAFC" w:val="clear"/>
        <w:spacing w:after="100" w:line="276"/>
      </w:pPr>
      <w:r>
        <w:rPr>
          <w:color w:val="16263B"/>
          <w:sz w:val="21"/>
          <w:szCs w:val="21"/>
          <w:rFonts w:ascii="Segoe UI" w:cs="Segoe UI" w:eastAsia="Segoe UI" w:hAnsi="Segoe UI"/>
        </w:rPr>
        <w:t xml:space="preserve">Have a fallback ask ready: if an owner can’t be named live, ask for a delegate to follow up within </w:t>
      </w:r>
      <w:r>
        <w:rPr>
          <w:b/>
          <w:bCs/>
          <w:color w:val="B45309"/>
          <w:sz w:val="21"/>
          <w:szCs w:val="21"/>
          <w:rFonts w:ascii="Segoe UI" w:cs="Segoe UI" w:eastAsia="Segoe UI" w:hAnsi="Segoe UI"/>
        </w:rPr>
        <w:t xml:space="preserve">‹N›</w:t>
      </w:r>
      <w:r>
        <w:rPr>
          <w:color w:val="16263B"/>
          <w:sz w:val="21"/>
          <w:szCs w:val="21"/>
          <w:rFonts w:ascii="Segoe UI" w:cs="Segoe UI" w:eastAsia="Segoe UI" w:hAnsi="Segoe UI"/>
        </w:rPr>
        <w:t xml:space="preserve"> business days. Movement beats perfection here.</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9 · Risks &amp; Mitigations</w:t>
      </w:r>
    </w:p>
    <w:p>
      <w:pPr>
        <w:spacing w:after="120" w:line="276"/>
      </w:pPr>
      <w:r>
        <w:rPr>
          <w:b/>
          <w:bCs/>
          <w:color w:val="0E7490"/>
          <w:sz w:val="21"/>
          <w:szCs w:val="21"/>
          <w:rFonts w:ascii="Segoe UI" w:cs="Segoe UI" w:eastAsia="Segoe UI" w:hAnsi="Segoe UI"/>
        </w:rPr>
        <w:t xml:space="preserve">Lead: </w:t>
      </w:r>
      <w:r>
        <w:rPr>
          <w:color w:val="16263B"/>
          <w:sz w:val="21"/>
          <w:szCs w:val="21"/>
          <w:rFonts w:ascii="Segoe UI" w:cs="Segoe UI" w:eastAsia="Segoe UI" w:hAnsi="Segoe UI"/>
        </w:rPr>
        <w:t xml:space="preserve">The three risks most likely to derail convergence — each with a concrete mitigation already in the design, not a hope.</w:t>
      </w:r>
    </w:p>
    <w:tbl>
      <w:tblPr>
        <w:tblW w:type="pct" w:w="100%"/>
        <w:tblBorders>
          <w:top w:val="single" w:color="CCD4DE" w:sz="2"/>
          <w:left w:val="single" w:color="CCD4DE" w:sz="2"/>
          <w:bottom w:val="single" w:color="CCD4DE" w:sz="2"/>
          <w:right w:val="single" w:color="CCD4DE" w:sz="2"/>
          <w:insideH w:val="single" w:color="auto" w:sz="4"/>
          <w:insideV w:val="single" w:color="auto" w:sz="4"/>
        </w:tblBorders>
      </w:tblPr>
      <w:tblGrid>
        <w:gridCol w:w="100"/>
        <w:gridCol w:w="100"/>
        <w:gridCol w:w="100"/>
        <w:gridCol w:w="100"/>
      </w:tblGrid>
      <w:tr>
        <w:tc>
          <w:tcPr>
            <w:tcW w:type="pct" w:w="30%"/>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Risk</w:t>
            </w:r>
          </w:p>
        </w:tc>
        <w:tc>
          <w:tcPr>
            <w:tcW w:type="pct" w:w="42%"/>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Mitigation</w:t>
            </w:r>
          </w:p>
        </w:tc>
        <w:tc>
          <w:tcPr>
            <w:tcW w:type="pct" w:w="14%"/>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Likelihood</w:t>
            </w:r>
          </w:p>
        </w:tc>
        <w:tc>
          <w:tcPr>
            <w:tcW w:type="pct" w:w="14%"/>
            <w:shd w:fill="F1F5F9" w:val="clear"/>
            <w:tcMar>
              <w:top w:type="dxa" w:w="60"/>
              <w:left w:type="dxa" w:w="110"/>
              <w:bottom w:type="dxa" w:w="60"/>
              <w:right w:type="dxa" w:w="110"/>
            </w:tcMar>
          </w:tcPr>
          <w:p>
            <w:pPr>
              <w:spacing w:after="0" w:line="264"/>
            </w:pPr>
            <w:r>
              <w:rPr>
                <w:b/>
                <w:bCs/>
                <w:color w:val="16263B"/>
                <w:sz w:val="19"/>
                <w:szCs w:val="19"/>
                <w:rFonts w:ascii="Segoe UI" w:cs="Segoe UI" w:eastAsia="Segoe UI" w:hAnsi="Segoe UI"/>
              </w:rPr>
              <w:t xml:space="preserve">Impact</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Sync conflicts in Native Git — concurrent edits in Dataverse and Git drift into off-sync states.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Sequence the rollout: land the clean ADO Connect scenario first, prove reliable two-way sync, then tackle complex multi-user/conflict scenarios. Pre-commit validation + component-level diffs surface conflicts early.</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‹M›</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‹H›</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AI orchestrator hallucinating destructive actions — a wrong plan deletes or overwrites production state.</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/plan-alm shows the full plan before execution + human approval gates at every state-changing step + idempotency (re-runs are safe, partial runs resume). No unattended destructive ops at GA.</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‹L›</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‹H›</w:t>
            </w:r>
          </w:p>
        </w:tc>
      </w:tr>
      <w:tr>
        <w:tc>
          <w:tcPr>
            <w:tcMar>
              <w:top w:type="dxa" w:w="60"/>
              <w:left w:type="dxa" w:w="110"/>
              <w:bottom w:type="dxa" w:w="60"/>
              <w:right w:type="dxa" w:w="110"/>
            </w:tcMar>
          </w:tcPr>
          <w:p>
            <w:pPr>
              <w:spacing w:after="0" w:line="264"/>
            </w:pPr>
            <w:r>
              <w:rPr>
                <w:b/>
                <w:bCs/>
                <w:color w:val="16263B"/>
                <w:sz w:val="21"/>
                <w:szCs w:val="21"/>
                <w:rFonts w:ascii="Segoe UI" w:cs="Segoe UI" w:eastAsia="Segoe UI" w:hAnsi="Segoe UI"/>
              </w:rPr>
              <w:t xml:space="preserve">Customer confusion across PAC CLI / Power Pipelines / ADO Pipelines / GitHub Actions — perceived as competing answers.</w:t>
            </w:r>
          </w:p>
        </w:tc>
        <w:tc>
          <w:tcPr>
            <w:tcMar>
              <w:top w:type="dxa" w:w="60"/>
              <w:left w:type="dxa" w:w="110"/>
              <w:bottom w:type="dxa" w:w="60"/>
              <w:right w:type="dxa" w:w="110"/>
            </w:tcMar>
          </w:tcPr>
          <w:p>
            <w:pPr>
              <w:spacing w:after="0" w:line="264"/>
            </w:pPr>
            <w:r>
              <w:rPr>
                <w:color w:val="16263B"/>
                <w:sz w:val="21"/>
                <w:szCs w:val="21"/>
                <w:rFonts w:ascii="Segoe UI" w:cs="Segoe UI" w:eastAsia="Segoe UI" w:hAnsi="Segoe UI"/>
              </w:rPr>
              <w:t xml:space="preserve">Hub-and-spoke framing + one recommended pattern per persona (maker → Power Pipelines; enterprise → ADO or GitHub Actions; automation → PAC CLI), all driven by the same orchestrator. Docs/PM dependency (Slide 8) makes it official.</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‹M›</w:t>
            </w:r>
          </w:p>
        </w:tc>
        <w:tc>
          <w:tcPr>
            <w:tcMar>
              <w:top w:type="dxa" w:w="60"/>
              <w:left w:type="dxa" w:w="110"/>
              <w:bottom w:type="dxa" w:w="60"/>
              <w:right w:type="dxa" w:w="110"/>
            </w:tcMar>
          </w:tcPr>
          <w:p>
            <w:pPr>
              <w:spacing w:after="0" w:line="264"/>
            </w:pPr>
            <w:r>
              <w:rPr>
                <w:b/>
                <w:bCs/>
                <w:color w:val="B45309"/>
                <w:sz w:val="21"/>
                <w:szCs w:val="21"/>
                <w:rFonts w:ascii="Segoe UI" w:cs="Segoe UI" w:eastAsia="Segoe UI" w:hAnsi="Segoe UI"/>
              </w:rPr>
              <w:t xml:space="preserve">‹M›</w:t>
            </w:r>
          </w:p>
        </w:tc>
      </w:tr>
    </w:tbl>
    <w:p>
      <w:pPr>
        <w:spacing w:after="120" w:line="276"/>
      </w:pPr>
      <w:r>
        <w:rPr>
          <w:b/>
          <w:bCs/>
          <w:color w:val="0E7490"/>
          <w:sz w:val="21"/>
          <w:szCs w:val="21"/>
          <w:rFonts w:ascii="Segoe UI" w:cs="Segoe UI" w:eastAsia="Segoe UI" w:hAnsi="Segoe UI"/>
        </w:rPr>
        <w:t xml:space="preserve">Callout — cross-cutting safeguard: </w:t>
      </w:r>
      <w:r>
        <w:rPr>
          <w:color w:val="16263B"/>
          <w:sz w:val="21"/>
          <w:szCs w:val="21"/>
          <w:rFonts w:ascii="Segoe UI" w:cs="Segoe UI" w:eastAsia="Segoe UI" w:hAnsi="Segoe UI"/>
        </w:rPr>
        <w:t xml:space="preserve">The three architectural guarantees — idempotent, resumable, auditable — are the common mitigation thread. They turn “scary AI deploy” into “reviewable, reversible, traceable AI deploy.”</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Lead with the AI-destructive-action risk — it’s the one this audience worries about most, and we have the strongest answer: plan-then-approve plus idempotency. “The AI never does anything you didn’t see and approve, and if it half-finishes, re-running is safe.”</w:t>
      </w:r>
    </w:p>
    <w:p>
      <w:pPr>
        <w:shd w:fill="F7FAFC" w:val="clear"/>
        <w:spacing w:after="100" w:line="276"/>
      </w:pPr>
      <w:r>
        <w:rPr>
          <w:color w:val="16263B"/>
          <w:sz w:val="21"/>
          <w:szCs w:val="21"/>
          <w:rFonts w:ascii="Segoe UI" w:cs="Segoe UI" w:eastAsia="Segoe UI" w:hAnsi="Segoe UI"/>
        </w:rPr>
        <w:t xml:space="preserve">For the sync-conflict risk, the sequencing message matters: we are </w:t>
      </w:r>
      <w:r>
        <w:rPr>
          <w:i/>
          <w:iCs/>
          <w:color w:val="5B3FA3"/>
          <w:sz w:val="21"/>
          <w:szCs w:val="21"/>
          <w:rFonts w:ascii="Segoe UI" w:cs="Segoe UI" w:eastAsia="Segoe UI" w:hAnsi="Segoe UI"/>
        </w:rPr>
        <w:t xml:space="preserve">not</w:t>
      </w:r>
      <w:r>
        <w:rPr>
          <w:color w:val="16263B"/>
          <w:sz w:val="21"/>
          <w:szCs w:val="21"/>
          <w:rFonts w:ascii="Segoe UI" w:cs="Segoe UI" w:eastAsia="Segoe UI" w:hAnsi="Segoe UI"/>
        </w:rPr>
        <w:t xml:space="preserve"> attempting the hardest multi-user conflict case first. Clean ADO Connect scenario proves the contract, then we expand.</w:t>
      </w:r>
    </w:p>
    <w:p>
      <w:pPr>
        <w:shd w:fill="F7FAFC" w:val="clear"/>
        <w:spacing w:after="100" w:line="276"/>
      </w:pPr>
      <w:r>
        <w:rPr>
          <w:color w:val="16263B"/>
          <w:sz w:val="21"/>
          <w:szCs w:val="21"/>
          <w:rFonts w:ascii="Segoe UI" w:cs="Segoe UI" w:eastAsia="Segoe UI" w:hAnsi="Segoe UI"/>
        </w:rPr>
        <w:t xml:space="preserve">The confusion risk is half-technical, half-comms — that’s why the Docs/PM ask in Slide 8 is paired here. Likelihood/impact cells are editable placeholders; set them with the team’s real risk-scoring rubric.</w:t>
      </w:r>
    </w:p>
    <w:p>
      <w:pPr>
        <w:pStyle w:val="Heading2"/>
        <w:pBdr>
          <w:bottom w:val="single" w:color="0E7490" w:sz="6" w:space="4"/>
        </w:pBdr>
        <w:spacing w:before="360" w:after="120"/>
      </w:pPr>
      <w:r>
        <w:rPr>
          <w:b/>
          <w:bCs/>
          <w:color w:val="16263B"/>
          <w:sz w:val="30"/>
          <w:szCs w:val="30"/>
          <w:rFonts w:ascii="Segoe UI" w:cs="Segoe UI" w:eastAsia="Segoe UI" w:hAnsi="Segoe UI"/>
        </w:rPr>
        <w:t xml:space="preserve">Slide 10 · Closing — Summary</w:t>
      </w:r>
    </w:p>
    <w:p>
      <w:pPr>
        <w:spacing w:after="120" w:line="276"/>
      </w:pPr>
      <w:r>
        <w:rPr>
          <w:b/>
          <w:bCs/>
          <w:color w:val="0E7490"/>
          <w:sz w:val="21"/>
          <w:szCs w:val="21"/>
          <w:rFonts w:ascii="Segoe UI" w:cs="Segoe UI" w:eastAsia="Segoe UI" w:hAnsi="Segoe UI"/>
        </w:rPr>
        <w:t xml:space="preserve">Thesis (restated): </w:t>
      </w:r>
      <w:r>
        <w:rPr>
          <w:color w:val="16263B"/>
          <w:sz w:val="21"/>
          <w:szCs w:val="21"/>
          <w:rFonts w:ascii="Segoe UI" w:cs="Segoe UI" w:eastAsia="Segoe UI" w:hAnsi="Segoe UI"/>
        </w:rPr>
        <w:t xml:space="preserve">The </w:t>
      </w:r>
      <w:r>
        <w:rPr>
          <w:b/>
          <w:bCs/>
          <w:color w:val="16263B"/>
          <w:sz w:val="21"/>
          <w:szCs w:val="21"/>
          <w:rFonts w:ascii="Segoe UI" w:cs="Segoe UI" w:eastAsia="Segoe UI" w:hAnsi="Segoe UI"/>
        </w:rPr>
        <w:t xml:space="preserve">site</w:t>
      </w:r>
      <w:r>
        <w:rPr>
          <w:color w:val="16263B"/>
          <w:sz w:val="21"/>
          <w:szCs w:val="21"/>
          <w:rFonts w:ascii="Segoe UI" w:cs="Segoe UI" w:eastAsia="Segoe UI" w:hAnsi="Segoe UI"/>
        </w:rPr>
        <w:t xml:space="preserve"> is the unit of ALM; </w:t>
      </w:r>
      <w:r>
        <w:rPr>
          <w:b/>
          <w:bCs/>
          <w:color w:val="16263B"/>
          <w:sz w:val="21"/>
          <w:szCs w:val="21"/>
          <w:rFonts w:ascii="Segoe UI" w:cs="Segoe UI" w:eastAsia="Segoe UI" w:hAnsi="Segoe UI"/>
        </w:rPr>
        <w:t xml:space="preserve">Git</w:t>
      </w:r>
      <w:r>
        <w:rPr>
          <w:color w:val="16263B"/>
          <w:sz w:val="21"/>
          <w:szCs w:val="21"/>
          <w:rFonts w:ascii="Segoe UI" w:cs="Segoe UI" w:eastAsia="Segoe UI" w:hAnsi="Segoe UI"/>
        </w:rPr>
        <w:t xml:space="preserve"> is the unit of change; </w:t>
      </w:r>
      <w:r>
        <w:rPr>
          <w:b/>
          <w:bCs/>
          <w:color w:val="16263B"/>
          <w:sz w:val="21"/>
          <w:szCs w:val="21"/>
          <w:rFonts w:ascii="Segoe UI" w:cs="Segoe UI" w:eastAsia="Segoe UI" w:hAnsi="Segoe UI"/>
        </w:rPr>
        <w:t xml:space="preserve">AI</w:t>
      </w:r>
      <w:r>
        <w:rPr>
          <w:color w:val="16263B"/>
          <w:sz w:val="21"/>
          <w:szCs w:val="21"/>
          <w:rFonts w:ascii="Segoe UI" w:cs="Segoe UI" w:eastAsia="Segoe UI" w:hAnsi="Segoe UI"/>
        </w:rPr>
        <w:t xml:space="preserve"> is the orchestrator that removes the room to get it wrong. Reliability comes from </w:t>
      </w:r>
      <w:r>
        <w:rPr>
          <w:b/>
          <w:bCs/>
          <w:color w:val="16263B"/>
          <w:sz w:val="21"/>
          <w:szCs w:val="21"/>
          <w:rFonts w:ascii="Segoe UI" w:cs="Segoe UI" w:eastAsia="Segoe UI" w:hAnsi="Segoe UI"/>
        </w:rPr>
        <w:t xml:space="preserve">stabilizing</w:t>
      </w:r>
      <w:r>
        <w:rPr>
          <w:color w:val="16263B"/>
          <w:sz w:val="21"/>
          <w:szCs w:val="21"/>
          <w:rFonts w:ascii="Segoe UI" w:cs="Segoe UI" w:eastAsia="Segoe UI" w:hAnsi="Segoe UI"/>
        </w:rPr>
        <w:t xml:space="preserve"> the solution boundary, not shrinking it.</w:t>
      </w:r>
    </w:p>
    <w:p>
      <w:pPr>
        <w:spacing w:after="120" w:line="276"/>
      </w:pPr>
      <w:r>
        <w:rPr>
          <w:b/>
          <w:bCs/>
          <w:color w:val="0E7490"/>
          <w:sz w:val="21"/>
          <w:szCs w:val="21"/>
          <w:rFonts w:ascii="Segoe UI" w:cs="Segoe UI" w:eastAsia="Segoe UI" w:hAnsi="Segoe UI"/>
        </w:rPr>
        <w:t xml:space="preserve">You are here: </w:t>
      </w:r>
      <w:r>
        <w:rPr>
          <w:color w:val="16263B"/>
          <w:sz w:val="21"/>
          <w:szCs w:val="21"/>
          <w:rFonts w:ascii="Segoe UI" w:cs="Segoe UI" w:eastAsia="Segoe UI" w:hAnsi="Segoe UI"/>
        </w:rPr>
        <w:t xml:space="preserve">Jun 2026 — between Phase 0 (Jan 2026, done), Phase 1 (May 2026, done), the Phase 2+3 pair (Jul 2026, in progress), and Phase 4 (Directional).</w:t>
      </w:r>
    </w:p>
    <w:p>
      <w:pPr>
        <w:pStyle w:val="Heading3"/>
        <w:spacing w:before="200" w:after="80"/>
      </w:pPr>
      <w:r>
        <w:rPr>
          <w:b/>
          <w:bCs/>
          <w:color w:val="0E7490"/>
          <w:sz w:val="24"/>
          <w:szCs w:val="24"/>
          <w:rFonts w:ascii="Segoe UI" w:cs="Segoe UI" w:eastAsia="Segoe UI" w:hAnsi="Segoe UI"/>
        </w:rPr>
        <w:t xml:space="preserve">What shipped</w:t>
      </w:r>
    </w:p>
    <w:p>
      <w:pPr>
        <w:spacing w:after="120" w:line="276"/>
      </w:pPr>
      <w:r>
        <w:rPr>
          <w:color w:val="16263B"/>
          <w:sz w:val="21"/>
          <w:szCs w:val="21"/>
          <w:rFonts w:ascii="Segoe UI" w:cs="Segoe UI" w:eastAsia="Segoe UI" w:hAnsi="Segoe UI"/>
        </w:rPr>
        <w:t xml:space="preserve">Solution Explorer for Pages (Jan 2026) and the AI-first outer loop (May 2026). A maker can already go from “deploy Dev → Prod” intent to a validated production deployment — no PPAC click-throughs.</w:t>
      </w:r>
    </w:p>
    <w:p>
      <w:pPr>
        <w:pStyle w:val="Heading3"/>
        <w:spacing w:before="200" w:after="80"/>
      </w:pPr>
      <w:r>
        <w:rPr>
          <w:b/>
          <w:bCs/>
          <w:color w:val="0E7490"/>
          <w:sz w:val="24"/>
          <w:szCs w:val="24"/>
          <w:rFonts w:ascii="Segoe UI" w:cs="Segoe UI" w:eastAsia="Segoe UI" w:hAnsi="Segoe UI"/>
        </w:rPr>
        <w:t xml:space="preserve">What ships in July</w:t>
      </w:r>
    </w:p>
    <w:p>
      <w:pPr>
        <w:spacing w:after="120" w:line="276"/>
      </w:pPr>
      <w:r>
        <w:rPr>
          <w:color w:val="16263B"/>
          <w:sz w:val="21"/>
          <w:szCs w:val="21"/>
          <w:rFonts w:ascii="Segoe UI" w:cs="Segoe UI" w:eastAsia="Segoe UI" w:hAnsi="Segoe UI"/>
        </w:rPr>
        <w:t xml:space="preserve">Native Git for Pages (Git as source of truth, PR review, two-way sync) and the AI-first inner loop (branch → edit → validate → commit → PR), with the same idempotency guarantees as the outer loop.</w:t>
      </w:r>
    </w:p>
    <w:p>
      <w:pPr>
        <w:pStyle w:val="Heading3"/>
        <w:spacing w:before="200" w:after="80"/>
      </w:pPr>
      <w:r>
        <w:rPr>
          <w:b/>
          <w:bCs/>
          <w:color w:val="0E7490"/>
          <w:sz w:val="24"/>
          <w:szCs w:val="24"/>
          <w:rFonts w:ascii="Segoe UI" w:cs="Segoe UI" w:eastAsia="Segoe UI" w:hAnsi="Segoe UI"/>
        </w:rPr>
        <w:t xml:space="preserve">What it unlocks</w:t>
      </w:r>
    </w:p>
    <w:p>
      <w:pPr>
        <w:spacing w:after="120" w:line="276"/>
      </w:pPr>
      <w:r>
        <w:rPr>
          <w:color w:val="16263B"/>
          <w:sz w:val="21"/>
          <w:szCs w:val="21"/>
          <w:rFonts w:ascii="Segoe UI" w:cs="Segoe UI" w:eastAsia="Segoe UI" w:hAnsi="Segoe UI"/>
        </w:rPr>
        <w:t xml:space="preserve">Convergence: one end-to-end path — intent → orchestrator → Git PR → pipeline → managed upgrade → validation → rollback — plus enterprise governance. The path to enterprise-grade ALM.</w:t>
      </w:r>
    </w:p>
    <w:p>
      <w:pPr>
        <w:spacing w:after="120" w:line="276"/>
      </w:pPr>
      <w:r>
        <w:rPr>
          <w:b/>
          <w:bCs/>
          <w:color w:val="0E7490"/>
          <w:sz w:val="21"/>
          <w:szCs w:val="21"/>
          <w:rFonts w:ascii="Segoe UI" w:cs="Segoe UI" w:eastAsia="Segoe UI" w:hAnsi="Segoe UI"/>
        </w:rPr>
        <w:t xml:space="preserve">The ask: </w:t>
      </w:r>
      <w:r>
        <w:rPr>
          <w:color w:val="16263B"/>
          <w:sz w:val="21"/>
          <w:szCs w:val="21"/>
          <w:rFonts w:ascii="Segoe UI" w:cs="Segoe UI" w:eastAsia="Segoe UI" w:hAnsi="Segoe UI"/>
        </w:rPr>
        <w:t xml:space="preserve">Name owners against the five dependencies (Slide 8) so Phase 2/3 land on time and Phase 4 convergence can begin on a measured foundation.</w:t>
      </w:r>
    </w:p>
    <w:p>
      <w:pPr>
        <w:shd w:fill="EEF2F7" w:val="clear"/>
        <w:spacing w:before="200" w:after="60"/>
      </w:pPr>
      <w:r>
        <w:rPr>
          <w:b/>
          <w:bCs/>
          <w:color w:val="0E7490"/>
          <w:sz w:val="18"/>
          <w:szCs w:val="18"/>
          <w:rFonts w:ascii="Segoe UI" w:cs="Segoe UI" w:eastAsia="Segoe UI" w:hAnsi="Segoe UI"/>
        </w:rPr>
        <w:t xml:space="preserve">SPEAKER NOTES</w:t>
      </w:r>
    </w:p>
    <w:p>
      <w:pPr>
        <w:shd w:fill="F7FAFC" w:val="clear"/>
        <w:spacing w:after="100" w:line="276"/>
      </w:pPr>
      <w:r>
        <w:rPr>
          <w:color w:val="16263B"/>
          <w:sz w:val="21"/>
          <w:szCs w:val="21"/>
          <w:rFonts w:ascii="Segoe UI" w:cs="Segoe UI" w:eastAsia="Segoe UI" w:hAnsi="Segoe UI"/>
        </w:rPr>
        <w:t xml:space="preserve">Close by restating the thesis verbatim — bookend the deck. Then the three-sentence summary: shipped (outer loop), shipping July (Git + inner loop), unlocks (convergence → enterprise-grade ALM).</w:t>
      </w:r>
    </w:p>
    <w:p>
      <w:pPr>
        <w:shd w:fill="F7FAFC" w:val="clear"/>
        <w:spacing w:after="100" w:line="276"/>
      </w:pPr>
      <w:r>
        <w:rPr>
          <w:color w:val="16263B"/>
          <w:sz w:val="21"/>
          <w:szCs w:val="21"/>
          <w:rFonts w:ascii="Segoe UI" w:cs="Segoe UI" w:eastAsia="Segoe UI" w:hAnsi="Segoe UI"/>
        </w:rPr>
        <w:t xml:space="preserve">Point physically at the “you are here” marker — June 2026, between two GA’d phases and the July pair. The narrative is momentum: two done, two imminent, one directional.</w:t>
      </w:r>
    </w:p>
    <w:p>
      <w:pPr>
        <w:shd w:fill="F7FAFC" w:val="clear"/>
        <w:spacing w:after="100" w:line="276"/>
      </w:pPr>
      <w:r>
        <w:rPr>
          <w:color w:val="16263B"/>
          <w:sz w:val="21"/>
          <w:szCs w:val="21"/>
          <w:rFonts w:ascii="Segoe UI" w:cs="Segoe UI" w:eastAsia="Segoe UI" w:hAnsi="Segoe UI"/>
        </w:rPr>
        <w:t xml:space="preserve">End on the ask, not the vision. The single outcome that makes this meeting worth it is named owners against the Slide 8 dependencies. Drive to that.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6263B"/>
        <w:sz w:val="21"/>
        <w:szCs w:val="21"/>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Pages ALM — End-State Architecture &amp; Milestone Walkthrough</dc:title>
  <dc:creator>Nidhi Tyagi</dc:creator>
  <dc:description>Editing source document for the leadership presentation deck</dc:description>
  <cp:lastModifiedBy>Un-named</cp:lastModifiedBy>
  <cp:revision>1</cp:revision>
  <dcterms:created xsi:type="dcterms:W3CDTF">2026-06-08T10:31:18.271Z</dcterms:created>
  <dcterms:modified xsi:type="dcterms:W3CDTF">2026-06-08T10:31:18.271Z</dcterms:modified>
</cp:coreProperties>
</file>

<file path=docProps/custom.xml><?xml version="1.0" encoding="utf-8"?>
<Properties xmlns="http://schemas.openxmlformats.org/officeDocument/2006/custom-properties" xmlns:vt="http://schemas.openxmlformats.org/officeDocument/2006/docPropsVTypes"/>
</file>