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537963A4"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63363"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MS logo white - EMF"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60291"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618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A43C6B">
            <w:rPr>
              <w:lang w:val="fr-FR"/>
            </w:rPr>
            <w:t xml:space="preserve"> avec Microsoft Entra ID</w:t>
          </w:r>
          <w:r w:rsidR="00F95A5F" w:rsidRPr="00120E2A">
            <w:rPr>
              <w:lang w:val="fr-FR"/>
            </w:rPr>
            <w:t xml:space="preserve">   </w:t>
          </w:r>
        </w:p>
        <w:p w14:paraId="32A91000" w14:textId="5D6EEE9F"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Microsoft Entra </w:t>
          </w:r>
          <w:r w:rsidR="003621F5">
            <w:rPr>
              <w:rFonts w:eastAsia="Times New Roman"/>
              <w:color w:val="FFFFFF" w:themeColor="background1"/>
              <w:spacing w:val="0"/>
              <w:sz w:val="28"/>
              <w:szCs w:val="40"/>
              <w:lang w:val="fr-FR"/>
            </w:rPr>
            <w:t>Private Access</w:t>
          </w:r>
          <w:r w:rsidRPr="00120E2A">
            <w:rPr>
              <w:rFonts w:eastAsia="Times New Roman"/>
              <w:color w:val="FFFFFF" w:themeColor="background1"/>
              <w:spacing w:val="0"/>
              <w:sz w:val="28"/>
              <w:szCs w:val="40"/>
              <w:lang w:val="fr-FR"/>
            </w:rPr>
            <w:t xml:space="preserve"> 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60BEA29A"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CB6B9F">
            <w:rPr>
              <w:rFonts w:eastAsia="Times New Roman"/>
              <w:color w:val="FFFFFF" w:themeColor="background1"/>
              <w:sz w:val="32"/>
              <w:szCs w:val="44"/>
            </w:rPr>
            <w:t>4</w:t>
          </w:r>
          <w:r w:rsidR="00A14BC6">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A14BC6">
            <w:rPr>
              <w:rFonts w:eastAsia="Times New Roman"/>
              <w:color w:val="FFFFFF" w:themeColor="background1"/>
              <w:sz w:val="32"/>
              <w:szCs w:val="44"/>
            </w:rPr>
            <w:t>Septembre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0B398831" w14:textId="77777777" w:rsidR="00195FFE" w:rsidRDefault="00195FFE" w:rsidP="00195FFE">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t>.</w:t>
          </w:r>
        </w:p>
        <w:p w14:paraId="392A6A10" w14:textId="77777777" w:rsidR="00195FFE" w:rsidRPr="00F95A5F" w:rsidRDefault="00195FFE" w:rsidP="00195FFE"/>
        <w:p w14:paraId="2B33AC60" w14:textId="77777777" w:rsidR="00195FFE" w:rsidRDefault="00195FFE" w:rsidP="00195FFE">
          <w:r>
            <w:rPr>
              <w:noProof/>
            </w:rPr>
            <w:drawing>
              <wp:inline distT="0" distB="0" distL="0" distR="0" wp14:anchorId="1942C5E5" wp14:editId="31AE9A51">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8689A11" w14:textId="77777777" w:rsidR="00195FFE" w:rsidRPr="00195FFE" w:rsidRDefault="00195FFE" w:rsidP="00195FFE">
          <w:pPr>
            <w:rPr>
              <w:sz w:val="18"/>
              <w:szCs w:val="20"/>
            </w:rPr>
          </w:pPr>
          <w:r w:rsidRPr="00195FFE">
            <w:rPr>
              <w:sz w:val="18"/>
              <w:szCs w:val="20"/>
            </w:rPr>
            <w:t>Attribution 4.0 International (CC BY 4.0)</w:t>
          </w:r>
        </w:p>
        <w:p w14:paraId="5FEB6B0C" w14:textId="77777777" w:rsidR="00195FFE" w:rsidRPr="002D3DF3" w:rsidRDefault="00195FFE" w:rsidP="00195FFE">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65768259" w14:textId="77777777" w:rsidR="00195FFE" w:rsidRPr="002D3DF3" w:rsidRDefault="00195FFE" w:rsidP="00195FFE">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0E738C1E" w14:textId="77777777" w:rsidR="00195FFE" w:rsidRPr="002D3DF3" w:rsidRDefault="00195FFE" w:rsidP="00195FFE">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01D31113" w14:textId="77777777" w:rsidR="00195FFE" w:rsidRPr="002D3DF3" w:rsidRDefault="00195FFE" w:rsidP="00195FFE">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195FFE" w:rsidRDefault="007134E4" w:rsidP="00F95A5F"/>
        <w:p w14:paraId="0482F460" w14:textId="77777777" w:rsidR="007134E4" w:rsidRPr="00195FFE" w:rsidRDefault="007134E4" w:rsidP="00F95A5F"/>
        <w:p w14:paraId="2EE5CBE3" w14:textId="77777777" w:rsidR="007134E4" w:rsidRPr="00195FFE"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2275085F" w:rsidR="00120E2A" w:rsidRPr="00120E2A" w:rsidRDefault="00120E2A" w:rsidP="00120E2A">
      <w:pPr>
        <w:pageBreakBefore/>
        <w:spacing w:after="240" w:line="259" w:lineRule="auto"/>
        <w:jc w:val="left"/>
        <w:rPr>
          <w:rFonts w:ascii="Segoe UI Semibold" w:eastAsia="Calibri" w:hAnsi="Segoe UI Semibold" w:cs="Segoe UI Semibold"/>
          <w:color w:val="000000"/>
          <w:sz w:val="36"/>
          <w:szCs w:val="36"/>
          <w:lang w:val="en-US" w:eastAsia="fr-FR"/>
        </w:rPr>
      </w:pPr>
      <w:r w:rsidRPr="00120E2A">
        <w:rPr>
          <w:rFonts w:ascii="Segoe UI Semibold" w:eastAsia="Calibri" w:hAnsi="Segoe UI Semibold" w:cs="Segoe UI Semibold"/>
          <w:color w:val="000000"/>
          <w:sz w:val="36"/>
          <w:szCs w:val="36"/>
          <w:lang w:val="en-US" w:eastAsia="fr-FR"/>
        </w:rPr>
        <w:lastRenderedPageBreak/>
        <w:t>Content</w:t>
      </w:r>
    </w:p>
    <w:sdt>
      <w:sdtPr>
        <w:rPr>
          <w:rFonts w:eastAsia="Calibri"/>
          <w:b/>
          <w:noProof w:val="0"/>
          <w:szCs w:val="20"/>
          <w:lang w:val="en-US"/>
        </w:rPr>
        <w:id w:val="144112491"/>
        <w:docPartObj>
          <w:docPartGallery w:val="Table of Contents"/>
          <w:docPartUnique/>
        </w:docPartObj>
      </w:sdtPr>
      <w:sdtEndPr>
        <w:rPr>
          <w:b w:val="0"/>
          <w:color w:val="000000" w:themeColor="text1"/>
        </w:rPr>
      </w:sdtEndPr>
      <w:sdtContent>
        <w:p w14:paraId="21FA671F" w14:textId="515435C9" w:rsidR="00314A03" w:rsidRDefault="00120E2A">
          <w:pPr>
            <w:pStyle w:val="TM1"/>
            <w:rPr>
              <w:rFonts w:asciiTheme="minorHAnsi" w:eastAsiaTheme="minorEastAsia" w:hAnsiTheme="minorHAnsi" w:cstheme="minorBidi"/>
              <w:kern w:val="2"/>
              <w:sz w:val="24"/>
              <w:szCs w:val="24"/>
              <w:lang w:eastAsia="fr-FR"/>
              <w14:ligatures w14:val="standardContextual"/>
            </w:rPr>
          </w:pPr>
          <w:r w:rsidRPr="00195FFE">
            <w:rPr>
              <w:rFonts w:eastAsia="Calibri"/>
              <w:szCs w:val="20"/>
              <w:lang w:val="en-US"/>
            </w:rPr>
            <w:fldChar w:fldCharType="begin"/>
          </w:r>
          <w:r w:rsidRPr="00195FFE">
            <w:rPr>
              <w:rFonts w:eastAsia="Calibri"/>
              <w:szCs w:val="20"/>
              <w:lang w:val="en-US"/>
            </w:rPr>
            <w:instrText>TOC \o "1-2" \h \z \u</w:instrText>
          </w:r>
          <w:r w:rsidRPr="00195FFE">
            <w:rPr>
              <w:rFonts w:eastAsia="Calibri"/>
              <w:szCs w:val="20"/>
              <w:lang w:val="en-US"/>
            </w:rPr>
            <w:fldChar w:fldCharType="separate"/>
          </w:r>
          <w:hyperlink w:anchor="_Toc176967559" w:history="1">
            <w:r w:rsidR="00314A03" w:rsidRPr="00BB38D4">
              <w:rPr>
                <w:rStyle w:val="Lienhypertexte"/>
              </w:rPr>
              <w:t>1</w:t>
            </w:r>
            <w:r w:rsidR="00314A03">
              <w:rPr>
                <w:rFonts w:asciiTheme="minorHAnsi" w:eastAsiaTheme="minorEastAsia" w:hAnsiTheme="minorHAnsi" w:cstheme="minorBidi"/>
                <w:kern w:val="2"/>
                <w:sz w:val="24"/>
                <w:szCs w:val="24"/>
                <w:lang w:eastAsia="fr-FR"/>
                <w14:ligatures w14:val="standardContextual"/>
              </w:rPr>
              <w:tab/>
            </w:r>
            <w:r w:rsidR="00314A03" w:rsidRPr="00BB38D4">
              <w:rPr>
                <w:rStyle w:val="Lienhypertexte"/>
              </w:rPr>
              <w:t>Introduction</w:t>
            </w:r>
            <w:r w:rsidR="00314A03">
              <w:rPr>
                <w:webHidden/>
              </w:rPr>
              <w:tab/>
            </w:r>
            <w:r w:rsidR="00314A03">
              <w:rPr>
                <w:webHidden/>
              </w:rPr>
              <w:fldChar w:fldCharType="begin"/>
            </w:r>
            <w:r w:rsidR="00314A03">
              <w:rPr>
                <w:webHidden/>
              </w:rPr>
              <w:instrText xml:space="preserve"> PAGEREF _Toc176967559 \h </w:instrText>
            </w:r>
            <w:r w:rsidR="00314A03">
              <w:rPr>
                <w:webHidden/>
              </w:rPr>
            </w:r>
            <w:r w:rsidR="00314A03">
              <w:rPr>
                <w:webHidden/>
              </w:rPr>
              <w:fldChar w:fldCharType="separate"/>
            </w:r>
            <w:r w:rsidR="00314A03">
              <w:rPr>
                <w:webHidden/>
              </w:rPr>
              <w:t>5</w:t>
            </w:r>
            <w:r w:rsidR="00314A03">
              <w:rPr>
                <w:webHidden/>
              </w:rPr>
              <w:fldChar w:fldCharType="end"/>
            </w:r>
          </w:hyperlink>
        </w:p>
        <w:p w14:paraId="1E52C8E9" w14:textId="3C81C4E6" w:rsidR="00314A03" w:rsidRDefault="00314A03">
          <w:pPr>
            <w:pStyle w:val="TM2"/>
            <w:rPr>
              <w:rFonts w:asciiTheme="minorHAnsi" w:eastAsiaTheme="minorEastAsia" w:hAnsiTheme="minorHAnsi" w:cstheme="minorBidi"/>
              <w:kern w:val="2"/>
              <w:sz w:val="24"/>
              <w:szCs w:val="24"/>
              <w:lang w:eastAsia="fr-FR"/>
              <w14:ligatures w14:val="standardContextual"/>
            </w:rPr>
          </w:pPr>
          <w:hyperlink w:anchor="_Toc176967560" w:history="1">
            <w:r w:rsidRPr="00BB38D4">
              <w:rPr>
                <w:rStyle w:val="Lienhypertexte"/>
              </w:rPr>
              <w:t>1.1</w:t>
            </w:r>
            <w:r>
              <w:rPr>
                <w:rFonts w:asciiTheme="minorHAnsi" w:eastAsiaTheme="minorEastAsia" w:hAnsiTheme="minorHAnsi" w:cstheme="minorBidi"/>
                <w:kern w:val="2"/>
                <w:sz w:val="24"/>
                <w:szCs w:val="24"/>
                <w:lang w:eastAsia="fr-FR"/>
                <w14:ligatures w14:val="standardContextual"/>
              </w:rPr>
              <w:tab/>
            </w:r>
            <w:r w:rsidRPr="00BB38D4">
              <w:rPr>
                <w:rStyle w:val="Lienhypertexte"/>
              </w:rPr>
              <w:t>Objectifs du guide</w:t>
            </w:r>
            <w:r>
              <w:rPr>
                <w:webHidden/>
              </w:rPr>
              <w:tab/>
            </w:r>
            <w:r>
              <w:rPr>
                <w:webHidden/>
              </w:rPr>
              <w:fldChar w:fldCharType="begin"/>
            </w:r>
            <w:r>
              <w:rPr>
                <w:webHidden/>
              </w:rPr>
              <w:instrText xml:space="preserve"> PAGEREF _Toc176967560 \h </w:instrText>
            </w:r>
            <w:r>
              <w:rPr>
                <w:webHidden/>
              </w:rPr>
            </w:r>
            <w:r>
              <w:rPr>
                <w:webHidden/>
              </w:rPr>
              <w:fldChar w:fldCharType="separate"/>
            </w:r>
            <w:r>
              <w:rPr>
                <w:webHidden/>
              </w:rPr>
              <w:t>5</w:t>
            </w:r>
            <w:r>
              <w:rPr>
                <w:webHidden/>
              </w:rPr>
              <w:fldChar w:fldCharType="end"/>
            </w:r>
          </w:hyperlink>
        </w:p>
        <w:p w14:paraId="68F25268" w14:textId="5632249E" w:rsidR="00314A03" w:rsidRDefault="00314A03">
          <w:pPr>
            <w:pStyle w:val="TM2"/>
            <w:rPr>
              <w:rFonts w:asciiTheme="minorHAnsi" w:eastAsiaTheme="minorEastAsia" w:hAnsiTheme="minorHAnsi" w:cstheme="minorBidi"/>
              <w:kern w:val="2"/>
              <w:sz w:val="24"/>
              <w:szCs w:val="24"/>
              <w:lang w:eastAsia="fr-FR"/>
              <w14:ligatures w14:val="standardContextual"/>
            </w:rPr>
          </w:pPr>
          <w:hyperlink w:anchor="_Toc176967561" w:history="1">
            <w:r w:rsidRPr="00BB38D4">
              <w:rPr>
                <w:rStyle w:val="Lienhypertexte"/>
              </w:rPr>
              <w:t>1.2</w:t>
            </w:r>
            <w:r>
              <w:rPr>
                <w:rFonts w:asciiTheme="minorHAnsi" w:eastAsiaTheme="minorEastAsia" w:hAnsiTheme="minorHAnsi" w:cstheme="minorBidi"/>
                <w:kern w:val="2"/>
                <w:sz w:val="24"/>
                <w:szCs w:val="24"/>
                <w:lang w:eastAsia="fr-FR"/>
                <w14:ligatures w14:val="standardContextual"/>
              </w:rPr>
              <w:tab/>
            </w:r>
            <w:r w:rsidRPr="00BB38D4">
              <w:rPr>
                <w:rStyle w:val="Lienhypertexte"/>
              </w:rPr>
              <w:t>Non-objectifs du guide</w:t>
            </w:r>
            <w:r>
              <w:rPr>
                <w:webHidden/>
              </w:rPr>
              <w:tab/>
            </w:r>
            <w:r>
              <w:rPr>
                <w:webHidden/>
              </w:rPr>
              <w:fldChar w:fldCharType="begin"/>
            </w:r>
            <w:r>
              <w:rPr>
                <w:webHidden/>
              </w:rPr>
              <w:instrText xml:space="preserve"> PAGEREF _Toc176967561 \h </w:instrText>
            </w:r>
            <w:r>
              <w:rPr>
                <w:webHidden/>
              </w:rPr>
            </w:r>
            <w:r>
              <w:rPr>
                <w:webHidden/>
              </w:rPr>
              <w:fldChar w:fldCharType="separate"/>
            </w:r>
            <w:r>
              <w:rPr>
                <w:webHidden/>
              </w:rPr>
              <w:t>6</w:t>
            </w:r>
            <w:r>
              <w:rPr>
                <w:webHidden/>
              </w:rPr>
              <w:fldChar w:fldCharType="end"/>
            </w:r>
          </w:hyperlink>
        </w:p>
        <w:p w14:paraId="33504FBA" w14:textId="7D0B07E7" w:rsidR="00314A03" w:rsidRDefault="00314A03">
          <w:pPr>
            <w:pStyle w:val="TM1"/>
            <w:rPr>
              <w:rFonts w:asciiTheme="minorHAnsi" w:eastAsiaTheme="minorEastAsia" w:hAnsiTheme="minorHAnsi" w:cstheme="minorBidi"/>
              <w:kern w:val="2"/>
              <w:sz w:val="24"/>
              <w:szCs w:val="24"/>
              <w:lang w:eastAsia="fr-FR"/>
              <w14:ligatures w14:val="standardContextual"/>
            </w:rPr>
          </w:pPr>
          <w:hyperlink w:anchor="_Toc176967562" w:history="1">
            <w:r w:rsidRPr="00BB38D4">
              <w:rPr>
                <w:rStyle w:val="Lienhypertexte"/>
              </w:rPr>
              <w:t>2</w:t>
            </w:r>
            <w:r>
              <w:rPr>
                <w:rFonts w:asciiTheme="minorHAnsi" w:eastAsiaTheme="minorEastAsia" w:hAnsiTheme="minorHAnsi" w:cstheme="minorBidi"/>
                <w:kern w:val="2"/>
                <w:sz w:val="24"/>
                <w:szCs w:val="24"/>
                <w:lang w:eastAsia="fr-FR"/>
                <w14:ligatures w14:val="standardContextual"/>
              </w:rPr>
              <w:tab/>
            </w:r>
            <w:r w:rsidRPr="00BB38D4">
              <w:rPr>
                <w:rStyle w:val="Lienhypertexte"/>
              </w:rPr>
              <w:t>TBD</w:t>
            </w:r>
            <w:r>
              <w:rPr>
                <w:webHidden/>
              </w:rPr>
              <w:tab/>
            </w:r>
            <w:r>
              <w:rPr>
                <w:webHidden/>
              </w:rPr>
              <w:fldChar w:fldCharType="begin"/>
            </w:r>
            <w:r>
              <w:rPr>
                <w:webHidden/>
              </w:rPr>
              <w:instrText xml:space="preserve"> PAGEREF _Toc176967562 \h </w:instrText>
            </w:r>
            <w:r>
              <w:rPr>
                <w:webHidden/>
              </w:rPr>
            </w:r>
            <w:r>
              <w:rPr>
                <w:webHidden/>
              </w:rPr>
              <w:fldChar w:fldCharType="separate"/>
            </w:r>
            <w:r>
              <w:rPr>
                <w:webHidden/>
              </w:rPr>
              <w:t>7</w:t>
            </w:r>
            <w:r>
              <w:rPr>
                <w:webHidden/>
              </w:rPr>
              <w:fldChar w:fldCharType="end"/>
            </w:r>
          </w:hyperlink>
        </w:p>
        <w:p w14:paraId="2B0F5449" w14:textId="27E2E387" w:rsidR="00314A03" w:rsidRDefault="00314A03">
          <w:pPr>
            <w:pStyle w:val="TM2"/>
            <w:rPr>
              <w:rFonts w:asciiTheme="minorHAnsi" w:eastAsiaTheme="minorEastAsia" w:hAnsiTheme="minorHAnsi" w:cstheme="minorBidi"/>
              <w:kern w:val="2"/>
              <w:sz w:val="24"/>
              <w:szCs w:val="24"/>
              <w:lang w:eastAsia="fr-FR"/>
              <w14:ligatures w14:val="standardContextual"/>
            </w:rPr>
          </w:pPr>
          <w:hyperlink w:anchor="_Toc176967563" w:history="1">
            <w:r w:rsidRPr="00BB38D4">
              <w:rPr>
                <w:rStyle w:val="Lienhypertexte"/>
              </w:rPr>
              <w:t>2.1</w:t>
            </w:r>
            <w:r>
              <w:rPr>
                <w:rFonts w:asciiTheme="minorHAnsi" w:eastAsiaTheme="minorEastAsia" w:hAnsiTheme="minorHAnsi" w:cstheme="minorBidi"/>
                <w:kern w:val="2"/>
                <w:sz w:val="24"/>
                <w:szCs w:val="24"/>
                <w:lang w:eastAsia="fr-FR"/>
                <w14:ligatures w14:val="standardContextual"/>
              </w:rPr>
              <w:tab/>
            </w:r>
            <w:r w:rsidRPr="00BB38D4">
              <w:rPr>
                <w:rStyle w:val="Lienhypertexte"/>
              </w:rPr>
              <w:t>TBD</w:t>
            </w:r>
            <w:r>
              <w:rPr>
                <w:webHidden/>
              </w:rPr>
              <w:tab/>
            </w:r>
            <w:r>
              <w:rPr>
                <w:webHidden/>
              </w:rPr>
              <w:fldChar w:fldCharType="begin"/>
            </w:r>
            <w:r>
              <w:rPr>
                <w:webHidden/>
              </w:rPr>
              <w:instrText xml:space="preserve"> PAGEREF _Toc176967563 \h </w:instrText>
            </w:r>
            <w:r>
              <w:rPr>
                <w:webHidden/>
              </w:rPr>
            </w:r>
            <w:r>
              <w:rPr>
                <w:webHidden/>
              </w:rPr>
              <w:fldChar w:fldCharType="separate"/>
            </w:r>
            <w:r>
              <w:rPr>
                <w:webHidden/>
              </w:rPr>
              <w:t>7</w:t>
            </w:r>
            <w:r>
              <w:rPr>
                <w:webHidden/>
              </w:rPr>
              <w:fldChar w:fldCharType="end"/>
            </w:r>
          </w:hyperlink>
        </w:p>
        <w:p w14:paraId="56751045" w14:textId="06213377" w:rsidR="007134E4" w:rsidRPr="00195FFE" w:rsidRDefault="00120E2A" w:rsidP="00120E2A">
          <w:pPr>
            <w:rPr>
              <w:color w:val="000000" w:themeColor="text1"/>
            </w:rPr>
          </w:pPr>
          <w:r w:rsidRPr="00195FFE">
            <w:rPr>
              <w:rFonts w:eastAsia="Calibri"/>
              <w:szCs w:val="20"/>
              <w:lang w:val="en-US"/>
            </w:rPr>
            <w:fldChar w:fldCharType="end"/>
          </w:r>
        </w:p>
      </w:sdtContent>
    </w:sdt>
    <w:p w14:paraId="63FDFB0F" w14:textId="77777777" w:rsidR="007134E4" w:rsidRPr="00F95A5F" w:rsidRDefault="007134E4" w:rsidP="00DB75EC">
      <w:pPr>
        <w:pStyle w:val="Titre1"/>
      </w:pPr>
      <w:bookmarkStart w:id="0" w:name="_Toc152172699"/>
      <w:bookmarkStart w:id="1" w:name="_Toc176967559"/>
      <w:r w:rsidRPr="00DB75EC">
        <w:lastRenderedPageBreak/>
        <w:t>Introduction</w:t>
      </w:r>
      <w:bookmarkEnd w:id="0"/>
      <w:bookmarkEnd w:id="1"/>
    </w:p>
    <w:p w14:paraId="04B3D3F2" w14:textId="77777777" w:rsidR="00195FFE" w:rsidRPr="00DC13CA" w:rsidRDefault="00195FFE" w:rsidP="00391580">
      <w:pPr>
        <w:spacing w:before="120"/>
        <w:jc w:val="left"/>
        <w:rPr>
          <w:rFonts w:eastAsia="Arial" w:cs="Arial"/>
        </w:rPr>
      </w:pPr>
      <w:bookmarkStart w:id="2" w:name="_Toc152172701"/>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01D69088" w14:textId="77777777" w:rsidR="00195FFE" w:rsidRPr="00DC13CA" w:rsidRDefault="00195FFE" w:rsidP="00391580">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1F736BED" w14:textId="77777777" w:rsidR="00195FFE" w:rsidRPr="00DC13CA" w:rsidRDefault="00195FFE" w:rsidP="00391580">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2A00379F" w14:textId="77777777" w:rsidR="00195FFE" w:rsidRDefault="00195FFE" w:rsidP="00391580">
      <w:pPr>
        <w:pStyle w:val="Paragraphedeliste"/>
        <w:numPr>
          <w:ilvl w:val="0"/>
          <w:numId w:val="5"/>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6562950B" w14:textId="77777777" w:rsidR="00195FFE" w:rsidRPr="00DC13CA" w:rsidRDefault="00195FFE" w:rsidP="00391580">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1FCAF60" w14:textId="77777777" w:rsidR="00195FFE" w:rsidRPr="00DC13CA" w:rsidRDefault="00195FFE" w:rsidP="00391580">
      <w:pPr>
        <w:pStyle w:val="Paragraphedeliste"/>
        <w:numPr>
          <w:ilvl w:val="0"/>
          <w:numId w:val="5"/>
        </w:numPr>
        <w:jc w:val="left"/>
      </w:pPr>
      <w:r w:rsidRPr="00DC13CA">
        <w:t>Un engagement de leurs utilisateurs, familiers de ce mode d’identification électronique commun à de nombreux services ;</w:t>
      </w:r>
    </w:p>
    <w:p w14:paraId="25E0AA54" w14:textId="77777777" w:rsidR="00195FFE" w:rsidRPr="00DC13CA" w:rsidRDefault="00195FFE" w:rsidP="00391580">
      <w:pPr>
        <w:pStyle w:val="Paragraphedeliste"/>
        <w:numPr>
          <w:ilvl w:val="0"/>
          <w:numId w:val="5"/>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13F1BC32" w14:textId="77777777" w:rsidR="00EF3312" w:rsidRDefault="00195FFE" w:rsidP="00EF3312">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Pr>
          <w:rFonts w:cs="Arial"/>
        </w:rPr>
        <w:t xml:space="preserve">permet la délégation </w:t>
      </w:r>
      <w:r w:rsidRPr="00DC13CA">
        <w:rPr>
          <w:rFonts w:cs="Arial"/>
        </w:rPr>
        <w:t>de l’authentification auprès d</w:t>
      </w:r>
      <w:r>
        <w:rPr>
          <w:rFonts w:cs="Arial"/>
        </w:rPr>
        <w:t xml:space="preserve">e fournisseurs d’identités (FI) tiers. </w:t>
      </w:r>
      <w:r w:rsidR="00EF3312">
        <w:rPr>
          <w:rFonts w:cs="Arial"/>
        </w:rPr>
        <w:t xml:space="preserve">Pour plus d’informations, nous invitons le lectorat à consulter le </w:t>
      </w:r>
      <w:r w:rsidR="00EF3312" w:rsidRPr="00CA7658">
        <w:rPr>
          <w:rFonts w:ascii="Segoe UI Semibold" w:hAnsi="Segoe UI Semibold" w:cs="Segoe UI Semibold"/>
          <w:u w:val="single"/>
        </w:rPr>
        <w:t>Portail Industriels de l’ANS</w:t>
      </w:r>
      <w:r w:rsidR="00EF3312">
        <w:rPr>
          <w:rFonts w:cs="Arial"/>
        </w:rPr>
        <w:t xml:space="preserve"> : </w:t>
      </w:r>
    </w:p>
    <w:p w14:paraId="3BCD831C" w14:textId="77777777" w:rsidR="00EF3312" w:rsidRDefault="00EF3312" w:rsidP="00EF3312">
      <w:pPr>
        <w:pStyle w:val="Paragraphedeliste"/>
        <w:numPr>
          <w:ilvl w:val="0"/>
          <w:numId w:val="7"/>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62BA4CF" w14:textId="5E450B03" w:rsidR="00EF3312" w:rsidRDefault="00EF3312" w:rsidP="00EF3312">
      <w:pPr>
        <w:pStyle w:val="Paragraphedeliste"/>
        <w:numPr>
          <w:ilvl w:val="0"/>
          <w:numId w:val="7"/>
        </w:numPr>
        <w:jc w:val="left"/>
        <w:rPr>
          <w:rFonts w:cs="Arial"/>
        </w:rPr>
      </w:pPr>
      <w:r>
        <w:rPr>
          <w:rFonts w:cs="Arial"/>
        </w:rPr>
        <w:t xml:space="preserve">Liste des fournisseurs d’identités déjà supportés par Pro Santé Connect : </w:t>
      </w:r>
      <w:hyperlink r:id="rId19" w:history="1">
        <w:r w:rsidRPr="00885A21">
          <w:rPr>
            <w:rStyle w:val="Lienhypertexte"/>
            <w:rFonts w:cs="Arial"/>
          </w:rPr>
          <w:t>https://industriels.esante.gouv.fr/produits-et-services/pro-sante-connect/documentation-technique-idp-externe</w:t>
        </w:r>
      </w:hyperlink>
      <w:r w:rsidR="00314A03" w:rsidRPr="00314A03">
        <w:rPr>
          <w:rStyle w:val="Lienhypertexte"/>
          <w:rFonts w:cs="Arial"/>
          <w:u w:val="none"/>
        </w:rPr>
        <w:t xml:space="preserve"> </w:t>
      </w:r>
      <w:r w:rsidR="00314A03">
        <w:rPr>
          <w:rFonts w:cs="Arial"/>
        </w:rPr>
        <w:t>;</w:t>
      </w:r>
    </w:p>
    <w:p w14:paraId="1DE355A1" w14:textId="27535A1C" w:rsidR="00314A03" w:rsidRPr="002A6418" w:rsidRDefault="00314A03" w:rsidP="00EF3312">
      <w:pPr>
        <w:pStyle w:val="Paragraphedeliste"/>
        <w:numPr>
          <w:ilvl w:val="0"/>
          <w:numId w:val="7"/>
        </w:numPr>
        <w:jc w:val="left"/>
        <w:rPr>
          <w:rFonts w:cs="Arial"/>
        </w:rPr>
      </w:pPr>
      <w:r w:rsidRPr="00314A03">
        <w:rPr>
          <w:rFonts w:cs="Arial"/>
        </w:rPr>
        <w:t>Travaux en cours</w:t>
      </w:r>
      <w:r>
        <w:rPr>
          <w:rFonts w:cs="Arial"/>
        </w:rPr>
        <w:t xml:space="preserve"> : </w:t>
      </w:r>
      <w:hyperlink r:id="rId20" w:history="1">
        <w:r w:rsidRPr="003D104D">
          <w:rPr>
            <w:rStyle w:val="Lienhypertexte"/>
            <w:rFonts w:cs="Arial"/>
          </w:rPr>
          <w:t>https://industriels.esante.gouv.fr/produits-et-services/pro-sante-connect/travaux-en-cours</w:t>
        </w:r>
      </w:hyperlink>
      <w:r>
        <w:rPr>
          <w:rFonts w:cs="Arial"/>
        </w:rPr>
        <w:t>.</w:t>
      </w:r>
    </w:p>
    <w:p w14:paraId="2C23B51B" w14:textId="51550B76" w:rsidR="00195FFE" w:rsidRDefault="00195FFE" w:rsidP="00391580">
      <w:pPr>
        <w:jc w:val="left"/>
        <w:rPr>
          <w:rFonts w:cs="Arial"/>
        </w:rPr>
      </w:pPr>
      <w:r>
        <w:rPr>
          <w:rFonts w:cs="Arial"/>
        </w:rPr>
        <w:t>Une telle mise en œuvre et les capacités nouvelles ainsi proposées constituent un premier niveau de livrable du projet Pro Santé Connect sans couture</w:t>
      </w:r>
      <w:r w:rsidRPr="00DC13CA">
        <w:rPr>
          <w:rFonts w:cs="Arial"/>
        </w:rPr>
        <w:t>.</w:t>
      </w:r>
      <w:r>
        <w:rPr>
          <w:rFonts w:cs="Arial"/>
        </w:rPr>
        <w:t xml:space="preserve"> </w:t>
      </w:r>
    </w:p>
    <w:p w14:paraId="3983FFC3" w14:textId="77777777" w:rsidR="00195FFE" w:rsidRDefault="00195FFE" w:rsidP="00195FFE">
      <w:pPr>
        <w:pStyle w:val="Titre2"/>
      </w:pPr>
      <w:bookmarkStart w:id="3" w:name="_Toc155878556"/>
      <w:bookmarkStart w:id="4" w:name="_Toc176967560"/>
      <w:r w:rsidRPr="00CF240D">
        <w:t>Obje</w:t>
      </w:r>
      <w:r>
        <w:t>c</w:t>
      </w:r>
      <w:r w:rsidRPr="00CF240D">
        <w:t>t</w:t>
      </w:r>
      <w:r>
        <w:t>ifs</w:t>
      </w:r>
      <w:r w:rsidRPr="00CF240D">
        <w:t xml:space="preserve"> du </w:t>
      </w:r>
      <w:r>
        <w:t>guide</w:t>
      </w:r>
      <w:bookmarkEnd w:id="3"/>
      <w:bookmarkEnd w:id="4"/>
    </w:p>
    <w:p w14:paraId="17F7B921" w14:textId="7395639A" w:rsidR="00195FFE" w:rsidRPr="00592F30" w:rsidRDefault="00195FFE" w:rsidP="00391580">
      <w:pPr>
        <w:jc w:val="left"/>
        <w:rPr>
          <w:lang w:eastAsia="fr-FR"/>
        </w:rPr>
      </w:pPr>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(anciennement connu sous le nom d’Azure AD) autorise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depuis une session ouverte depuis une session de terminal Windows pour l’accès à une application ou un service numérique déléguant l’authentification à PSC.</w:t>
      </w:r>
    </w:p>
    <w:p w14:paraId="1585DFF0" w14:textId="77777777" w:rsidR="00195FFE" w:rsidRDefault="00195FFE" w:rsidP="00391580">
      <w:pPr>
        <w:jc w:val="left"/>
        <w:rPr>
          <w:rFonts w:cs="Arial"/>
        </w:rPr>
      </w:pPr>
      <w:r w:rsidRPr="00DC13CA">
        <w:rPr>
          <w:rFonts w:cs="Arial"/>
        </w:rPr>
        <w:t>L’obje</w:t>
      </w:r>
      <w:r>
        <w:rPr>
          <w:rFonts w:cs="Arial"/>
        </w:rPr>
        <w:t>c</w:t>
      </w:r>
      <w:r w:rsidRPr="00DC13CA">
        <w:rPr>
          <w:rFonts w:cs="Arial"/>
        </w:rPr>
        <w:t>t</w:t>
      </w:r>
      <w:r>
        <w:rPr>
          <w:rFonts w:cs="Arial"/>
        </w:rPr>
        <w:t>if</w:t>
      </w:r>
      <w:r w:rsidRPr="00DC13CA">
        <w:rPr>
          <w:rFonts w:cs="Arial"/>
        </w:rPr>
        <w:t xml:space="preserve"> de ce </w:t>
      </w:r>
      <w:r>
        <w:rPr>
          <w:rFonts w:cs="Arial"/>
        </w:rPr>
        <w:t>guide est d’expliciter la configuration permettant une telle expérience ainsi que les prérequis éventuels associés.</w:t>
      </w:r>
    </w:p>
    <w:p w14:paraId="4BECAF76" w14:textId="77777777" w:rsidR="00195FFE" w:rsidRDefault="00195FFE" w:rsidP="00195FFE">
      <w:pPr>
        <w:pStyle w:val="Titre2"/>
      </w:pPr>
      <w:bookmarkStart w:id="5" w:name="_Toc155876914"/>
      <w:bookmarkStart w:id="6" w:name="_Toc155878557"/>
      <w:bookmarkStart w:id="7" w:name="_Toc176967561"/>
      <w:r w:rsidRPr="00FA6450">
        <w:lastRenderedPageBreak/>
        <w:t xml:space="preserve">Non-objectifs du </w:t>
      </w:r>
      <w:bookmarkEnd w:id="5"/>
      <w:r>
        <w:t>guide</w:t>
      </w:r>
      <w:bookmarkEnd w:id="6"/>
      <w:bookmarkEnd w:id="7"/>
    </w:p>
    <w:p w14:paraId="52142153" w14:textId="77777777" w:rsidR="00195FFE" w:rsidRDefault="00195FFE" w:rsidP="00391580">
      <w:pPr>
        <w:jc w:val="left"/>
        <w:rPr>
          <w:rFonts w:cs="Arial"/>
        </w:rPr>
      </w:pPr>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5028925" w14:textId="518F45EC" w:rsidR="00CB6B9F" w:rsidRDefault="00C534FF" w:rsidP="00391580">
      <w:pPr>
        <w:jc w:val="left"/>
        <w:rPr>
          <w:rFonts w:cs="Arial"/>
        </w:rPr>
      </w:pPr>
      <w:r>
        <w:rPr>
          <w:rFonts w:cs="Arial"/>
        </w:rPr>
        <w:t>Cela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Pr>
          <w:rFonts w:cs="Arial"/>
        </w:rPr>
        <w:t xml:space="preserve"> </w:t>
      </w:r>
      <w:r w:rsidR="00CB6B9F">
        <w:rPr>
          <w:rFonts w:cs="Arial"/>
        </w:rPr>
        <w:t xml:space="preserve">(et ultérieur) </w:t>
      </w:r>
      <w:r>
        <w:rPr>
          <w:rFonts w:cs="Arial"/>
        </w:rPr>
        <w:t>est couverte dans</w:t>
      </w:r>
      <w:r w:rsidR="00CB6B9F">
        <w:rPr>
          <w:rFonts w:cs="Arial"/>
        </w:rPr>
        <w:t xml:space="preserve"> les guides suivants : </w:t>
      </w:r>
    </w:p>
    <w:p w14:paraId="7D544B18"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des cartes CPx à destination des établissements de santé </w:t>
      </w:r>
      <w:r>
        <w:rPr>
          <w:rFonts w:cs="Arial"/>
        </w:rPr>
        <w:t>;</w:t>
      </w:r>
    </w:p>
    <w:p w14:paraId="25D1E543"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des clés de sécurité FIDO2 à destination des établissements de santé</w:t>
      </w:r>
      <w:r>
        <w:rPr>
          <w:rFonts w:cs="Arial"/>
        </w:rPr>
        <w:t> ;</w:t>
      </w:r>
    </w:p>
    <w:p w14:paraId="0054F377"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des Microsoft Authenticator à destination des établissements de santé </w:t>
      </w:r>
      <w:r>
        <w:rPr>
          <w:rFonts w:cs="Arial"/>
        </w:rPr>
        <w:t>;</w:t>
      </w:r>
    </w:p>
    <w:p w14:paraId="560CD194" w14:textId="77777777" w:rsidR="00CB6B9F" w:rsidRDefault="00CB6B9F" w:rsidP="00391580">
      <w:pPr>
        <w:pStyle w:val="Paragraphedeliste"/>
        <w:numPr>
          <w:ilvl w:val="0"/>
          <w:numId w:val="6"/>
        </w:numPr>
        <w:jc w:val="left"/>
        <w:rPr>
          <w:rFonts w:cs="Arial"/>
        </w:rPr>
      </w:pPr>
      <w:r>
        <w:rPr>
          <w:rFonts w:ascii="Segoe UI Semibold" w:hAnsi="Segoe UI Semibold" w:cs="Segoe UI Semibold"/>
        </w:rPr>
        <w:t>Guide de configuration de Windows Hello Entreprise à destination des établissements de santé</w:t>
      </w:r>
      <w:r>
        <w:rPr>
          <w:rFonts w:cs="Arial"/>
        </w:rPr>
        <w:t xml:space="preserve">. </w:t>
      </w:r>
    </w:p>
    <w:p w14:paraId="31A2F279" w14:textId="7094E62C" w:rsidR="00C534FF" w:rsidRDefault="00CB6B9F" w:rsidP="00391580">
      <w:pPr>
        <w:jc w:val="left"/>
        <w:rPr>
          <w:rFonts w:cs="Arial"/>
        </w:rPr>
      </w:pPr>
      <w:r>
        <w:rPr>
          <w:rFonts w:cs="Arial"/>
        </w:rPr>
        <w:t>Nous invitons le lectorat à s’y reporter.</w:t>
      </w:r>
    </w:p>
    <w:p w14:paraId="533CDDEE" w14:textId="77777777" w:rsidR="00C534FF" w:rsidRDefault="00C534FF" w:rsidP="00391580">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pour cette navigation sans couture ne font pas partie du cadre minimum défini par l’ANS, ceux-ci sont néanmoins couverts dans ce même guide. </w:t>
      </w:r>
      <w:r>
        <w:rPr>
          <w:rFonts w:cs="Arial"/>
        </w:rPr>
        <w:t>Nous invitons le lectorat à s’y reporter.</w:t>
      </w:r>
    </w:p>
    <w:p w14:paraId="2A6BE82B" w14:textId="77777777" w:rsidR="000F0513" w:rsidRDefault="00C534FF" w:rsidP="00391580">
      <w:pPr>
        <w:jc w:val="left"/>
        <w:rPr>
          <w:rFonts w:cs="Arial"/>
        </w:rPr>
      </w:pPr>
      <w:r>
        <w:rPr>
          <w:rFonts w:cs="Arial"/>
        </w:rPr>
        <w:t xml:space="preserve">Enfin, </w:t>
      </w:r>
      <w:r w:rsidR="000F0513">
        <w:rPr>
          <w:rFonts w:cs="Arial"/>
        </w:rPr>
        <w:t>l’accès à PSC depuis une session Entra ID ouverte avec un MIE conforme, est permis au travers d’un accès conditionnel afin d’assurer le</w:t>
      </w:r>
      <w:r w:rsidR="000F0513">
        <w:t xml:space="preserve"> respect d’un ensemble d’exigences comme la force d’authentification requise. Un tel accès conditionnel est indépendant de la configuration de la navigation sans couture.</w:t>
      </w:r>
    </w:p>
    <w:p w14:paraId="694F56B9" w14:textId="13FBBA28" w:rsidR="00195FFE" w:rsidRPr="00E842D7" w:rsidRDefault="000F0513" w:rsidP="00391580">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195FFE">
        <w:rPr>
          <w:rFonts w:cs="Arial"/>
        </w:rPr>
        <w:t>.</w:t>
      </w:r>
    </w:p>
    <w:p w14:paraId="2E8F5785" w14:textId="77777777" w:rsidR="00195FFE" w:rsidRDefault="00195FFE" w:rsidP="00DB75EC">
      <w:pPr>
        <w:pStyle w:val="Titre1"/>
      </w:pPr>
      <w:bookmarkStart w:id="8" w:name="_Toc176967562"/>
      <w:bookmarkEnd w:id="2"/>
      <w:r>
        <w:lastRenderedPageBreak/>
        <w:t>TBD</w:t>
      </w:r>
      <w:bookmarkEnd w:id="8"/>
    </w:p>
    <w:p w14:paraId="17A6D12F" w14:textId="77777777" w:rsidR="00195FFE" w:rsidRDefault="00195FFE" w:rsidP="00195FFE">
      <w:pPr>
        <w:pStyle w:val="Titre2"/>
      </w:pPr>
      <w:bookmarkStart w:id="9" w:name="_Toc176967563"/>
      <w:r>
        <w:t>TBD</w:t>
      </w:r>
      <w:bookmarkEnd w:id="9"/>
    </w:p>
    <w:p w14:paraId="0B0BC186" w14:textId="77777777" w:rsidR="00195FFE" w:rsidRDefault="00195FFE" w:rsidP="00195FFE">
      <w:pPr>
        <w:rPr>
          <w:rFonts w:ascii="Segoe UI Semibold" w:hAnsi="Segoe UI Semibold" w:cs="Segoe UI Semibold"/>
        </w:rPr>
      </w:pPr>
    </w:p>
    <w:p w14:paraId="2AE1D289" w14:textId="77777777" w:rsidR="00195FFE" w:rsidRDefault="00195FFE" w:rsidP="00195FFE">
      <w:pPr>
        <w:rPr>
          <w:rFonts w:ascii="Segoe UI Semibold" w:hAnsi="Segoe UI Semibold" w:cs="Segoe UI Semibold"/>
        </w:rPr>
      </w:pPr>
    </w:p>
    <w:p w14:paraId="2B6DD158" w14:textId="5D0BDB1D" w:rsidR="002F42B4" w:rsidRPr="00195FFE" w:rsidRDefault="00195FFE" w:rsidP="00195FFE">
      <w:pPr>
        <w:rPr>
          <w:rFonts w:ascii="Segoe UI Semibold" w:hAnsi="Segoe UI Semibold" w:cs="Segoe UI Semibold"/>
        </w:rPr>
      </w:pPr>
      <w:r w:rsidRPr="00195FFE">
        <w:rPr>
          <w:rFonts w:ascii="Segoe UI Semibold" w:hAnsi="Segoe UI Semibold" w:cs="Segoe UI Semibold"/>
        </w:rPr>
        <w:t>Ceci conclut le présent guide.</w:t>
      </w:r>
      <w:r w:rsidR="002F42B4" w:rsidRPr="00195FFE">
        <w:rPr>
          <w:rFonts w:ascii="Segoe UI Semibold" w:hAnsi="Segoe UI Semibold" w:cs="Segoe UI Semibold"/>
        </w:rPr>
        <w:br w:type="page"/>
      </w:r>
    </w:p>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62339"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CA976CE" id="Forme libre : forme 62774" o:spid="_x0000_s1026"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910B9C">
      <w:footerReference w:type="even" r:id="rId21"/>
      <w:footerReference w:type="default" r:id="rId22"/>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76077" w14:textId="77777777" w:rsidR="00DC7BDD" w:rsidRDefault="00DC7BDD" w:rsidP="00F95A5F">
      <w:r>
        <w:separator/>
      </w:r>
    </w:p>
  </w:endnote>
  <w:endnote w:type="continuationSeparator" w:id="0">
    <w:p w14:paraId="5CF30F94" w14:textId="77777777" w:rsidR="00DC7BDD" w:rsidRDefault="00DC7BDD" w:rsidP="00F95A5F">
      <w:r>
        <w:continuationSeparator/>
      </w:r>
    </w:p>
  </w:endnote>
  <w:endnote w:type="continuationNotice" w:id="1">
    <w:p w14:paraId="4B8E92EA" w14:textId="77777777" w:rsidR="00DC7BDD" w:rsidRDefault="00DC7BDD"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358E28F"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A43C6B">
              <w:rPr>
                <w:color w:val="0070C0"/>
                <w:sz w:val="18"/>
              </w:rPr>
              <w:t>Guide de configuration Microsoft Entra Private Access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057AC089"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A43C6B">
              <w:rPr>
                <w:color w:val="0070C0"/>
                <w:sz w:val="18"/>
              </w:rPr>
              <w:t>Guide de configuration Microsoft Entra Private Access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B27AD" w14:textId="77777777" w:rsidR="00DC7BDD" w:rsidRDefault="00DC7BDD" w:rsidP="00F95A5F">
      <w:r>
        <w:separator/>
      </w:r>
    </w:p>
  </w:footnote>
  <w:footnote w:type="continuationSeparator" w:id="0">
    <w:p w14:paraId="75730E45" w14:textId="77777777" w:rsidR="00DC7BDD" w:rsidRDefault="00DC7BDD" w:rsidP="00F95A5F">
      <w:r>
        <w:continuationSeparator/>
      </w:r>
    </w:p>
  </w:footnote>
  <w:footnote w:type="continuationNotice" w:id="1">
    <w:p w14:paraId="05137736" w14:textId="77777777" w:rsidR="00DC7BDD" w:rsidRDefault="00DC7BDD"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 w15:restartNumberingAfterBreak="0">
    <w:nsid w:val="7BBF1AFC"/>
    <w:multiLevelType w:val="multilevel"/>
    <w:tmpl w:val="C5B06BC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
  </w:num>
  <w:num w:numId="2" w16cid:durableId="1031540546">
    <w:abstractNumId w:val="1"/>
  </w:num>
  <w:num w:numId="3" w16cid:durableId="278226787">
    <w:abstractNumId w:val="2"/>
  </w:num>
  <w:num w:numId="4" w16cid:durableId="2004969936">
    <w:abstractNumId w:val="4"/>
  </w:num>
  <w:num w:numId="5" w16cid:durableId="186406517">
    <w:abstractNumId w:val="5"/>
  </w:num>
  <w:num w:numId="6" w16cid:durableId="1914776515">
    <w:abstractNumId w:val="0"/>
  </w:num>
  <w:num w:numId="7" w16cid:durableId="101091459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1FD"/>
    <w:rsid w:val="00011434"/>
    <w:rsid w:val="00011664"/>
    <w:rsid w:val="00011D68"/>
    <w:rsid w:val="00012292"/>
    <w:rsid w:val="000126EB"/>
    <w:rsid w:val="00012CB0"/>
    <w:rsid w:val="00013478"/>
    <w:rsid w:val="000151EA"/>
    <w:rsid w:val="00015273"/>
    <w:rsid w:val="00015BF9"/>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D61"/>
    <w:rsid w:val="00040E01"/>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0513"/>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5FFE"/>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509B"/>
    <w:rsid w:val="0020784C"/>
    <w:rsid w:val="00207E0C"/>
    <w:rsid w:val="00210129"/>
    <w:rsid w:val="0021020B"/>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64B8"/>
    <w:rsid w:val="002E6AA5"/>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4A03"/>
    <w:rsid w:val="00315CFE"/>
    <w:rsid w:val="00316B19"/>
    <w:rsid w:val="00317697"/>
    <w:rsid w:val="003176AC"/>
    <w:rsid w:val="0032031D"/>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397"/>
    <w:rsid w:val="003313D5"/>
    <w:rsid w:val="00332B0A"/>
    <w:rsid w:val="00332B38"/>
    <w:rsid w:val="0033339F"/>
    <w:rsid w:val="0033503B"/>
    <w:rsid w:val="00335A31"/>
    <w:rsid w:val="00335BE5"/>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7A6"/>
    <w:rsid w:val="00351D19"/>
    <w:rsid w:val="0035274C"/>
    <w:rsid w:val="003531AE"/>
    <w:rsid w:val="00353476"/>
    <w:rsid w:val="00354167"/>
    <w:rsid w:val="003546A2"/>
    <w:rsid w:val="003561E5"/>
    <w:rsid w:val="003573FA"/>
    <w:rsid w:val="0036033A"/>
    <w:rsid w:val="00360EB8"/>
    <w:rsid w:val="003621F5"/>
    <w:rsid w:val="00362220"/>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C05"/>
    <w:rsid w:val="00371DD4"/>
    <w:rsid w:val="00372ECA"/>
    <w:rsid w:val="003734DB"/>
    <w:rsid w:val="00373804"/>
    <w:rsid w:val="00374AC0"/>
    <w:rsid w:val="00374AE5"/>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1580"/>
    <w:rsid w:val="003928CB"/>
    <w:rsid w:val="00392BAA"/>
    <w:rsid w:val="00393567"/>
    <w:rsid w:val="00393A68"/>
    <w:rsid w:val="00394490"/>
    <w:rsid w:val="0039563B"/>
    <w:rsid w:val="00395ED3"/>
    <w:rsid w:val="0039613D"/>
    <w:rsid w:val="00396354"/>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2AD7"/>
    <w:rsid w:val="003D4328"/>
    <w:rsid w:val="003D4C84"/>
    <w:rsid w:val="003D54E9"/>
    <w:rsid w:val="003D5B1B"/>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1E96"/>
    <w:rsid w:val="00441FAD"/>
    <w:rsid w:val="004421BF"/>
    <w:rsid w:val="00442529"/>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F2"/>
    <w:rsid w:val="004573E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684"/>
    <w:rsid w:val="00483CF7"/>
    <w:rsid w:val="00483D75"/>
    <w:rsid w:val="00484015"/>
    <w:rsid w:val="00484C6E"/>
    <w:rsid w:val="00484F98"/>
    <w:rsid w:val="004857AE"/>
    <w:rsid w:val="00485B2B"/>
    <w:rsid w:val="004867F6"/>
    <w:rsid w:val="0048727F"/>
    <w:rsid w:val="004902F9"/>
    <w:rsid w:val="00490CE0"/>
    <w:rsid w:val="00490D84"/>
    <w:rsid w:val="00491A0B"/>
    <w:rsid w:val="00494086"/>
    <w:rsid w:val="00494379"/>
    <w:rsid w:val="0049589B"/>
    <w:rsid w:val="00495C72"/>
    <w:rsid w:val="0049651A"/>
    <w:rsid w:val="0049682D"/>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269D"/>
    <w:rsid w:val="004B28A8"/>
    <w:rsid w:val="004B2C91"/>
    <w:rsid w:val="004B4037"/>
    <w:rsid w:val="004B4BF5"/>
    <w:rsid w:val="004B79E7"/>
    <w:rsid w:val="004B7B4E"/>
    <w:rsid w:val="004B7E56"/>
    <w:rsid w:val="004C0CE1"/>
    <w:rsid w:val="004C1C97"/>
    <w:rsid w:val="004C29E2"/>
    <w:rsid w:val="004C340B"/>
    <w:rsid w:val="004C3514"/>
    <w:rsid w:val="004C519F"/>
    <w:rsid w:val="004C551C"/>
    <w:rsid w:val="004C5734"/>
    <w:rsid w:val="004C59C3"/>
    <w:rsid w:val="004C5CEA"/>
    <w:rsid w:val="004C68FF"/>
    <w:rsid w:val="004C699D"/>
    <w:rsid w:val="004C7771"/>
    <w:rsid w:val="004C7E0D"/>
    <w:rsid w:val="004D053B"/>
    <w:rsid w:val="004D140E"/>
    <w:rsid w:val="004D29DC"/>
    <w:rsid w:val="004D3479"/>
    <w:rsid w:val="004D36FE"/>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2C0C"/>
    <w:rsid w:val="005832F0"/>
    <w:rsid w:val="00584F76"/>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EF0"/>
    <w:rsid w:val="005B1113"/>
    <w:rsid w:val="005B17F0"/>
    <w:rsid w:val="005B1FFF"/>
    <w:rsid w:val="005B49B0"/>
    <w:rsid w:val="005B5584"/>
    <w:rsid w:val="005B59E7"/>
    <w:rsid w:val="005B5B53"/>
    <w:rsid w:val="005B65D5"/>
    <w:rsid w:val="005B6BD3"/>
    <w:rsid w:val="005B70F3"/>
    <w:rsid w:val="005B7386"/>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5A6"/>
    <w:rsid w:val="005E1B0B"/>
    <w:rsid w:val="005E24AA"/>
    <w:rsid w:val="005E350B"/>
    <w:rsid w:val="005E3569"/>
    <w:rsid w:val="005E4716"/>
    <w:rsid w:val="005E4B3D"/>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526E"/>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FF1"/>
    <w:rsid w:val="0067403D"/>
    <w:rsid w:val="0067578A"/>
    <w:rsid w:val="00675D5A"/>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4EBA"/>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6328"/>
    <w:rsid w:val="00706A1F"/>
    <w:rsid w:val="00707829"/>
    <w:rsid w:val="007109B0"/>
    <w:rsid w:val="00710E28"/>
    <w:rsid w:val="0071147C"/>
    <w:rsid w:val="00711643"/>
    <w:rsid w:val="00711C14"/>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F94"/>
    <w:rsid w:val="0075286D"/>
    <w:rsid w:val="00752D99"/>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20E69"/>
    <w:rsid w:val="00821F99"/>
    <w:rsid w:val="00822F14"/>
    <w:rsid w:val="0082316F"/>
    <w:rsid w:val="00823C73"/>
    <w:rsid w:val="00823F7F"/>
    <w:rsid w:val="00824BA6"/>
    <w:rsid w:val="0082555D"/>
    <w:rsid w:val="0082621A"/>
    <w:rsid w:val="008262F2"/>
    <w:rsid w:val="008266AB"/>
    <w:rsid w:val="00826F4F"/>
    <w:rsid w:val="0082789A"/>
    <w:rsid w:val="0082794A"/>
    <w:rsid w:val="00827CE4"/>
    <w:rsid w:val="0083000A"/>
    <w:rsid w:val="008309BD"/>
    <w:rsid w:val="0083138C"/>
    <w:rsid w:val="00831738"/>
    <w:rsid w:val="00831A0E"/>
    <w:rsid w:val="00833C05"/>
    <w:rsid w:val="00833DA7"/>
    <w:rsid w:val="00833E66"/>
    <w:rsid w:val="00834704"/>
    <w:rsid w:val="00837F75"/>
    <w:rsid w:val="0084001B"/>
    <w:rsid w:val="0084026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CDD"/>
    <w:rsid w:val="00860E6E"/>
    <w:rsid w:val="0086130B"/>
    <w:rsid w:val="008615C3"/>
    <w:rsid w:val="008619C7"/>
    <w:rsid w:val="00861E3F"/>
    <w:rsid w:val="008622B9"/>
    <w:rsid w:val="008626EE"/>
    <w:rsid w:val="00862A91"/>
    <w:rsid w:val="00863031"/>
    <w:rsid w:val="00863F45"/>
    <w:rsid w:val="0086444C"/>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6AE4"/>
    <w:rsid w:val="00897191"/>
    <w:rsid w:val="008971FD"/>
    <w:rsid w:val="008977B1"/>
    <w:rsid w:val="00897D0C"/>
    <w:rsid w:val="008A0267"/>
    <w:rsid w:val="008A1106"/>
    <w:rsid w:val="008A1E2C"/>
    <w:rsid w:val="008A21B6"/>
    <w:rsid w:val="008A3999"/>
    <w:rsid w:val="008A3E76"/>
    <w:rsid w:val="008A4565"/>
    <w:rsid w:val="008A5000"/>
    <w:rsid w:val="008A5585"/>
    <w:rsid w:val="008A6918"/>
    <w:rsid w:val="008A7F58"/>
    <w:rsid w:val="008A7FAA"/>
    <w:rsid w:val="008B0A29"/>
    <w:rsid w:val="008B146C"/>
    <w:rsid w:val="008B17C8"/>
    <w:rsid w:val="008B2263"/>
    <w:rsid w:val="008B2A46"/>
    <w:rsid w:val="008B3BC0"/>
    <w:rsid w:val="008B3D08"/>
    <w:rsid w:val="008B3E08"/>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2FD"/>
    <w:rsid w:val="008C4E93"/>
    <w:rsid w:val="008C5061"/>
    <w:rsid w:val="008C54AE"/>
    <w:rsid w:val="008C57F4"/>
    <w:rsid w:val="008C5EBB"/>
    <w:rsid w:val="008D0A73"/>
    <w:rsid w:val="008D0C96"/>
    <w:rsid w:val="008D0FF4"/>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0B9C"/>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B00"/>
    <w:rsid w:val="00954279"/>
    <w:rsid w:val="00955684"/>
    <w:rsid w:val="0095727D"/>
    <w:rsid w:val="00957D37"/>
    <w:rsid w:val="00957DB9"/>
    <w:rsid w:val="00960100"/>
    <w:rsid w:val="00960B78"/>
    <w:rsid w:val="00960C38"/>
    <w:rsid w:val="00960E31"/>
    <w:rsid w:val="00962192"/>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D77"/>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30B2"/>
    <w:rsid w:val="00A0421E"/>
    <w:rsid w:val="00A04487"/>
    <w:rsid w:val="00A05757"/>
    <w:rsid w:val="00A05B0F"/>
    <w:rsid w:val="00A06222"/>
    <w:rsid w:val="00A066DA"/>
    <w:rsid w:val="00A074B2"/>
    <w:rsid w:val="00A075E5"/>
    <w:rsid w:val="00A07680"/>
    <w:rsid w:val="00A100EC"/>
    <w:rsid w:val="00A10D2D"/>
    <w:rsid w:val="00A117BD"/>
    <w:rsid w:val="00A12050"/>
    <w:rsid w:val="00A139BF"/>
    <w:rsid w:val="00A14686"/>
    <w:rsid w:val="00A14AF8"/>
    <w:rsid w:val="00A14BC6"/>
    <w:rsid w:val="00A14D59"/>
    <w:rsid w:val="00A159E4"/>
    <w:rsid w:val="00A15FC2"/>
    <w:rsid w:val="00A163A1"/>
    <w:rsid w:val="00A163EA"/>
    <w:rsid w:val="00A1676F"/>
    <w:rsid w:val="00A1750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C6B"/>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4DA5"/>
    <w:rsid w:val="00A676AF"/>
    <w:rsid w:val="00A70905"/>
    <w:rsid w:val="00A71448"/>
    <w:rsid w:val="00A72019"/>
    <w:rsid w:val="00A72B65"/>
    <w:rsid w:val="00A72C89"/>
    <w:rsid w:val="00A73F7B"/>
    <w:rsid w:val="00A7451C"/>
    <w:rsid w:val="00A750B3"/>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5C3"/>
    <w:rsid w:val="00B136E7"/>
    <w:rsid w:val="00B15B31"/>
    <w:rsid w:val="00B15BC4"/>
    <w:rsid w:val="00B15D89"/>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C7B"/>
    <w:rsid w:val="00B46280"/>
    <w:rsid w:val="00B464AA"/>
    <w:rsid w:val="00B475B9"/>
    <w:rsid w:val="00B50206"/>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06A"/>
    <w:rsid w:val="00BD3DDD"/>
    <w:rsid w:val="00BD4A85"/>
    <w:rsid w:val="00BD5CB3"/>
    <w:rsid w:val="00BD64AF"/>
    <w:rsid w:val="00BD74A4"/>
    <w:rsid w:val="00BD7549"/>
    <w:rsid w:val="00BD7FAC"/>
    <w:rsid w:val="00BE018B"/>
    <w:rsid w:val="00BE1448"/>
    <w:rsid w:val="00BE1784"/>
    <w:rsid w:val="00BE2F76"/>
    <w:rsid w:val="00BE453C"/>
    <w:rsid w:val="00BE654F"/>
    <w:rsid w:val="00BE67D9"/>
    <w:rsid w:val="00BE77E3"/>
    <w:rsid w:val="00BE7D6E"/>
    <w:rsid w:val="00BF073D"/>
    <w:rsid w:val="00BF13AF"/>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4FF"/>
    <w:rsid w:val="00C53772"/>
    <w:rsid w:val="00C53F1C"/>
    <w:rsid w:val="00C549FA"/>
    <w:rsid w:val="00C5614D"/>
    <w:rsid w:val="00C56549"/>
    <w:rsid w:val="00C569CA"/>
    <w:rsid w:val="00C56CA4"/>
    <w:rsid w:val="00C57CBB"/>
    <w:rsid w:val="00C601C2"/>
    <w:rsid w:val="00C60E73"/>
    <w:rsid w:val="00C62438"/>
    <w:rsid w:val="00C6272F"/>
    <w:rsid w:val="00C6375E"/>
    <w:rsid w:val="00C63A04"/>
    <w:rsid w:val="00C64080"/>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5930"/>
    <w:rsid w:val="00C75ADC"/>
    <w:rsid w:val="00C765C5"/>
    <w:rsid w:val="00C767D9"/>
    <w:rsid w:val="00C77D6B"/>
    <w:rsid w:val="00C81F56"/>
    <w:rsid w:val="00C821E5"/>
    <w:rsid w:val="00C8299B"/>
    <w:rsid w:val="00C829BE"/>
    <w:rsid w:val="00C82EFB"/>
    <w:rsid w:val="00C83361"/>
    <w:rsid w:val="00C83AF5"/>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7239"/>
    <w:rsid w:val="00CA763B"/>
    <w:rsid w:val="00CA77C9"/>
    <w:rsid w:val="00CB1079"/>
    <w:rsid w:val="00CB133E"/>
    <w:rsid w:val="00CB160A"/>
    <w:rsid w:val="00CB1702"/>
    <w:rsid w:val="00CB2C86"/>
    <w:rsid w:val="00CB2FCD"/>
    <w:rsid w:val="00CB3106"/>
    <w:rsid w:val="00CB523D"/>
    <w:rsid w:val="00CB56B0"/>
    <w:rsid w:val="00CB5B2A"/>
    <w:rsid w:val="00CB6233"/>
    <w:rsid w:val="00CB6B9F"/>
    <w:rsid w:val="00CB731C"/>
    <w:rsid w:val="00CB7593"/>
    <w:rsid w:val="00CB7608"/>
    <w:rsid w:val="00CB7F7D"/>
    <w:rsid w:val="00CC02E6"/>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527"/>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647"/>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5EC"/>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C7B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D41"/>
    <w:rsid w:val="00E177EC"/>
    <w:rsid w:val="00E17EFF"/>
    <w:rsid w:val="00E2006D"/>
    <w:rsid w:val="00E20100"/>
    <w:rsid w:val="00E206CF"/>
    <w:rsid w:val="00E21C26"/>
    <w:rsid w:val="00E2240C"/>
    <w:rsid w:val="00E2296A"/>
    <w:rsid w:val="00E24349"/>
    <w:rsid w:val="00E24A7D"/>
    <w:rsid w:val="00E24BBC"/>
    <w:rsid w:val="00E24F5A"/>
    <w:rsid w:val="00E256A6"/>
    <w:rsid w:val="00E2680C"/>
    <w:rsid w:val="00E301BD"/>
    <w:rsid w:val="00E30803"/>
    <w:rsid w:val="00E317ED"/>
    <w:rsid w:val="00E31AC6"/>
    <w:rsid w:val="00E32C0E"/>
    <w:rsid w:val="00E33AE7"/>
    <w:rsid w:val="00E33C07"/>
    <w:rsid w:val="00E369A6"/>
    <w:rsid w:val="00E36C29"/>
    <w:rsid w:val="00E401CD"/>
    <w:rsid w:val="00E40735"/>
    <w:rsid w:val="00E40DE4"/>
    <w:rsid w:val="00E41148"/>
    <w:rsid w:val="00E41DC6"/>
    <w:rsid w:val="00E41E1B"/>
    <w:rsid w:val="00E41FB4"/>
    <w:rsid w:val="00E4209E"/>
    <w:rsid w:val="00E43DD6"/>
    <w:rsid w:val="00E446C1"/>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3C7"/>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12"/>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AB8"/>
    <w:rsid w:val="00F5705A"/>
    <w:rsid w:val="00F57182"/>
    <w:rsid w:val="00F576BB"/>
    <w:rsid w:val="00F57707"/>
    <w:rsid w:val="00F57D80"/>
    <w:rsid w:val="00F60223"/>
    <w:rsid w:val="00F602BA"/>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B6DFA422-750A-479C-BD1A-3FD97D33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B75EC"/>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B75EC"/>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195FFE"/>
    <w:pPr>
      <w:tabs>
        <w:tab w:val="left" w:pos="400"/>
        <w:tab w:val="right" w:leader="dot" w:pos="9628"/>
      </w:tabs>
      <w:spacing w:after="100"/>
    </w:pPr>
    <w:rPr>
      <w:noProof/>
    </w:rPr>
  </w:style>
  <w:style w:type="paragraph" w:styleId="TM2">
    <w:name w:val="toc 2"/>
    <w:basedOn w:val="Normal"/>
    <w:next w:val="Normal"/>
    <w:autoRedefine/>
    <w:uiPriority w:val="39"/>
    <w:qFormat/>
    <w:rsid w:val="00195FFE"/>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0621170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legalcode" TargetMode="External"/><Relationship Id="rId18" Type="http://schemas.openxmlformats.org/officeDocument/2006/relationships/hyperlink" Target="https://industriels.esante.gouv.fr/produits-et-services/pro-sante-connect/delegation-un-fournisseur-d-identite-loca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industriels.esante.gouv.fr/produits-et-services/pro-sante-connect/travaux-en-cou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ndustriels.esante.gouv.fr/produits-et-services/pro-sante-connect/documentation-technique-idp-exter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8</Pages>
  <Words>1240</Words>
  <Characters>6824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Guide d’implémentation et de configuration Microsoft Entra ID à destination des établissements de santé</vt:lpstr>
    </vt:vector>
  </TitlesOfParts>
  <Company>ASIP</Company>
  <LinksUpToDate>false</LinksUpToDate>
  <CharactersWithSpaces>8048</CharactersWithSpaces>
  <SharedDoc>false</SharedDoc>
  <HLinks>
    <vt:vector size="666" baseType="variant">
      <vt:variant>
        <vt:i4>1638468</vt:i4>
      </vt:variant>
      <vt:variant>
        <vt:i4>498</vt:i4>
      </vt:variant>
      <vt:variant>
        <vt:i4>0</vt:i4>
      </vt:variant>
      <vt:variant>
        <vt:i4>5</vt:i4>
      </vt:variant>
      <vt:variant>
        <vt:lpwstr>https://portal.azure.com/</vt:lpwstr>
      </vt:variant>
      <vt:variant>
        <vt:lpwstr/>
      </vt:variant>
      <vt:variant>
        <vt:i4>4915275</vt:i4>
      </vt:variant>
      <vt:variant>
        <vt:i4>495</vt:i4>
      </vt:variant>
      <vt:variant>
        <vt:i4>0</vt:i4>
      </vt:variant>
      <vt:variant>
        <vt:i4>5</vt:i4>
      </vt:variant>
      <vt:variant>
        <vt:lpwstr>https://learn.microsoft.com/fr-fr/azure/active-directory/reports-monitoring/howto-access-activity-logs</vt:lpwstr>
      </vt:variant>
      <vt:variant>
        <vt:lpwstr>monitor-events-with-microsoft-sentinel</vt:lpwstr>
      </vt:variant>
      <vt:variant>
        <vt:i4>4915275</vt:i4>
      </vt:variant>
      <vt:variant>
        <vt:i4>492</vt:i4>
      </vt:variant>
      <vt:variant>
        <vt:i4>0</vt:i4>
      </vt:variant>
      <vt:variant>
        <vt:i4>5</vt:i4>
      </vt:variant>
      <vt:variant>
        <vt:lpwstr>https://learn.microsoft.com/fr-fr/azure/active-directory/reports-monitoring/howto-access-activity-logs</vt:lpwstr>
      </vt:variant>
      <vt:variant>
        <vt:lpwstr>monitor-events-with-microsoft-sentinel</vt:lpwstr>
      </vt:variant>
      <vt:variant>
        <vt:i4>1376347</vt:i4>
      </vt:variant>
      <vt:variant>
        <vt:i4>489</vt:i4>
      </vt:variant>
      <vt:variant>
        <vt:i4>0</vt:i4>
      </vt:variant>
      <vt:variant>
        <vt:i4>5</vt:i4>
      </vt:variant>
      <vt:variant>
        <vt:lpwstr>https://learn.microsoft.com/fr-fr/azure/active-directory/reports-monitoring/howto-access-activity-logs</vt:lpwstr>
      </vt:variant>
      <vt:variant>
        <vt:lpwstr>integrate-logs-with-azure-monitor-logs</vt:lpwstr>
      </vt:variant>
      <vt:variant>
        <vt:i4>3407983</vt:i4>
      </vt:variant>
      <vt:variant>
        <vt:i4>486</vt:i4>
      </vt:variant>
      <vt:variant>
        <vt:i4>0</vt:i4>
      </vt:variant>
      <vt:variant>
        <vt:i4>5</vt:i4>
      </vt:variant>
      <vt:variant>
        <vt:lpwstr>https://learn.microsoft.com/fr-fr/azure/active-directory/reports-monitoring/howto-access-activity-logs</vt:lpwstr>
      </vt:variant>
      <vt:variant>
        <vt:lpwstr>access-logs-with-microsoft-graph-api</vt:lpwstr>
      </vt:variant>
      <vt:variant>
        <vt:i4>3407983</vt:i4>
      </vt:variant>
      <vt:variant>
        <vt:i4>483</vt:i4>
      </vt:variant>
      <vt:variant>
        <vt:i4>0</vt:i4>
      </vt:variant>
      <vt:variant>
        <vt:i4>5</vt:i4>
      </vt:variant>
      <vt:variant>
        <vt:lpwstr>https://learn.microsoft.com/fr-fr/azure/active-directory/reports-monitoring/howto-access-activity-logs</vt:lpwstr>
      </vt:variant>
      <vt:variant>
        <vt:lpwstr>access-logs-with-microsoft-graph-api</vt:lpwstr>
      </vt:variant>
      <vt:variant>
        <vt:i4>1048671</vt:i4>
      </vt:variant>
      <vt:variant>
        <vt:i4>480</vt:i4>
      </vt:variant>
      <vt:variant>
        <vt:i4>0</vt:i4>
      </vt:variant>
      <vt:variant>
        <vt:i4>5</vt:i4>
      </vt:variant>
      <vt:variant>
        <vt:lpwstr>https://learn.microsoft.com/fr-fr/azure/active-directory/reports-monitoring/howto-access-activity-logs</vt:lpwstr>
      </vt:variant>
      <vt:variant>
        <vt:lpwstr>export-logs-for-storage-and-queries</vt:lpwstr>
      </vt:variant>
      <vt:variant>
        <vt:i4>1048671</vt:i4>
      </vt:variant>
      <vt:variant>
        <vt:i4>477</vt:i4>
      </vt:variant>
      <vt:variant>
        <vt:i4>0</vt:i4>
      </vt:variant>
      <vt:variant>
        <vt:i4>5</vt:i4>
      </vt:variant>
      <vt:variant>
        <vt:lpwstr>https://learn.microsoft.com/fr-fr/azure/active-directory/reports-monitoring/howto-access-activity-logs</vt:lpwstr>
      </vt:variant>
      <vt:variant>
        <vt:lpwstr>export-logs-for-storage-and-queries</vt:lpwstr>
      </vt:variant>
      <vt:variant>
        <vt:i4>3997750</vt:i4>
      </vt:variant>
      <vt:variant>
        <vt:i4>474</vt:i4>
      </vt:variant>
      <vt:variant>
        <vt:i4>0</vt:i4>
      </vt:variant>
      <vt:variant>
        <vt:i4>5</vt:i4>
      </vt:variant>
      <vt:variant>
        <vt:lpwstr>https://learn.microsoft.com/fr-fr/azure/active-directory/reports-monitoring/howto-access-activity-logs</vt:lpwstr>
      </vt:variant>
      <vt:variant>
        <vt:lpwstr>view-logs-through-the-portal</vt:lpwstr>
      </vt:variant>
      <vt:variant>
        <vt:i4>3997733</vt:i4>
      </vt:variant>
      <vt:variant>
        <vt:i4>471</vt:i4>
      </vt:variant>
      <vt:variant>
        <vt:i4>0</vt:i4>
      </vt:variant>
      <vt:variant>
        <vt:i4>5</vt:i4>
      </vt:variant>
      <vt:variant>
        <vt:lpwstr>https://learn.microsoft.com/fr-fr/azure/active-directory/reports-monitoring/howto-access-activity-logs</vt:lpwstr>
      </vt:variant>
      <vt:variant>
        <vt:lpwstr>stream-logs-to-an-event-hub-to-integrate-with-siem-tools</vt:lpwstr>
      </vt:variant>
      <vt:variant>
        <vt:i4>6357111</vt:i4>
      </vt:variant>
      <vt:variant>
        <vt:i4>468</vt:i4>
      </vt:variant>
      <vt:variant>
        <vt:i4>0</vt:i4>
      </vt:variant>
      <vt:variant>
        <vt:i4>5</vt:i4>
      </vt:variant>
      <vt:variant>
        <vt:lpwstr>https://learn.microsoft.com/fr-fr/azure/active-directory/authentication/concept-mfa-howitworks</vt:lpwstr>
      </vt:variant>
      <vt:variant>
        <vt:lpwstr/>
      </vt:variant>
      <vt:variant>
        <vt:i4>7798910</vt:i4>
      </vt:variant>
      <vt:variant>
        <vt:i4>465</vt:i4>
      </vt:variant>
      <vt:variant>
        <vt:i4>0</vt:i4>
      </vt:variant>
      <vt:variant>
        <vt:i4>5</vt:i4>
      </vt:variant>
      <vt:variant>
        <vt:lpwstr>https://aka.ms/AA2kvvu</vt:lpwstr>
      </vt:variant>
      <vt:variant>
        <vt:lpwstr/>
      </vt:variant>
      <vt:variant>
        <vt:i4>4915205</vt:i4>
      </vt:variant>
      <vt:variant>
        <vt:i4>462</vt:i4>
      </vt:variant>
      <vt:variant>
        <vt:i4>0</vt:i4>
      </vt:variant>
      <vt:variant>
        <vt:i4>5</vt:i4>
      </vt:variant>
      <vt:variant>
        <vt:lpwstr>https://learn.microsoft.com/fr-fr/azure/active-directory/develop/active-directory-optional-claims</vt:lpwstr>
      </vt:variant>
      <vt:variant>
        <vt:lpwstr/>
      </vt:variant>
      <vt:variant>
        <vt:i4>7602291</vt:i4>
      </vt:variant>
      <vt:variant>
        <vt:i4>459</vt:i4>
      </vt:variant>
      <vt:variant>
        <vt:i4>0</vt:i4>
      </vt:variant>
      <vt:variant>
        <vt:i4>5</vt:i4>
      </vt:variant>
      <vt:variant>
        <vt:lpwstr>https://learn.microsoft.com/fr-fr/entra/identity-platform/access-tokens</vt:lpwstr>
      </vt:variant>
      <vt:variant>
        <vt:lpwstr/>
      </vt:variant>
      <vt:variant>
        <vt:i4>6619243</vt:i4>
      </vt:variant>
      <vt:variant>
        <vt:i4>456</vt:i4>
      </vt:variant>
      <vt:variant>
        <vt:i4>0</vt:i4>
      </vt:variant>
      <vt:variant>
        <vt:i4>5</vt:i4>
      </vt:variant>
      <vt:variant>
        <vt:lpwstr>https://learn.microsoft.com/fr-fr/entra/identity-platform/id-tokens</vt:lpwstr>
      </vt:variant>
      <vt:variant>
        <vt:lpwstr/>
      </vt:variant>
      <vt:variant>
        <vt:i4>1376341</vt:i4>
      </vt:variant>
      <vt:variant>
        <vt:i4>453</vt:i4>
      </vt:variant>
      <vt:variant>
        <vt:i4>0</vt:i4>
      </vt:variant>
      <vt:variant>
        <vt:i4>5</vt:i4>
      </vt:variant>
      <vt:variant>
        <vt:lpwstr>https://learn.microsoft.com/fr-fr/entra/identity-platform/app-resilience-continuous-access-evaluation</vt:lpwstr>
      </vt:variant>
      <vt:variant>
        <vt:lpwstr/>
      </vt:variant>
      <vt:variant>
        <vt:i4>3932236</vt:i4>
      </vt:variant>
      <vt:variant>
        <vt:i4>450</vt:i4>
      </vt:variant>
      <vt:variant>
        <vt:i4>0</vt:i4>
      </vt:variant>
      <vt:variant>
        <vt:i4>5</vt:i4>
      </vt:variant>
      <vt:variant>
        <vt:lpwstr>https://openid.net/specs/openid-caep-specification-1_0-01.html</vt:lpwstr>
      </vt:variant>
      <vt:variant>
        <vt:lpwstr/>
      </vt:variant>
      <vt:variant>
        <vt:i4>5177362</vt:i4>
      </vt:variant>
      <vt:variant>
        <vt:i4>447</vt:i4>
      </vt:variant>
      <vt:variant>
        <vt:i4>0</vt:i4>
      </vt:variant>
      <vt:variant>
        <vt:i4>5</vt:i4>
      </vt:variant>
      <vt:variant>
        <vt:lpwstr>https://learn.microsoft.com/fr-fr/entra/identity/role-based-access-control/permissions-reference</vt:lpwstr>
      </vt:variant>
      <vt:variant>
        <vt:lpwstr/>
      </vt:variant>
      <vt:variant>
        <vt:i4>3997794</vt:i4>
      </vt:variant>
      <vt:variant>
        <vt:i4>444</vt:i4>
      </vt:variant>
      <vt:variant>
        <vt:i4>0</vt:i4>
      </vt:variant>
      <vt:variant>
        <vt:i4>5</vt:i4>
      </vt:variant>
      <vt:variant>
        <vt:lpwstr>https://learn.microsoft.com/fr-fr/entra/id-governance/privileged-identity-management/pim-configure</vt:lpwstr>
      </vt:variant>
      <vt:variant>
        <vt:lpwstr/>
      </vt:variant>
      <vt:variant>
        <vt:i4>7798898</vt:i4>
      </vt:variant>
      <vt:variant>
        <vt:i4>441</vt:i4>
      </vt:variant>
      <vt:variant>
        <vt:i4>0</vt:i4>
      </vt:variant>
      <vt:variant>
        <vt:i4>5</vt:i4>
      </vt:variant>
      <vt:variant>
        <vt:lpwstr>https://learn.microsoft.com/fr-fr/entra/identity/conditional-access/plan-conditional-access</vt:lpwstr>
      </vt:variant>
      <vt:variant>
        <vt:lpwstr/>
      </vt:variant>
      <vt:variant>
        <vt:i4>3932204</vt:i4>
      </vt:variant>
      <vt:variant>
        <vt:i4>438</vt:i4>
      </vt:variant>
      <vt:variant>
        <vt:i4>0</vt:i4>
      </vt:variant>
      <vt:variant>
        <vt:i4>5</vt:i4>
      </vt:variant>
      <vt:variant>
        <vt:lpwstr>https://learn.microsoft.com/fr-fr/entra/identity-platform/v2-admin-consent</vt:lpwstr>
      </vt:variant>
      <vt:variant>
        <vt:lpwstr/>
      </vt:variant>
      <vt:variant>
        <vt:i4>2162808</vt:i4>
      </vt:variant>
      <vt:variant>
        <vt:i4>435</vt:i4>
      </vt:variant>
      <vt:variant>
        <vt:i4>0</vt:i4>
      </vt:variant>
      <vt:variant>
        <vt:i4>5</vt:i4>
      </vt:variant>
      <vt:variant>
        <vt:lpwstr>https://learn.microsoft.com/fr-fr/entra/identity-platform/howto-convert-app-to-be-multi-tenant</vt:lpwstr>
      </vt:variant>
      <vt:variant>
        <vt:lpwstr/>
      </vt:variant>
      <vt:variant>
        <vt:i4>1638408</vt:i4>
      </vt:variant>
      <vt:variant>
        <vt:i4>432</vt:i4>
      </vt:variant>
      <vt:variant>
        <vt:i4>0</vt:i4>
      </vt:variant>
      <vt:variant>
        <vt:i4>5</vt:i4>
      </vt:variant>
      <vt:variant>
        <vt:lpwstr>https://learn.microsoft.com/fr-fr/entra/identity-platform/v2-admin-consent</vt:lpwstr>
      </vt:variant>
      <vt:variant>
        <vt:lpwstr>request-the-permissions-from-a-directory-admin</vt:lpwstr>
      </vt:variant>
      <vt:variant>
        <vt:i4>2293874</vt:i4>
      </vt:variant>
      <vt:variant>
        <vt:i4>429</vt:i4>
      </vt:variant>
      <vt:variant>
        <vt:i4>0</vt:i4>
      </vt:variant>
      <vt:variant>
        <vt:i4>5</vt:i4>
      </vt:variant>
      <vt:variant>
        <vt:lpwstr>http://pro-sante-connect.esante.gouv.fr/onboarding</vt:lpwstr>
      </vt:variant>
      <vt:variant>
        <vt:lpwstr/>
      </vt:variant>
      <vt:variant>
        <vt:i4>2424932</vt:i4>
      </vt:variant>
      <vt:variant>
        <vt:i4>426</vt:i4>
      </vt:variant>
      <vt:variant>
        <vt:i4>0</vt:i4>
      </vt:variant>
      <vt:variant>
        <vt:i4>5</vt:i4>
      </vt:variant>
      <vt:variant>
        <vt:lpwstr>https://esante.gouv.fr/services/espace-cps/telechargements-libres/cryptolib-cps-windows</vt:lpwstr>
      </vt:variant>
      <vt:variant>
        <vt:lpwstr/>
      </vt:variant>
      <vt:variant>
        <vt:i4>2687036</vt:i4>
      </vt:variant>
      <vt:variant>
        <vt:i4>423</vt:i4>
      </vt:variant>
      <vt:variant>
        <vt:i4>0</vt:i4>
      </vt:variant>
      <vt:variant>
        <vt:i4>5</vt:i4>
      </vt:variant>
      <vt:variant>
        <vt:lpwstr>https://docs.microsoft.com/fr-fr/azure/active-directory/conditional-access/howto-conditional-access-policy-compliant-device</vt:lpwstr>
      </vt:variant>
      <vt:variant>
        <vt:lpwstr/>
      </vt:variant>
      <vt:variant>
        <vt:i4>5046360</vt:i4>
      </vt:variant>
      <vt:variant>
        <vt:i4>420</vt:i4>
      </vt:variant>
      <vt:variant>
        <vt:i4>0</vt:i4>
      </vt:variant>
      <vt:variant>
        <vt:i4>5</vt:i4>
      </vt:variant>
      <vt:variant>
        <vt:lpwstr>https://docs.microsoft.com/fr-fr/azure/active-directory/devices/concept-azure-ad-join-hybrid</vt:lpwstr>
      </vt:variant>
      <vt:variant>
        <vt:lpwstr/>
      </vt:variant>
      <vt:variant>
        <vt:i4>3342432</vt:i4>
      </vt:variant>
      <vt:variant>
        <vt:i4>417</vt:i4>
      </vt:variant>
      <vt:variant>
        <vt:i4>0</vt:i4>
      </vt:variant>
      <vt:variant>
        <vt:i4>5</vt:i4>
      </vt:variant>
      <vt:variant>
        <vt:lpwstr>https://learn.microsoft.com/fr-fr/entra/identity/devices/device-join-out-of-box</vt:lpwstr>
      </vt:variant>
      <vt:variant>
        <vt:lpwstr/>
      </vt:variant>
      <vt:variant>
        <vt:i4>7667760</vt:i4>
      </vt:variant>
      <vt:variant>
        <vt:i4>414</vt:i4>
      </vt:variant>
      <vt:variant>
        <vt:i4>0</vt:i4>
      </vt:variant>
      <vt:variant>
        <vt:i4>5</vt:i4>
      </vt:variant>
      <vt:variant>
        <vt:lpwstr>https://learn.microsoft.com/fr-FR/entra/identity/devices/plan-device-deployment</vt:lpwstr>
      </vt:variant>
      <vt:variant>
        <vt:lpwstr/>
      </vt:variant>
      <vt:variant>
        <vt:i4>327709</vt:i4>
      </vt:variant>
      <vt:variant>
        <vt:i4>411</vt:i4>
      </vt:variant>
      <vt:variant>
        <vt:i4>0</vt:i4>
      </vt:variant>
      <vt:variant>
        <vt:i4>5</vt:i4>
      </vt:variant>
      <vt:variant>
        <vt:lpwstr>https://learn.microsoft.com/fr-fr/entra/identity/hybrid/cloud-sync/what-is-cloud-sync</vt:lpwstr>
      </vt:variant>
      <vt:variant>
        <vt:lpwstr/>
      </vt:variant>
      <vt:variant>
        <vt:i4>6750265</vt:i4>
      </vt:variant>
      <vt:variant>
        <vt:i4>408</vt:i4>
      </vt:variant>
      <vt:variant>
        <vt:i4>0</vt:i4>
      </vt:variant>
      <vt:variant>
        <vt:i4>5</vt:i4>
      </vt:variant>
      <vt:variant>
        <vt:lpwstr>https://learn.microsoft.com/fr-fr/entra/architecture/sync-directory</vt:lpwstr>
      </vt:variant>
      <vt:variant>
        <vt:lpwstr/>
      </vt:variant>
      <vt:variant>
        <vt:i4>1769542</vt:i4>
      </vt:variant>
      <vt:variant>
        <vt:i4>405</vt:i4>
      </vt:variant>
      <vt:variant>
        <vt:i4>0</vt:i4>
      </vt:variant>
      <vt:variant>
        <vt:i4>5</vt:i4>
      </vt:variant>
      <vt:variant>
        <vt:lpwstr>https://learn.microsoft.com/fr-fr/entra/fundamentals/how-to-manage-groups</vt:lpwstr>
      </vt:variant>
      <vt:variant>
        <vt:lpwstr/>
      </vt:variant>
      <vt:variant>
        <vt:i4>2490477</vt:i4>
      </vt:variant>
      <vt:variant>
        <vt:i4>402</vt:i4>
      </vt:variant>
      <vt:variant>
        <vt:i4>0</vt:i4>
      </vt:variant>
      <vt:variant>
        <vt:i4>5</vt:i4>
      </vt:variant>
      <vt:variant>
        <vt:lpwstr>https://learn.microsoft.com/fr-fr/entra/fundamentals/add-users</vt:lpwstr>
      </vt:variant>
      <vt:variant>
        <vt:lpwstr/>
      </vt:variant>
      <vt:variant>
        <vt:i4>3866631</vt:i4>
      </vt:variant>
      <vt:variant>
        <vt:i4>399</vt:i4>
      </vt:variant>
      <vt:variant>
        <vt:i4>0</vt:i4>
      </vt:variant>
      <vt:variant>
        <vt:i4>5</vt:i4>
      </vt:variant>
      <vt:variant>
        <vt:lpwstr>https://azure.microsoft.com/free/?WT.mc_id=A261C142F</vt:lpwstr>
      </vt:variant>
      <vt:variant>
        <vt:lpwstr/>
      </vt:variant>
      <vt:variant>
        <vt:i4>6946863</vt:i4>
      </vt:variant>
      <vt:variant>
        <vt:i4>396</vt:i4>
      </vt:variant>
      <vt:variant>
        <vt:i4>0</vt:i4>
      </vt:variant>
      <vt:variant>
        <vt:i4>5</vt:i4>
      </vt:variant>
      <vt:variant>
        <vt:lpwstr>https://pro-sante-connect.esante.gouv.fr/onboarding</vt:lpwstr>
      </vt:variant>
      <vt:variant>
        <vt:lpwstr/>
      </vt:variant>
      <vt:variant>
        <vt:i4>786458</vt:i4>
      </vt:variant>
      <vt:variant>
        <vt:i4>393</vt:i4>
      </vt:variant>
      <vt:variant>
        <vt:i4>0</vt:i4>
      </vt:variant>
      <vt:variant>
        <vt:i4>5</vt:i4>
      </vt:variant>
      <vt:variant>
        <vt:lpwstr>https://pro-sante-connect.esante.gouv.fr/</vt:lpwstr>
      </vt:variant>
      <vt:variant>
        <vt:lpwstr/>
      </vt:variant>
      <vt:variant>
        <vt:i4>3538993</vt:i4>
      </vt:variant>
      <vt:variant>
        <vt:i4>390</vt:i4>
      </vt:variant>
      <vt:variant>
        <vt:i4>0</vt:i4>
      </vt:variant>
      <vt:variant>
        <vt:i4>5</vt:i4>
      </vt:variant>
      <vt:variant>
        <vt:lpwstr>https://login.microsoftonline.com/organizations/discovery/v2.0/keys</vt:lpwstr>
      </vt:variant>
      <vt:variant>
        <vt:lpwstr/>
      </vt:variant>
      <vt:variant>
        <vt:i4>458826</vt:i4>
      </vt:variant>
      <vt:variant>
        <vt:i4>387</vt:i4>
      </vt:variant>
      <vt:variant>
        <vt:i4>0</vt:i4>
      </vt:variant>
      <vt:variant>
        <vt:i4>5</vt:i4>
      </vt:variant>
      <vt:variant>
        <vt:lpwstr>https://login.microsoftonline.com/%7btenantid%7d/v2.0</vt:lpwstr>
      </vt:variant>
      <vt:variant>
        <vt:lpwstr/>
      </vt:variant>
      <vt:variant>
        <vt:i4>4718609</vt:i4>
      </vt:variant>
      <vt:variant>
        <vt:i4>384</vt:i4>
      </vt:variant>
      <vt:variant>
        <vt:i4>0</vt:i4>
      </vt:variant>
      <vt:variant>
        <vt:i4>5</vt:i4>
      </vt:variant>
      <vt:variant>
        <vt:lpwstr>https://graph.microsoft.com/oidc/userinfo</vt:lpwstr>
      </vt:variant>
      <vt:variant>
        <vt:lpwstr/>
      </vt:variant>
      <vt:variant>
        <vt:i4>2293862</vt:i4>
      </vt:variant>
      <vt:variant>
        <vt:i4>381</vt:i4>
      </vt:variant>
      <vt:variant>
        <vt:i4>0</vt:i4>
      </vt:variant>
      <vt:variant>
        <vt:i4>5</vt:i4>
      </vt:variant>
      <vt:variant>
        <vt:lpwstr>https://login.microsoftonline.com/organizations/oauth2/v2.0/logout</vt:lpwstr>
      </vt:variant>
      <vt:variant>
        <vt:lpwstr/>
      </vt:variant>
      <vt:variant>
        <vt:i4>6094855</vt:i4>
      </vt:variant>
      <vt:variant>
        <vt:i4>378</vt:i4>
      </vt:variant>
      <vt:variant>
        <vt:i4>0</vt:i4>
      </vt:variant>
      <vt:variant>
        <vt:i4>5</vt:i4>
      </vt:variant>
      <vt:variant>
        <vt:lpwstr>https://login.microsoftonline.com/organizations/oauth2/v2.0/token</vt:lpwstr>
      </vt:variant>
      <vt:variant>
        <vt:lpwstr/>
      </vt:variant>
      <vt:variant>
        <vt:i4>4325387</vt:i4>
      </vt:variant>
      <vt:variant>
        <vt:i4>375</vt:i4>
      </vt:variant>
      <vt:variant>
        <vt:i4>0</vt:i4>
      </vt:variant>
      <vt:variant>
        <vt:i4>5</vt:i4>
      </vt:variant>
      <vt:variant>
        <vt:lpwstr>https://login.microsoftonline.com/organizations/oauth2/v2.0/authorize</vt:lpwstr>
      </vt:variant>
      <vt:variant>
        <vt:lpwstr/>
      </vt:variant>
      <vt:variant>
        <vt:i4>65619</vt:i4>
      </vt:variant>
      <vt:variant>
        <vt:i4>372</vt:i4>
      </vt:variant>
      <vt:variant>
        <vt:i4>0</vt:i4>
      </vt:variant>
      <vt:variant>
        <vt:i4>5</vt:i4>
      </vt:variant>
      <vt:variant>
        <vt:lpwstr>https://login.microsoftonline.com/organizations/v2.0/.well-known/openid-configuration</vt:lpwstr>
      </vt:variant>
      <vt:variant>
        <vt:lpwstr/>
      </vt:variant>
      <vt:variant>
        <vt:i4>2621492</vt:i4>
      </vt:variant>
      <vt:variant>
        <vt:i4>369</vt:i4>
      </vt:variant>
      <vt:variant>
        <vt:i4>0</vt:i4>
      </vt:variant>
      <vt:variant>
        <vt:i4>5</vt:i4>
      </vt:variant>
      <vt:variant>
        <vt:lpwstr>https://login.microsoftonline.com/organizations</vt:lpwstr>
      </vt:variant>
      <vt:variant>
        <vt:lpwstr/>
      </vt:variant>
      <vt:variant>
        <vt:i4>7405689</vt:i4>
      </vt:variant>
      <vt:variant>
        <vt:i4>366</vt:i4>
      </vt:variant>
      <vt:variant>
        <vt:i4>0</vt:i4>
      </vt:variant>
      <vt:variant>
        <vt:i4>5</vt:i4>
      </vt:variant>
      <vt:variant>
        <vt:lpwstr>https://tech.esante.gouv.fr/outils-services/pro-sante-connect-e-cps/referentiel</vt:lpwstr>
      </vt:variant>
      <vt:variant>
        <vt:lpwstr/>
      </vt:variant>
      <vt:variant>
        <vt:i4>5963795</vt:i4>
      </vt:variant>
      <vt:variant>
        <vt:i4>363</vt:i4>
      </vt:variant>
      <vt:variant>
        <vt:i4>0</vt:i4>
      </vt:variant>
      <vt:variant>
        <vt:i4>5</vt:i4>
      </vt:variant>
      <vt:variant>
        <vt:lpwstr>https://learn.microsoft.com/fr-fr/entra/identity-platform/v2-overview</vt:lpwstr>
      </vt:variant>
      <vt:variant>
        <vt:lpwstr/>
      </vt:variant>
      <vt:variant>
        <vt:i4>2031691</vt:i4>
      </vt:variant>
      <vt:variant>
        <vt:i4>360</vt:i4>
      </vt:variant>
      <vt:variant>
        <vt:i4>0</vt:i4>
      </vt:variant>
      <vt:variant>
        <vt:i4>5</vt:i4>
      </vt:variant>
      <vt:variant>
        <vt:lpwstr>https://openid.net/developers/certified/</vt:lpwstr>
      </vt:variant>
      <vt:variant>
        <vt:lpwstr/>
      </vt:variant>
      <vt:variant>
        <vt:i4>5373957</vt:i4>
      </vt:variant>
      <vt:variant>
        <vt:i4>357</vt:i4>
      </vt:variant>
      <vt:variant>
        <vt:i4>0</vt:i4>
      </vt:variant>
      <vt:variant>
        <vt:i4>5</vt:i4>
      </vt:variant>
      <vt:variant>
        <vt:lpwstr>https://industriels.esante.gouv.fr/produits-et-services/pro-sante-connect/charte-graphique-pro-sante-connect</vt:lpwstr>
      </vt:variant>
      <vt:variant>
        <vt:lpwstr/>
      </vt:variant>
      <vt:variant>
        <vt:i4>7602299</vt:i4>
      </vt:variant>
      <vt:variant>
        <vt:i4>354</vt:i4>
      </vt:variant>
      <vt:variant>
        <vt:i4>0</vt:i4>
      </vt:variant>
      <vt:variant>
        <vt:i4>5</vt:i4>
      </vt:variant>
      <vt:variant>
        <vt:lpwstr>https://wallet.esw.esante.gouv.fr/</vt:lpwstr>
      </vt:variant>
      <vt:variant>
        <vt:lpwstr/>
      </vt:variant>
      <vt:variant>
        <vt:i4>2</vt:i4>
      </vt:variant>
      <vt:variant>
        <vt:i4>351</vt:i4>
      </vt:variant>
      <vt:variant>
        <vt:i4>0</vt:i4>
      </vt:variant>
      <vt:variant>
        <vt:i4>5</vt:i4>
      </vt:variant>
      <vt:variant>
        <vt:lpwstr>https://industriels.esante.gouv.fr/produits-et-services/pro-sante-connect/documentation-technique</vt:lpwstr>
      </vt:variant>
      <vt:variant>
        <vt:lpwstr/>
      </vt:variant>
      <vt:variant>
        <vt:i4>4980756</vt:i4>
      </vt:variant>
      <vt:variant>
        <vt:i4>348</vt:i4>
      </vt:variant>
      <vt:variant>
        <vt:i4>0</vt:i4>
      </vt:variant>
      <vt:variant>
        <vt:i4>5</vt:i4>
      </vt:variant>
      <vt:variant>
        <vt:lpwstr>https://pfc.eservices.esante.gouv.fr/</vt:lpwstr>
      </vt:variant>
      <vt:variant>
        <vt:lpwstr/>
      </vt:variant>
      <vt:variant>
        <vt:i4>3276859</vt:i4>
      </vt:variant>
      <vt:variant>
        <vt:i4>345</vt:i4>
      </vt:variant>
      <vt:variant>
        <vt:i4>0</vt:i4>
      </vt:variant>
      <vt:variant>
        <vt:i4>5</vt:i4>
      </vt:variant>
      <vt:variant>
        <vt:lpwstr>https://esante.gouv.fr/interoperabilite/mos-nos</vt:lpwstr>
      </vt:variant>
      <vt:variant>
        <vt:lpwstr/>
      </vt:variant>
      <vt:variant>
        <vt:i4>5242902</vt:i4>
      </vt:variant>
      <vt:variant>
        <vt:i4>342</vt:i4>
      </vt:variant>
      <vt:variant>
        <vt:i4>0</vt:i4>
      </vt:variant>
      <vt:variant>
        <vt:i4>5</vt:i4>
      </vt:variant>
      <vt:variant>
        <vt:lpwstr>https://api.gouv.fr/les-api/api-pro-sante-connect</vt:lpwstr>
      </vt:variant>
      <vt:variant>
        <vt:lpwstr/>
      </vt:variant>
      <vt:variant>
        <vt:i4>1376331</vt:i4>
      </vt:variant>
      <vt:variant>
        <vt:i4>339</vt:i4>
      </vt:variant>
      <vt:variant>
        <vt:i4>0</vt:i4>
      </vt:variant>
      <vt:variant>
        <vt:i4>5</vt:i4>
      </vt:variant>
      <vt:variant>
        <vt:lpwstr>https://www.ssi.gouv.fr/administration/reglementation/confiance-numerique/le-reglement-eidas/</vt:lpwstr>
      </vt:variant>
      <vt:variant>
        <vt:lpwstr/>
      </vt:variant>
      <vt:variant>
        <vt:i4>5242880</vt:i4>
      </vt:variant>
      <vt:variant>
        <vt:i4>336</vt:i4>
      </vt:variant>
      <vt:variant>
        <vt:i4>0</vt:i4>
      </vt:variant>
      <vt:variant>
        <vt:i4>5</vt:i4>
      </vt:variant>
      <vt:variant>
        <vt:lpwstr>https://www.dalloz-actualite.fr/sites/dallozactualite.fr/files/resources/2021/05/2021-581.pdf</vt:lpwstr>
      </vt:variant>
      <vt:variant>
        <vt:lpwstr/>
      </vt:variant>
      <vt:variant>
        <vt:i4>4194334</vt:i4>
      </vt:variant>
      <vt:variant>
        <vt:i4>333</vt:i4>
      </vt:variant>
      <vt:variant>
        <vt:i4>0</vt:i4>
      </vt:variant>
      <vt:variant>
        <vt:i4>5</vt:i4>
      </vt:variant>
      <vt:variant>
        <vt:lpwstr>https://learn.microsoft.com/fr-fr/entra/</vt:lpwstr>
      </vt:variant>
      <vt:variant>
        <vt:lpwstr/>
      </vt:variant>
      <vt:variant>
        <vt:i4>1310771</vt:i4>
      </vt:variant>
      <vt:variant>
        <vt:i4>326</vt:i4>
      </vt:variant>
      <vt:variant>
        <vt:i4>0</vt:i4>
      </vt:variant>
      <vt:variant>
        <vt:i4>5</vt:i4>
      </vt:variant>
      <vt:variant>
        <vt:lpwstr/>
      </vt:variant>
      <vt:variant>
        <vt:lpwstr>_Toc152172753</vt:lpwstr>
      </vt:variant>
      <vt:variant>
        <vt:i4>1310771</vt:i4>
      </vt:variant>
      <vt:variant>
        <vt:i4>320</vt:i4>
      </vt:variant>
      <vt:variant>
        <vt:i4>0</vt:i4>
      </vt:variant>
      <vt:variant>
        <vt:i4>5</vt:i4>
      </vt:variant>
      <vt:variant>
        <vt:lpwstr/>
      </vt:variant>
      <vt:variant>
        <vt:lpwstr>_Toc152172752</vt:lpwstr>
      </vt:variant>
      <vt:variant>
        <vt:i4>1310771</vt:i4>
      </vt:variant>
      <vt:variant>
        <vt:i4>314</vt:i4>
      </vt:variant>
      <vt:variant>
        <vt:i4>0</vt:i4>
      </vt:variant>
      <vt:variant>
        <vt:i4>5</vt:i4>
      </vt:variant>
      <vt:variant>
        <vt:lpwstr/>
      </vt:variant>
      <vt:variant>
        <vt:lpwstr>_Toc152172751</vt:lpwstr>
      </vt:variant>
      <vt:variant>
        <vt:i4>1310771</vt:i4>
      </vt:variant>
      <vt:variant>
        <vt:i4>308</vt:i4>
      </vt:variant>
      <vt:variant>
        <vt:i4>0</vt:i4>
      </vt:variant>
      <vt:variant>
        <vt:i4>5</vt:i4>
      </vt:variant>
      <vt:variant>
        <vt:lpwstr/>
      </vt:variant>
      <vt:variant>
        <vt:lpwstr>_Toc152172750</vt:lpwstr>
      </vt:variant>
      <vt:variant>
        <vt:i4>1376307</vt:i4>
      </vt:variant>
      <vt:variant>
        <vt:i4>302</vt:i4>
      </vt:variant>
      <vt:variant>
        <vt:i4>0</vt:i4>
      </vt:variant>
      <vt:variant>
        <vt:i4>5</vt:i4>
      </vt:variant>
      <vt:variant>
        <vt:lpwstr/>
      </vt:variant>
      <vt:variant>
        <vt:lpwstr>_Toc152172749</vt:lpwstr>
      </vt:variant>
      <vt:variant>
        <vt:i4>1376307</vt:i4>
      </vt:variant>
      <vt:variant>
        <vt:i4>296</vt:i4>
      </vt:variant>
      <vt:variant>
        <vt:i4>0</vt:i4>
      </vt:variant>
      <vt:variant>
        <vt:i4>5</vt:i4>
      </vt:variant>
      <vt:variant>
        <vt:lpwstr/>
      </vt:variant>
      <vt:variant>
        <vt:lpwstr>_Toc152172748</vt:lpwstr>
      </vt:variant>
      <vt:variant>
        <vt:i4>1376307</vt:i4>
      </vt:variant>
      <vt:variant>
        <vt:i4>290</vt:i4>
      </vt:variant>
      <vt:variant>
        <vt:i4>0</vt:i4>
      </vt:variant>
      <vt:variant>
        <vt:i4>5</vt:i4>
      </vt:variant>
      <vt:variant>
        <vt:lpwstr/>
      </vt:variant>
      <vt:variant>
        <vt:lpwstr>_Toc152172747</vt:lpwstr>
      </vt:variant>
      <vt:variant>
        <vt:i4>1376307</vt:i4>
      </vt:variant>
      <vt:variant>
        <vt:i4>284</vt:i4>
      </vt:variant>
      <vt:variant>
        <vt:i4>0</vt:i4>
      </vt:variant>
      <vt:variant>
        <vt:i4>5</vt:i4>
      </vt:variant>
      <vt:variant>
        <vt:lpwstr/>
      </vt:variant>
      <vt:variant>
        <vt:lpwstr>_Toc152172746</vt:lpwstr>
      </vt:variant>
      <vt:variant>
        <vt:i4>1376307</vt:i4>
      </vt:variant>
      <vt:variant>
        <vt:i4>278</vt:i4>
      </vt:variant>
      <vt:variant>
        <vt:i4>0</vt:i4>
      </vt:variant>
      <vt:variant>
        <vt:i4>5</vt:i4>
      </vt:variant>
      <vt:variant>
        <vt:lpwstr/>
      </vt:variant>
      <vt:variant>
        <vt:lpwstr>_Toc152172745</vt:lpwstr>
      </vt:variant>
      <vt:variant>
        <vt:i4>1376307</vt:i4>
      </vt:variant>
      <vt:variant>
        <vt:i4>272</vt:i4>
      </vt:variant>
      <vt:variant>
        <vt:i4>0</vt:i4>
      </vt:variant>
      <vt:variant>
        <vt:i4>5</vt:i4>
      </vt:variant>
      <vt:variant>
        <vt:lpwstr/>
      </vt:variant>
      <vt:variant>
        <vt:lpwstr>_Toc152172744</vt:lpwstr>
      </vt:variant>
      <vt:variant>
        <vt:i4>1376307</vt:i4>
      </vt:variant>
      <vt:variant>
        <vt:i4>266</vt:i4>
      </vt:variant>
      <vt:variant>
        <vt:i4>0</vt:i4>
      </vt:variant>
      <vt:variant>
        <vt:i4>5</vt:i4>
      </vt:variant>
      <vt:variant>
        <vt:lpwstr/>
      </vt:variant>
      <vt:variant>
        <vt:lpwstr>_Toc152172743</vt:lpwstr>
      </vt:variant>
      <vt:variant>
        <vt:i4>1376307</vt:i4>
      </vt:variant>
      <vt:variant>
        <vt:i4>260</vt:i4>
      </vt:variant>
      <vt:variant>
        <vt:i4>0</vt:i4>
      </vt:variant>
      <vt:variant>
        <vt:i4>5</vt:i4>
      </vt:variant>
      <vt:variant>
        <vt:lpwstr/>
      </vt:variant>
      <vt:variant>
        <vt:lpwstr>_Toc152172742</vt:lpwstr>
      </vt:variant>
      <vt:variant>
        <vt:i4>1376307</vt:i4>
      </vt:variant>
      <vt:variant>
        <vt:i4>254</vt:i4>
      </vt:variant>
      <vt:variant>
        <vt:i4>0</vt:i4>
      </vt:variant>
      <vt:variant>
        <vt:i4>5</vt:i4>
      </vt:variant>
      <vt:variant>
        <vt:lpwstr/>
      </vt:variant>
      <vt:variant>
        <vt:lpwstr>_Toc152172741</vt:lpwstr>
      </vt:variant>
      <vt:variant>
        <vt:i4>1376307</vt:i4>
      </vt:variant>
      <vt:variant>
        <vt:i4>248</vt:i4>
      </vt:variant>
      <vt:variant>
        <vt:i4>0</vt:i4>
      </vt:variant>
      <vt:variant>
        <vt:i4>5</vt:i4>
      </vt:variant>
      <vt:variant>
        <vt:lpwstr/>
      </vt:variant>
      <vt:variant>
        <vt:lpwstr>_Toc152172740</vt:lpwstr>
      </vt:variant>
      <vt:variant>
        <vt:i4>1179699</vt:i4>
      </vt:variant>
      <vt:variant>
        <vt:i4>242</vt:i4>
      </vt:variant>
      <vt:variant>
        <vt:i4>0</vt:i4>
      </vt:variant>
      <vt:variant>
        <vt:i4>5</vt:i4>
      </vt:variant>
      <vt:variant>
        <vt:lpwstr/>
      </vt:variant>
      <vt:variant>
        <vt:lpwstr>_Toc152172739</vt:lpwstr>
      </vt:variant>
      <vt:variant>
        <vt:i4>1179699</vt:i4>
      </vt:variant>
      <vt:variant>
        <vt:i4>236</vt:i4>
      </vt:variant>
      <vt:variant>
        <vt:i4>0</vt:i4>
      </vt:variant>
      <vt:variant>
        <vt:i4>5</vt:i4>
      </vt:variant>
      <vt:variant>
        <vt:lpwstr/>
      </vt:variant>
      <vt:variant>
        <vt:lpwstr>_Toc152172738</vt:lpwstr>
      </vt:variant>
      <vt:variant>
        <vt:i4>1179699</vt:i4>
      </vt:variant>
      <vt:variant>
        <vt:i4>230</vt:i4>
      </vt:variant>
      <vt:variant>
        <vt:i4>0</vt:i4>
      </vt:variant>
      <vt:variant>
        <vt:i4>5</vt:i4>
      </vt:variant>
      <vt:variant>
        <vt:lpwstr/>
      </vt:variant>
      <vt:variant>
        <vt:lpwstr>_Toc152172737</vt:lpwstr>
      </vt:variant>
      <vt:variant>
        <vt:i4>1179699</vt:i4>
      </vt:variant>
      <vt:variant>
        <vt:i4>224</vt:i4>
      </vt:variant>
      <vt:variant>
        <vt:i4>0</vt:i4>
      </vt:variant>
      <vt:variant>
        <vt:i4>5</vt:i4>
      </vt:variant>
      <vt:variant>
        <vt:lpwstr/>
      </vt:variant>
      <vt:variant>
        <vt:lpwstr>_Toc152172736</vt:lpwstr>
      </vt:variant>
      <vt:variant>
        <vt:i4>1179699</vt:i4>
      </vt:variant>
      <vt:variant>
        <vt:i4>218</vt:i4>
      </vt:variant>
      <vt:variant>
        <vt:i4>0</vt:i4>
      </vt:variant>
      <vt:variant>
        <vt:i4>5</vt:i4>
      </vt:variant>
      <vt:variant>
        <vt:lpwstr/>
      </vt:variant>
      <vt:variant>
        <vt:lpwstr>_Toc152172735</vt:lpwstr>
      </vt:variant>
      <vt:variant>
        <vt:i4>1179699</vt:i4>
      </vt:variant>
      <vt:variant>
        <vt:i4>212</vt:i4>
      </vt:variant>
      <vt:variant>
        <vt:i4>0</vt:i4>
      </vt:variant>
      <vt:variant>
        <vt:i4>5</vt:i4>
      </vt:variant>
      <vt:variant>
        <vt:lpwstr/>
      </vt:variant>
      <vt:variant>
        <vt:lpwstr>_Toc152172734</vt:lpwstr>
      </vt:variant>
      <vt:variant>
        <vt:i4>1179699</vt:i4>
      </vt:variant>
      <vt:variant>
        <vt:i4>206</vt:i4>
      </vt:variant>
      <vt:variant>
        <vt:i4>0</vt:i4>
      </vt:variant>
      <vt:variant>
        <vt:i4>5</vt:i4>
      </vt:variant>
      <vt:variant>
        <vt:lpwstr/>
      </vt:variant>
      <vt:variant>
        <vt:lpwstr>_Toc152172733</vt:lpwstr>
      </vt:variant>
      <vt:variant>
        <vt:i4>1179699</vt:i4>
      </vt:variant>
      <vt:variant>
        <vt:i4>200</vt:i4>
      </vt:variant>
      <vt:variant>
        <vt:i4>0</vt:i4>
      </vt:variant>
      <vt:variant>
        <vt:i4>5</vt:i4>
      </vt:variant>
      <vt:variant>
        <vt:lpwstr/>
      </vt:variant>
      <vt:variant>
        <vt:lpwstr>_Toc152172732</vt:lpwstr>
      </vt:variant>
      <vt:variant>
        <vt:i4>1179699</vt:i4>
      </vt:variant>
      <vt:variant>
        <vt:i4>194</vt:i4>
      </vt:variant>
      <vt:variant>
        <vt:i4>0</vt:i4>
      </vt:variant>
      <vt:variant>
        <vt:i4>5</vt:i4>
      </vt:variant>
      <vt:variant>
        <vt:lpwstr/>
      </vt:variant>
      <vt:variant>
        <vt:lpwstr>_Toc152172731</vt:lpwstr>
      </vt:variant>
      <vt:variant>
        <vt:i4>1179699</vt:i4>
      </vt:variant>
      <vt:variant>
        <vt:i4>188</vt:i4>
      </vt:variant>
      <vt:variant>
        <vt:i4>0</vt:i4>
      </vt:variant>
      <vt:variant>
        <vt:i4>5</vt:i4>
      </vt:variant>
      <vt:variant>
        <vt:lpwstr/>
      </vt:variant>
      <vt:variant>
        <vt:lpwstr>_Toc152172730</vt:lpwstr>
      </vt:variant>
      <vt:variant>
        <vt:i4>1245235</vt:i4>
      </vt:variant>
      <vt:variant>
        <vt:i4>182</vt:i4>
      </vt:variant>
      <vt:variant>
        <vt:i4>0</vt:i4>
      </vt:variant>
      <vt:variant>
        <vt:i4>5</vt:i4>
      </vt:variant>
      <vt:variant>
        <vt:lpwstr/>
      </vt:variant>
      <vt:variant>
        <vt:lpwstr>_Toc152172729</vt:lpwstr>
      </vt:variant>
      <vt:variant>
        <vt:i4>1245235</vt:i4>
      </vt:variant>
      <vt:variant>
        <vt:i4>176</vt:i4>
      </vt:variant>
      <vt:variant>
        <vt:i4>0</vt:i4>
      </vt:variant>
      <vt:variant>
        <vt:i4>5</vt:i4>
      </vt:variant>
      <vt:variant>
        <vt:lpwstr/>
      </vt:variant>
      <vt:variant>
        <vt:lpwstr>_Toc152172728</vt:lpwstr>
      </vt:variant>
      <vt:variant>
        <vt:i4>1245235</vt:i4>
      </vt:variant>
      <vt:variant>
        <vt:i4>170</vt:i4>
      </vt:variant>
      <vt:variant>
        <vt:i4>0</vt:i4>
      </vt:variant>
      <vt:variant>
        <vt:i4>5</vt:i4>
      </vt:variant>
      <vt:variant>
        <vt:lpwstr/>
      </vt:variant>
      <vt:variant>
        <vt:lpwstr>_Toc152172727</vt:lpwstr>
      </vt:variant>
      <vt:variant>
        <vt:i4>1245235</vt:i4>
      </vt:variant>
      <vt:variant>
        <vt:i4>164</vt:i4>
      </vt:variant>
      <vt:variant>
        <vt:i4>0</vt:i4>
      </vt:variant>
      <vt:variant>
        <vt:i4>5</vt:i4>
      </vt:variant>
      <vt:variant>
        <vt:lpwstr/>
      </vt:variant>
      <vt:variant>
        <vt:lpwstr>_Toc152172726</vt:lpwstr>
      </vt:variant>
      <vt:variant>
        <vt:i4>1245235</vt:i4>
      </vt:variant>
      <vt:variant>
        <vt:i4>158</vt:i4>
      </vt:variant>
      <vt:variant>
        <vt:i4>0</vt:i4>
      </vt:variant>
      <vt:variant>
        <vt:i4>5</vt:i4>
      </vt:variant>
      <vt:variant>
        <vt:lpwstr/>
      </vt:variant>
      <vt:variant>
        <vt:lpwstr>_Toc152172725</vt:lpwstr>
      </vt:variant>
      <vt:variant>
        <vt:i4>1245235</vt:i4>
      </vt:variant>
      <vt:variant>
        <vt:i4>152</vt:i4>
      </vt:variant>
      <vt:variant>
        <vt:i4>0</vt:i4>
      </vt:variant>
      <vt:variant>
        <vt:i4>5</vt:i4>
      </vt:variant>
      <vt:variant>
        <vt:lpwstr/>
      </vt:variant>
      <vt:variant>
        <vt:lpwstr>_Toc152172724</vt:lpwstr>
      </vt:variant>
      <vt:variant>
        <vt:i4>1245235</vt:i4>
      </vt:variant>
      <vt:variant>
        <vt:i4>146</vt:i4>
      </vt:variant>
      <vt:variant>
        <vt:i4>0</vt:i4>
      </vt:variant>
      <vt:variant>
        <vt:i4>5</vt:i4>
      </vt:variant>
      <vt:variant>
        <vt:lpwstr/>
      </vt:variant>
      <vt:variant>
        <vt:lpwstr>_Toc152172723</vt:lpwstr>
      </vt:variant>
      <vt:variant>
        <vt:i4>1245235</vt:i4>
      </vt:variant>
      <vt:variant>
        <vt:i4>140</vt:i4>
      </vt:variant>
      <vt:variant>
        <vt:i4>0</vt:i4>
      </vt:variant>
      <vt:variant>
        <vt:i4>5</vt:i4>
      </vt:variant>
      <vt:variant>
        <vt:lpwstr/>
      </vt:variant>
      <vt:variant>
        <vt:lpwstr>_Toc152172722</vt:lpwstr>
      </vt:variant>
      <vt:variant>
        <vt:i4>1245235</vt:i4>
      </vt:variant>
      <vt:variant>
        <vt:i4>134</vt:i4>
      </vt:variant>
      <vt:variant>
        <vt:i4>0</vt:i4>
      </vt:variant>
      <vt:variant>
        <vt:i4>5</vt:i4>
      </vt:variant>
      <vt:variant>
        <vt:lpwstr/>
      </vt:variant>
      <vt:variant>
        <vt:lpwstr>_Toc152172721</vt:lpwstr>
      </vt:variant>
      <vt:variant>
        <vt:i4>1245235</vt:i4>
      </vt:variant>
      <vt:variant>
        <vt:i4>128</vt:i4>
      </vt:variant>
      <vt:variant>
        <vt:i4>0</vt:i4>
      </vt:variant>
      <vt:variant>
        <vt:i4>5</vt:i4>
      </vt:variant>
      <vt:variant>
        <vt:lpwstr/>
      </vt:variant>
      <vt:variant>
        <vt:lpwstr>_Toc152172720</vt:lpwstr>
      </vt:variant>
      <vt:variant>
        <vt:i4>1048627</vt:i4>
      </vt:variant>
      <vt:variant>
        <vt:i4>122</vt:i4>
      </vt:variant>
      <vt:variant>
        <vt:i4>0</vt:i4>
      </vt:variant>
      <vt:variant>
        <vt:i4>5</vt:i4>
      </vt:variant>
      <vt:variant>
        <vt:lpwstr/>
      </vt:variant>
      <vt:variant>
        <vt:lpwstr>_Toc152172719</vt:lpwstr>
      </vt:variant>
      <vt:variant>
        <vt:i4>1048627</vt:i4>
      </vt:variant>
      <vt:variant>
        <vt:i4>116</vt:i4>
      </vt:variant>
      <vt:variant>
        <vt:i4>0</vt:i4>
      </vt:variant>
      <vt:variant>
        <vt:i4>5</vt:i4>
      </vt:variant>
      <vt:variant>
        <vt:lpwstr/>
      </vt:variant>
      <vt:variant>
        <vt:lpwstr>_Toc152172718</vt:lpwstr>
      </vt:variant>
      <vt:variant>
        <vt:i4>1048627</vt:i4>
      </vt:variant>
      <vt:variant>
        <vt:i4>110</vt:i4>
      </vt:variant>
      <vt:variant>
        <vt:i4>0</vt:i4>
      </vt:variant>
      <vt:variant>
        <vt:i4>5</vt:i4>
      </vt:variant>
      <vt:variant>
        <vt:lpwstr/>
      </vt:variant>
      <vt:variant>
        <vt:lpwstr>_Toc152172717</vt:lpwstr>
      </vt:variant>
      <vt:variant>
        <vt:i4>1048627</vt:i4>
      </vt:variant>
      <vt:variant>
        <vt:i4>104</vt:i4>
      </vt:variant>
      <vt:variant>
        <vt:i4>0</vt:i4>
      </vt:variant>
      <vt:variant>
        <vt:i4>5</vt:i4>
      </vt:variant>
      <vt:variant>
        <vt:lpwstr/>
      </vt:variant>
      <vt:variant>
        <vt:lpwstr>_Toc152172716</vt:lpwstr>
      </vt:variant>
      <vt:variant>
        <vt:i4>1048627</vt:i4>
      </vt:variant>
      <vt:variant>
        <vt:i4>98</vt:i4>
      </vt:variant>
      <vt:variant>
        <vt:i4>0</vt:i4>
      </vt:variant>
      <vt:variant>
        <vt:i4>5</vt:i4>
      </vt:variant>
      <vt:variant>
        <vt:lpwstr/>
      </vt:variant>
      <vt:variant>
        <vt:lpwstr>_Toc152172715</vt:lpwstr>
      </vt:variant>
      <vt:variant>
        <vt:i4>1048627</vt:i4>
      </vt:variant>
      <vt:variant>
        <vt:i4>92</vt:i4>
      </vt:variant>
      <vt:variant>
        <vt:i4>0</vt:i4>
      </vt:variant>
      <vt:variant>
        <vt:i4>5</vt:i4>
      </vt:variant>
      <vt:variant>
        <vt:lpwstr/>
      </vt:variant>
      <vt:variant>
        <vt:lpwstr>_Toc152172714</vt:lpwstr>
      </vt:variant>
      <vt:variant>
        <vt:i4>1048627</vt:i4>
      </vt:variant>
      <vt:variant>
        <vt:i4>86</vt:i4>
      </vt:variant>
      <vt:variant>
        <vt:i4>0</vt:i4>
      </vt:variant>
      <vt:variant>
        <vt:i4>5</vt:i4>
      </vt:variant>
      <vt:variant>
        <vt:lpwstr/>
      </vt:variant>
      <vt:variant>
        <vt:lpwstr>_Toc152172713</vt:lpwstr>
      </vt:variant>
      <vt:variant>
        <vt:i4>1048627</vt:i4>
      </vt:variant>
      <vt:variant>
        <vt:i4>80</vt:i4>
      </vt:variant>
      <vt:variant>
        <vt:i4>0</vt:i4>
      </vt:variant>
      <vt:variant>
        <vt:i4>5</vt:i4>
      </vt:variant>
      <vt:variant>
        <vt:lpwstr/>
      </vt:variant>
      <vt:variant>
        <vt:lpwstr>_Toc152172712</vt:lpwstr>
      </vt:variant>
      <vt:variant>
        <vt:i4>1048627</vt:i4>
      </vt:variant>
      <vt:variant>
        <vt:i4>74</vt:i4>
      </vt:variant>
      <vt:variant>
        <vt:i4>0</vt:i4>
      </vt:variant>
      <vt:variant>
        <vt:i4>5</vt:i4>
      </vt:variant>
      <vt:variant>
        <vt:lpwstr/>
      </vt:variant>
      <vt:variant>
        <vt:lpwstr>_Toc152172711</vt:lpwstr>
      </vt:variant>
      <vt:variant>
        <vt:i4>1048627</vt:i4>
      </vt:variant>
      <vt:variant>
        <vt:i4>68</vt:i4>
      </vt:variant>
      <vt:variant>
        <vt:i4>0</vt:i4>
      </vt:variant>
      <vt:variant>
        <vt:i4>5</vt:i4>
      </vt:variant>
      <vt:variant>
        <vt:lpwstr/>
      </vt:variant>
      <vt:variant>
        <vt:lpwstr>_Toc152172710</vt:lpwstr>
      </vt:variant>
      <vt:variant>
        <vt:i4>1114163</vt:i4>
      </vt:variant>
      <vt:variant>
        <vt:i4>62</vt:i4>
      </vt:variant>
      <vt:variant>
        <vt:i4>0</vt:i4>
      </vt:variant>
      <vt:variant>
        <vt:i4>5</vt:i4>
      </vt:variant>
      <vt:variant>
        <vt:lpwstr/>
      </vt:variant>
      <vt:variant>
        <vt:lpwstr>_Toc152172709</vt:lpwstr>
      </vt:variant>
      <vt:variant>
        <vt:i4>1114163</vt:i4>
      </vt:variant>
      <vt:variant>
        <vt:i4>56</vt:i4>
      </vt:variant>
      <vt:variant>
        <vt:i4>0</vt:i4>
      </vt:variant>
      <vt:variant>
        <vt:i4>5</vt:i4>
      </vt:variant>
      <vt:variant>
        <vt:lpwstr/>
      </vt:variant>
      <vt:variant>
        <vt:lpwstr>_Toc152172708</vt:lpwstr>
      </vt:variant>
      <vt:variant>
        <vt:i4>1114163</vt:i4>
      </vt:variant>
      <vt:variant>
        <vt:i4>50</vt:i4>
      </vt:variant>
      <vt:variant>
        <vt:i4>0</vt:i4>
      </vt:variant>
      <vt:variant>
        <vt:i4>5</vt:i4>
      </vt:variant>
      <vt:variant>
        <vt:lpwstr/>
      </vt:variant>
      <vt:variant>
        <vt:lpwstr>_Toc152172707</vt:lpwstr>
      </vt:variant>
      <vt:variant>
        <vt:i4>1114163</vt:i4>
      </vt:variant>
      <vt:variant>
        <vt:i4>44</vt:i4>
      </vt:variant>
      <vt:variant>
        <vt:i4>0</vt:i4>
      </vt:variant>
      <vt:variant>
        <vt:i4>5</vt:i4>
      </vt:variant>
      <vt:variant>
        <vt:lpwstr/>
      </vt:variant>
      <vt:variant>
        <vt:lpwstr>_Toc152172706</vt:lpwstr>
      </vt:variant>
      <vt:variant>
        <vt:i4>1114163</vt:i4>
      </vt:variant>
      <vt:variant>
        <vt:i4>38</vt:i4>
      </vt:variant>
      <vt:variant>
        <vt:i4>0</vt:i4>
      </vt:variant>
      <vt:variant>
        <vt:i4>5</vt:i4>
      </vt:variant>
      <vt:variant>
        <vt:lpwstr/>
      </vt:variant>
      <vt:variant>
        <vt:lpwstr>_Toc152172705</vt:lpwstr>
      </vt:variant>
      <vt:variant>
        <vt:i4>1114163</vt:i4>
      </vt:variant>
      <vt:variant>
        <vt:i4>32</vt:i4>
      </vt:variant>
      <vt:variant>
        <vt:i4>0</vt:i4>
      </vt:variant>
      <vt:variant>
        <vt:i4>5</vt:i4>
      </vt:variant>
      <vt:variant>
        <vt:lpwstr/>
      </vt:variant>
      <vt:variant>
        <vt:lpwstr>_Toc152172704</vt:lpwstr>
      </vt:variant>
      <vt:variant>
        <vt:i4>1114163</vt:i4>
      </vt:variant>
      <vt:variant>
        <vt:i4>26</vt:i4>
      </vt:variant>
      <vt:variant>
        <vt:i4>0</vt:i4>
      </vt:variant>
      <vt:variant>
        <vt:i4>5</vt:i4>
      </vt:variant>
      <vt:variant>
        <vt:lpwstr/>
      </vt:variant>
      <vt:variant>
        <vt:lpwstr>_Toc152172703</vt:lpwstr>
      </vt:variant>
      <vt:variant>
        <vt:i4>1114163</vt:i4>
      </vt:variant>
      <vt:variant>
        <vt:i4>20</vt:i4>
      </vt:variant>
      <vt:variant>
        <vt:i4>0</vt:i4>
      </vt:variant>
      <vt:variant>
        <vt:i4>5</vt:i4>
      </vt:variant>
      <vt:variant>
        <vt:lpwstr/>
      </vt:variant>
      <vt:variant>
        <vt:lpwstr>_Toc152172702</vt:lpwstr>
      </vt:variant>
      <vt:variant>
        <vt:i4>1114163</vt:i4>
      </vt:variant>
      <vt:variant>
        <vt:i4>14</vt:i4>
      </vt:variant>
      <vt:variant>
        <vt:i4>0</vt:i4>
      </vt:variant>
      <vt:variant>
        <vt:i4>5</vt:i4>
      </vt:variant>
      <vt:variant>
        <vt:lpwstr/>
      </vt:variant>
      <vt:variant>
        <vt:lpwstr>_Toc152172701</vt:lpwstr>
      </vt:variant>
      <vt:variant>
        <vt:i4>1114163</vt:i4>
      </vt:variant>
      <vt:variant>
        <vt:i4>8</vt:i4>
      </vt:variant>
      <vt:variant>
        <vt:i4>0</vt:i4>
      </vt:variant>
      <vt:variant>
        <vt:i4>5</vt:i4>
      </vt:variant>
      <vt:variant>
        <vt:lpwstr/>
      </vt:variant>
      <vt:variant>
        <vt:lpwstr>_Toc152172700</vt:lpwstr>
      </vt:variant>
      <vt:variant>
        <vt:i4>1572914</vt:i4>
      </vt:variant>
      <vt:variant>
        <vt:i4>2</vt:i4>
      </vt:variant>
      <vt:variant>
        <vt:i4>0</vt:i4>
      </vt:variant>
      <vt:variant>
        <vt:i4>5</vt:i4>
      </vt:variant>
      <vt:variant>
        <vt:lpwstr/>
      </vt:variant>
      <vt:variant>
        <vt:lpwstr>_Toc152172699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Microsoft Entra Private Access à destination des établissements de santé</dc:title>
  <dc:subject/>
  <dc:creator>Philippe.Beraud@microsoft.com;Arnaud.Jumelet@microsoft.com</dc:creator>
  <cp:keywords/>
  <cp:lastModifiedBy>Philippe Beraud</cp:lastModifiedBy>
  <cp:revision>669</cp:revision>
  <cp:lastPrinted>2020-09-10T07:24:00Z</cp:lastPrinted>
  <dcterms:created xsi:type="dcterms:W3CDTF">2023-05-27T00:22:00Z</dcterms:created>
  <dcterms:modified xsi:type="dcterms:W3CDTF">2024-09-11T15:19:00Z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