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590689C4"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E7390">
            <w:rPr>
              <w:rFonts w:eastAsia="Times New Roman"/>
              <w:color w:val="FFFFFF" w:themeColor="background1"/>
              <w:sz w:val="32"/>
              <w:szCs w:val="44"/>
            </w:rPr>
            <w:t>4</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E7390">
            <w:rPr>
              <w:rFonts w:eastAsia="Times New Roman"/>
              <w:color w:val="FFFFFF" w:themeColor="background1"/>
              <w:sz w:val="32"/>
              <w:szCs w:val="44"/>
            </w:rPr>
            <w:t>Avril</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6B4172"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3E0C9BA0" w14:textId="6F326DBB" w:rsidR="00C410C3"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64780083" w:history="1">
            <w:r w:rsidR="00C410C3" w:rsidRPr="006F4D50">
              <w:rPr>
                <w:rStyle w:val="Lienhypertexte"/>
              </w:rPr>
              <w:t>1</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Introduction</w:t>
            </w:r>
            <w:r w:rsidR="00C410C3">
              <w:rPr>
                <w:webHidden/>
              </w:rPr>
              <w:tab/>
            </w:r>
            <w:r w:rsidR="00C410C3">
              <w:rPr>
                <w:webHidden/>
              </w:rPr>
              <w:fldChar w:fldCharType="begin"/>
            </w:r>
            <w:r w:rsidR="00C410C3">
              <w:rPr>
                <w:webHidden/>
              </w:rPr>
              <w:instrText xml:space="preserve"> PAGEREF _Toc164780083 \h </w:instrText>
            </w:r>
            <w:r w:rsidR="00C410C3">
              <w:rPr>
                <w:webHidden/>
              </w:rPr>
            </w:r>
            <w:r w:rsidR="00C410C3">
              <w:rPr>
                <w:webHidden/>
              </w:rPr>
              <w:fldChar w:fldCharType="separate"/>
            </w:r>
            <w:r w:rsidR="00C410C3">
              <w:rPr>
                <w:webHidden/>
              </w:rPr>
              <w:t>5</w:t>
            </w:r>
            <w:r w:rsidR="00C410C3">
              <w:rPr>
                <w:webHidden/>
              </w:rPr>
              <w:fldChar w:fldCharType="end"/>
            </w:r>
          </w:hyperlink>
        </w:p>
        <w:p w14:paraId="04BB303B" w14:textId="31D407CC"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84" w:history="1">
            <w:r w:rsidR="00C410C3" w:rsidRPr="006F4D50">
              <w:rPr>
                <w:rStyle w:val="Lienhypertexte"/>
              </w:rPr>
              <w:t>1.1</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Présentation succincte de Pro Santé Connect (PSC)</w:t>
            </w:r>
            <w:r w:rsidR="00C410C3">
              <w:rPr>
                <w:webHidden/>
              </w:rPr>
              <w:tab/>
            </w:r>
            <w:r w:rsidR="00C410C3">
              <w:rPr>
                <w:webHidden/>
              </w:rPr>
              <w:fldChar w:fldCharType="begin"/>
            </w:r>
            <w:r w:rsidR="00C410C3">
              <w:rPr>
                <w:webHidden/>
              </w:rPr>
              <w:instrText xml:space="preserve"> PAGEREF _Toc164780084 \h </w:instrText>
            </w:r>
            <w:r w:rsidR="00C410C3">
              <w:rPr>
                <w:webHidden/>
              </w:rPr>
            </w:r>
            <w:r w:rsidR="00C410C3">
              <w:rPr>
                <w:webHidden/>
              </w:rPr>
              <w:fldChar w:fldCharType="separate"/>
            </w:r>
            <w:r w:rsidR="00C410C3">
              <w:rPr>
                <w:webHidden/>
              </w:rPr>
              <w:t>5</w:t>
            </w:r>
            <w:r w:rsidR="00C410C3">
              <w:rPr>
                <w:webHidden/>
              </w:rPr>
              <w:fldChar w:fldCharType="end"/>
            </w:r>
          </w:hyperlink>
        </w:p>
        <w:p w14:paraId="1C35F884" w14:textId="712252F2"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85" w:history="1">
            <w:r w:rsidR="00C410C3" w:rsidRPr="006F4D50">
              <w:rPr>
                <w:rStyle w:val="Lienhypertexte"/>
              </w:rPr>
              <w:t>1.2</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Objectif du guide</w:t>
            </w:r>
            <w:r w:rsidR="00C410C3">
              <w:rPr>
                <w:webHidden/>
              </w:rPr>
              <w:tab/>
            </w:r>
            <w:r w:rsidR="00C410C3">
              <w:rPr>
                <w:webHidden/>
              </w:rPr>
              <w:fldChar w:fldCharType="begin"/>
            </w:r>
            <w:r w:rsidR="00C410C3">
              <w:rPr>
                <w:webHidden/>
              </w:rPr>
              <w:instrText xml:space="preserve"> PAGEREF _Toc164780085 \h </w:instrText>
            </w:r>
            <w:r w:rsidR="00C410C3">
              <w:rPr>
                <w:webHidden/>
              </w:rPr>
            </w:r>
            <w:r w:rsidR="00C410C3">
              <w:rPr>
                <w:webHidden/>
              </w:rPr>
              <w:fldChar w:fldCharType="separate"/>
            </w:r>
            <w:r w:rsidR="00C410C3">
              <w:rPr>
                <w:webHidden/>
              </w:rPr>
              <w:t>5</w:t>
            </w:r>
            <w:r w:rsidR="00C410C3">
              <w:rPr>
                <w:webHidden/>
              </w:rPr>
              <w:fldChar w:fldCharType="end"/>
            </w:r>
          </w:hyperlink>
        </w:p>
        <w:p w14:paraId="5D8B9274" w14:textId="369F0EBC"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86" w:history="1">
            <w:r w:rsidR="00C410C3" w:rsidRPr="006F4D50">
              <w:rPr>
                <w:rStyle w:val="Lienhypertexte"/>
              </w:rPr>
              <w:t>1.3</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Non-objectifs du guide</w:t>
            </w:r>
            <w:r w:rsidR="00C410C3">
              <w:rPr>
                <w:webHidden/>
              </w:rPr>
              <w:tab/>
            </w:r>
            <w:r w:rsidR="00C410C3">
              <w:rPr>
                <w:webHidden/>
              </w:rPr>
              <w:fldChar w:fldCharType="begin"/>
            </w:r>
            <w:r w:rsidR="00C410C3">
              <w:rPr>
                <w:webHidden/>
              </w:rPr>
              <w:instrText xml:space="preserve"> PAGEREF _Toc164780086 \h </w:instrText>
            </w:r>
            <w:r w:rsidR="00C410C3">
              <w:rPr>
                <w:webHidden/>
              </w:rPr>
            </w:r>
            <w:r w:rsidR="00C410C3">
              <w:rPr>
                <w:webHidden/>
              </w:rPr>
              <w:fldChar w:fldCharType="separate"/>
            </w:r>
            <w:r w:rsidR="00C410C3">
              <w:rPr>
                <w:webHidden/>
              </w:rPr>
              <w:t>6</w:t>
            </w:r>
            <w:r w:rsidR="00C410C3">
              <w:rPr>
                <w:webHidden/>
              </w:rPr>
              <w:fldChar w:fldCharType="end"/>
            </w:r>
          </w:hyperlink>
        </w:p>
        <w:p w14:paraId="4E7E5650" w14:textId="5D42667F" w:rsidR="00C410C3" w:rsidRDefault="006B4172">
          <w:pPr>
            <w:pStyle w:val="TM1"/>
            <w:rPr>
              <w:rFonts w:asciiTheme="minorHAnsi" w:eastAsiaTheme="minorEastAsia" w:hAnsiTheme="minorHAnsi" w:cstheme="minorBidi"/>
              <w:kern w:val="2"/>
              <w:sz w:val="24"/>
              <w:szCs w:val="24"/>
              <w:lang w:eastAsia="fr-FR"/>
              <w14:ligatures w14:val="standardContextual"/>
            </w:rPr>
          </w:pPr>
          <w:hyperlink w:anchor="_Toc164780087" w:history="1">
            <w:r w:rsidR="00C410C3" w:rsidRPr="006F4D50">
              <w:rPr>
                <w:rStyle w:val="Lienhypertexte"/>
              </w:rPr>
              <w:t>2</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Raccordement de PSC avec Microsoft Entra ID</w:t>
            </w:r>
            <w:r w:rsidR="00C410C3">
              <w:rPr>
                <w:webHidden/>
              </w:rPr>
              <w:tab/>
            </w:r>
            <w:r w:rsidR="00C410C3">
              <w:rPr>
                <w:webHidden/>
              </w:rPr>
              <w:fldChar w:fldCharType="begin"/>
            </w:r>
            <w:r w:rsidR="00C410C3">
              <w:rPr>
                <w:webHidden/>
              </w:rPr>
              <w:instrText xml:space="preserve"> PAGEREF _Toc164780087 \h </w:instrText>
            </w:r>
            <w:r w:rsidR="00C410C3">
              <w:rPr>
                <w:webHidden/>
              </w:rPr>
            </w:r>
            <w:r w:rsidR="00C410C3">
              <w:rPr>
                <w:webHidden/>
              </w:rPr>
              <w:fldChar w:fldCharType="separate"/>
            </w:r>
            <w:r w:rsidR="00C410C3">
              <w:rPr>
                <w:webHidden/>
              </w:rPr>
              <w:t>7</w:t>
            </w:r>
            <w:r w:rsidR="00C410C3">
              <w:rPr>
                <w:webHidden/>
              </w:rPr>
              <w:fldChar w:fldCharType="end"/>
            </w:r>
          </w:hyperlink>
        </w:p>
        <w:p w14:paraId="5FC223A9" w14:textId="498924E7"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88" w:history="1">
            <w:r w:rsidR="00C410C3" w:rsidRPr="006F4D50">
              <w:rPr>
                <w:rStyle w:val="Lienhypertexte"/>
              </w:rPr>
              <w:t>2.1</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Inscription auprès de l’ANS</w:t>
            </w:r>
            <w:r w:rsidR="00C410C3">
              <w:rPr>
                <w:webHidden/>
              </w:rPr>
              <w:tab/>
            </w:r>
            <w:r w:rsidR="00C410C3">
              <w:rPr>
                <w:webHidden/>
              </w:rPr>
              <w:fldChar w:fldCharType="begin"/>
            </w:r>
            <w:r w:rsidR="00C410C3">
              <w:rPr>
                <w:webHidden/>
              </w:rPr>
              <w:instrText xml:space="preserve"> PAGEREF _Toc164780088 \h </w:instrText>
            </w:r>
            <w:r w:rsidR="00C410C3">
              <w:rPr>
                <w:webHidden/>
              </w:rPr>
            </w:r>
            <w:r w:rsidR="00C410C3">
              <w:rPr>
                <w:webHidden/>
              </w:rPr>
              <w:fldChar w:fldCharType="separate"/>
            </w:r>
            <w:r w:rsidR="00C410C3">
              <w:rPr>
                <w:webHidden/>
              </w:rPr>
              <w:t>7</w:t>
            </w:r>
            <w:r w:rsidR="00C410C3">
              <w:rPr>
                <w:webHidden/>
              </w:rPr>
              <w:fldChar w:fldCharType="end"/>
            </w:r>
          </w:hyperlink>
        </w:p>
        <w:p w14:paraId="35DEFA1D" w14:textId="2340A2D1"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89" w:history="1">
            <w:r w:rsidR="00C410C3" w:rsidRPr="006F4D50">
              <w:rPr>
                <w:rStyle w:val="Lienhypertexte"/>
              </w:rPr>
              <w:t>2.2</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Déclaration dans Microsoft Entra ID</w:t>
            </w:r>
            <w:r w:rsidR="00C410C3">
              <w:rPr>
                <w:webHidden/>
              </w:rPr>
              <w:tab/>
            </w:r>
            <w:r w:rsidR="00C410C3">
              <w:rPr>
                <w:webHidden/>
              </w:rPr>
              <w:fldChar w:fldCharType="begin"/>
            </w:r>
            <w:r w:rsidR="00C410C3">
              <w:rPr>
                <w:webHidden/>
              </w:rPr>
              <w:instrText xml:space="preserve"> PAGEREF _Toc164780089 \h </w:instrText>
            </w:r>
            <w:r w:rsidR="00C410C3">
              <w:rPr>
                <w:webHidden/>
              </w:rPr>
            </w:r>
            <w:r w:rsidR="00C410C3">
              <w:rPr>
                <w:webHidden/>
              </w:rPr>
              <w:fldChar w:fldCharType="separate"/>
            </w:r>
            <w:r w:rsidR="00C410C3">
              <w:rPr>
                <w:webHidden/>
              </w:rPr>
              <w:t>8</w:t>
            </w:r>
            <w:r w:rsidR="00C410C3">
              <w:rPr>
                <w:webHidden/>
              </w:rPr>
              <w:fldChar w:fldCharType="end"/>
            </w:r>
          </w:hyperlink>
        </w:p>
        <w:p w14:paraId="462DFDB5" w14:textId="5F0915D4" w:rsidR="00C410C3" w:rsidRDefault="006B4172">
          <w:pPr>
            <w:pStyle w:val="TM1"/>
            <w:rPr>
              <w:rFonts w:asciiTheme="minorHAnsi" w:eastAsiaTheme="minorEastAsia" w:hAnsiTheme="minorHAnsi" w:cstheme="minorBidi"/>
              <w:kern w:val="2"/>
              <w:sz w:val="24"/>
              <w:szCs w:val="24"/>
              <w:lang w:eastAsia="fr-FR"/>
              <w14:ligatures w14:val="standardContextual"/>
            </w:rPr>
          </w:pPr>
          <w:hyperlink w:anchor="_Toc164780090" w:history="1">
            <w:r w:rsidR="00C410C3" w:rsidRPr="006F4D50">
              <w:rPr>
                <w:rStyle w:val="Lienhypertexte"/>
              </w:rPr>
              <w:t>3</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Gestion de l’application PSC dans Microsoft Entra ID</w:t>
            </w:r>
            <w:r w:rsidR="00C410C3">
              <w:rPr>
                <w:webHidden/>
              </w:rPr>
              <w:tab/>
            </w:r>
            <w:r w:rsidR="00C410C3">
              <w:rPr>
                <w:webHidden/>
              </w:rPr>
              <w:fldChar w:fldCharType="begin"/>
            </w:r>
            <w:r w:rsidR="00C410C3">
              <w:rPr>
                <w:webHidden/>
              </w:rPr>
              <w:instrText xml:space="preserve"> PAGEREF _Toc164780090 \h </w:instrText>
            </w:r>
            <w:r w:rsidR="00C410C3">
              <w:rPr>
                <w:webHidden/>
              </w:rPr>
            </w:r>
            <w:r w:rsidR="00C410C3">
              <w:rPr>
                <w:webHidden/>
              </w:rPr>
              <w:fldChar w:fldCharType="separate"/>
            </w:r>
            <w:r w:rsidR="00C410C3">
              <w:rPr>
                <w:webHidden/>
              </w:rPr>
              <w:t>12</w:t>
            </w:r>
            <w:r w:rsidR="00C410C3">
              <w:rPr>
                <w:webHidden/>
              </w:rPr>
              <w:fldChar w:fldCharType="end"/>
            </w:r>
          </w:hyperlink>
        </w:p>
        <w:p w14:paraId="6D6AD40E" w14:textId="5D01E4AB"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91" w:history="1">
            <w:r w:rsidR="00C410C3" w:rsidRPr="006F4D50">
              <w:rPr>
                <w:rStyle w:val="Lienhypertexte"/>
              </w:rPr>
              <w:t>3.1</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Gestion des accès à l’application PSC dans Microsoft Entra ID</w:t>
            </w:r>
            <w:r w:rsidR="00C410C3">
              <w:rPr>
                <w:webHidden/>
              </w:rPr>
              <w:tab/>
            </w:r>
            <w:r w:rsidR="00C410C3">
              <w:rPr>
                <w:webHidden/>
              </w:rPr>
              <w:fldChar w:fldCharType="begin"/>
            </w:r>
            <w:r w:rsidR="00C410C3">
              <w:rPr>
                <w:webHidden/>
              </w:rPr>
              <w:instrText xml:space="preserve"> PAGEREF _Toc164780091 \h </w:instrText>
            </w:r>
            <w:r w:rsidR="00C410C3">
              <w:rPr>
                <w:webHidden/>
              </w:rPr>
            </w:r>
            <w:r w:rsidR="00C410C3">
              <w:rPr>
                <w:webHidden/>
              </w:rPr>
              <w:fldChar w:fldCharType="separate"/>
            </w:r>
            <w:r w:rsidR="00C410C3">
              <w:rPr>
                <w:webHidden/>
              </w:rPr>
              <w:t>12</w:t>
            </w:r>
            <w:r w:rsidR="00C410C3">
              <w:rPr>
                <w:webHidden/>
              </w:rPr>
              <w:fldChar w:fldCharType="end"/>
            </w:r>
          </w:hyperlink>
        </w:p>
        <w:p w14:paraId="36560BFB" w14:textId="455390A5"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92" w:history="1">
            <w:r w:rsidR="00C410C3" w:rsidRPr="006F4D50">
              <w:rPr>
                <w:rStyle w:val="Lienhypertexte"/>
              </w:rPr>
              <w:t>3.2</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Défense de l’application PSC</w:t>
            </w:r>
            <w:r w:rsidR="00C410C3">
              <w:rPr>
                <w:webHidden/>
              </w:rPr>
              <w:tab/>
            </w:r>
            <w:r w:rsidR="00C410C3">
              <w:rPr>
                <w:webHidden/>
              </w:rPr>
              <w:fldChar w:fldCharType="begin"/>
            </w:r>
            <w:r w:rsidR="00C410C3">
              <w:rPr>
                <w:webHidden/>
              </w:rPr>
              <w:instrText xml:space="preserve"> PAGEREF _Toc164780092 \h </w:instrText>
            </w:r>
            <w:r w:rsidR="00C410C3">
              <w:rPr>
                <w:webHidden/>
              </w:rPr>
            </w:r>
            <w:r w:rsidR="00C410C3">
              <w:rPr>
                <w:webHidden/>
              </w:rPr>
              <w:fldChar w:fldCharType="separate"/>
            </w:r>
            <w:r w:rsidR="00C410C3">
              <w:rPr>
                <w:webHidden/>
              </w:rPr>
              <w:t>12</w:t>
            </w:r>
            <w:r w:rsidR="00C410C3">
              <w:rPr>
                <w:webHidden/>
              </w:rPr>
              <w:fldChar w:fldCharType="end"/>
            </w:r>
          </w:hyperlink>
        </w:p>
        <w:p w14:paraId="1E166F6E" w14:textId="736485E8" w:rsidR="00C410C3" w:rsidRDefault="006B4172">
          <w:pPr>
            <w:pStyle w:val="TM2"/>
            <w:rPr>
              <w:rFonts w:asciiTheme="minorHAnsi" w:eastAsiaTheme="minorEastAsia" w:hAnsiTheme="minorHAnsi" w:cstheme="minorBidi"/>
              <w:kern w:val="2"/>
              <w:sz w:val="24"/>
              <w:szCs w:val="24"/>
              <w:lang w:eastAsia="fr-FR"/>
              <w14:ligatures w14:val="standardContextual"/>
            </w:rPr>
          </w:pPr>
          <w:hyperlink w:anchor="_Toc164780093" w:history="1">
            <w:r w:rsidR="00C410C3" w:rsidRPr="006F4D50">
              <w:rPr>
                <w:rStyle w:val="Lienhypertexte"/>
              </w:rPr>
              <w:t>3.3</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Autres opérations</w:t>
            </w:r>
            <w:r w:rsidR="00C410C3">
              <w:rPr>
                <w:webHidden/>
              </w:rPr>
              <w:tab/>
            </w:r>
            <w:r w:rsidR="00C410C3">
              <w:rPr>
                <w:webHidden/>
              </w:rPr>
              <w:fldChar w:fldCharType="begin"/>
            </w:r>
            <w:r w:rsidR="00C410C3">
              <w:rPr>
                <w:webHidden/>
              </w:rPr>
              <w:instrText xml:space="preserve"> PAGEREF _Toc164780093 \h </w:instrText>
            </w:r>
            <w:r w:rsidR="00C410C3">
              <w:rPr>
                <w:webHidden/>
              </w:rPr>
            </w:r>
            <w:r w:rsidR="00C410C3">
              <w:rPr>
                <w:webHidden/>
              </w:rPr>
              <w:fldChar w:fldCharType="separate"/>
            </w:r>
            <w:r w:rsidR="00C410C3">
              <w:rPr>
                <w:webHidden/>
              </w:rPr>
              <w:t>13</w:t>
            </w:r>
            <w:r w:rsidR="00C410C3">
              <w:rPr>
                <w:webHidden/>
              </w:rPr>
              <w:fldChar w:fldCharType="end"/>
            </w:r>
          </w:hyperlink>
        </w:p>
        <w:p w14:paraId="5DBDA13B" w14:textId="65566F3F" w:rsidR="00C410C3" w:rsidRDefault="006B4172">
          <w:pPr>
            <w:pStyle w:val="TM1"/>
            <w:rPr>
              <w:rFonts w:asciiTheme="minorHAnsi" w:eastAsiaTheme="minorEastAsia" w:hAnsiTheme="minorHAnsi" w:cstheme="minorBidi"/>
              <w:kern w:val="2"/>
              <w:sz w:val="24"/>
              <w:szCs w:val="24"/>
              <w:lang w:eastAsia="fr-FR"/>
              <w14:ligatures w14:val="standardContextual"/>
            </w:rPr>
          </w:pPr>
          <w:hyperlink w:anchor="_Toc164780094" w:history="1">
            <w:r w:rsidR="00C410C3" w:rsidRPr="006F4D50">
              <w:rPr>
                <w:rStyle w:val="Lienhypertexte"/>
              </w:rPr>
              <w:t>A.</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Annexe - Mode de fonctionnement résultant</w:t>
            </w:r>
            <w:r w:rsidR="00C410C3">
              <w:rPr>
                <w:webHidden/>
              </w:rPr>
              <w:tab/>
            </w:r>
            <w:r w:rsidR="00C410C3">
              <w:rPr>
                <w:webHidden/>
              </w:rPr>
              <w:fldChar w:fldCharType="begin"/>
            </w:r>
            <w:r w:rsidR="00C410C3">
              <w:rPr>
                <w:webHidden/>
              </w:rPr>
              <w:instrText xml:space="preserve"> PAGEREF _Toc164780094 \h </w:instrText>
            </w:r>
            <w:r w:rsidR="00C410C3">
              <w:rPr>
                <w:webHidden/>
              </w:rPr>
            </w:r>
            <w:r w:rsidR="00C410C3">
              <w:rPr>
                <w:webHidden/>
              </w:rPr>
              <w:fldChar w:fldCharType="separate"/>
            </w:r>
            <w:r w:rsidR="00C410C3">
              <w:rPr>
                <w:webHidden/>
              </w:rPr>
              <w:t>14</w:t>
            </w:r>
            <w:r w:rsidR="00C410C3">
              <w:rPr>
                <w:webHidden/>
              </w:rPr>
              <w:fldChar w:fldCharType="end"/>
            </w:r>
          </w:hyperlink>
        </w:p>
        <w:p w14:paraId="56751045" w14:textId="4EDF3F35"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64780083"/>
      <w:r w:rsidRPr="00C410C3">
        <w:lastRenderedPageBreak/>
        <w:t>Introduction</w:t>
      </w:r>
      <w:bookmarkEnd w:id="0"/>
      <w:bookmarkEnd w:id="1"/>
    </w:p>
    <w:p w14:paraId="4486D213" w14:textId="55531F9F" w:rsidR="008A4FF2" w:rsidRDefault="008A4FF2" w:rsidP="00181F94">
      <w:pPr>
        <w:pStyle w:val="Titre2"/>
      </w:pPr>
      <w:bookmarkStart w:id="2" w:name="_Toc164780084"/>
      <w:bookmarkStart w:id="3" w:name="_Hlk155877347"/>
      <w:r>
        <w:t>Présentation succincte de Pro Santé Connect (PSC)</w:t>
      </w:r>
      <w:bookmarkEnd w:id="2"/>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39102B52"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hyperlink r:id="rId15" w:history="1">
        <w:r w:rsidR="00616557">
          <w:rPr>
            <w:rStyle w:val="Lienhypertexte"/>
          </w:rPr>
          <w:t>Pro Santé Connect | Agence du Numérique en Santé (esante.gouv.fr)</w:t>
        </w:r>
      </w:hyperlink>
      <w:r w:rsidR="00616557">
        <w:rPr>
          <w:rFonts w:cs="Arial"/>
        </w:rPr>
        <w:t>.</w:t>
      </w:r>
    </w:p>
    <w:p w14:paraId="6FDFACDD" w14:textId="4F1EDBE1" w:rsidR="00E842D7" w:rsidRPr="00E842D7"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r w:rsidR="00E842D7">
        <w:rPr>
          <w:rFonts w:cs="Arial"/>
        </w:rPr>
        <w:t xml:space="preserve">Pour plus d’informations, nous invitons le lectorat à consulter </w:t>
      </w:r>
      <w:r w:rsidR="00305D5C">
        <w:rPr>
          <w:rFonts w:cs="Arial"/>
        </w:rPr>
        <w:t xml:space="preserve">le </w:t>
      </w:r>
      <w:r w:rsidR="00305D5C" w:rsidRPr="00EA1C03">
        <w:rPr>
          <w:rFonts w:ascii="Segoe UI Semibold" w:hAnsi="Segoe UI Semibold" w:cs="Segoe UI Semibold"/>
        </w:rPr>
        <w:t>guide « Mise en œuvre Pro Santé Connect - Guide d’intégration de PSC pour le mode sans couture à destination des établissements de santé »</w:t>
      </w:r>
      <w:r w:rsidR="00305D5C">
        <w:rPr>
          <w:rFonts w:cs="Arial"/>
        </w:rPr>
        <w:t xml:space="preserve"> disponible sur le site de l’ANS </w:t>
      </w:r>
      <w:r w:rsidR="00E842D7">
        <w:rPr>
          <w:rFonts w:cs="Arial"/>
        </w:rPr>
        <w:t xml:space="preserve">: </w:t>
      </w:r>
      <w:r w:rsidR="00E842D7" w:rsidRPr="00FA6450">
        <w:rPr>
          <w:rFonts w:cs="Arial"/>
          <w:highlight w:val="yellow"/>
        </w:rPr>
        <w:t>TBD</w:t>
      </w:r>
      <w:r w:rsidR="00E842D7">
        <w:rPr>
          <w:rFonts w:cs="Arial"/>
        </w:rPr>
        <w:t>.</w:t>
      </w:r>
    </w:p>
    <w:p w14:paraId="2195600B" w14:textId="3B9A0BEE" w:rsidR="007134E4" w:rsidRPr="00CF240D" w:rsidRDefault="007134E4" w:rsidP="00181F94">
      <w:pPr>
        <w:pStyle w:val="Titre2"/>
      </w:pPr>
      <w:bookmarkStart w:id="4" w:name="_Toc152172700"/>
      <w:bookmarkStart w:id="5" w:name="_Toc164780085"/>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en mettant en évidence les exigences 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w:t>
      </w:r>
      <w:r w:rsidR="00833315" w:rsidRPr="00CC328B">
        <w:rPr>
          <w:rFonts w:eastAsia="Arial" w:cs="Arial"/>
        </w:rPr>
        <w:lastRenderedPageBreak/>
        <w:t>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64780086"/>
      <w:bookmarkStart w:id="8" w:name="_Hlk155877369"/>
      <w:r w:rsidRPr="00FA6450">
        <w:t xml:space="preserve">Non-objectifs du </w:t>
      </w:r>
      <w:r w:rsidR="00BF1583">
        <w:t>guide</w:t>
      </w:r>
      <w:bookmarkEnd w:id="7"/>
    </w:p>
    <w:p w14:paraId="5EB1F51F" w14:textId="7AB7D177" w:rsidR="001C0376" w:rsidRDefault="00DD67FF" w:rsidP="00C410C3">
      <w:pPr>
        <w:jc w:val="left"/>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26D7A657"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Microsoft Authenticator 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64780087"/>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1A7CB09E" w14:textId="06D81A10" w:rsidR="003674D4"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r>
        <w:rPr>
          <w:rFonts w:cs="Arial"/>
        </w:rPr>
        <w:t xml:space="preserve">Pour plus d’informations, nous invitons le lectorat à consulter </w:t>
      </w:r>
      <w:r w:rsidR="007511D5">
        <w:rPr>
          <w:rFonts w:cs="Arial"/>
        </w:rPr>
        <w:t xml:space="preserve">le </w:t>
      </w:r>
      <w:r w:rsidR="007511D5" w:rsidRPr="00EA1C03">
        <w:rPr>
          <w:rFonts w:ascii="Segoe UI Semibold" w:hAnsi="Segoe UI Semibold" w:cs="Segoe UI Semibold"/>
        </w:rPr>
        <w:t>guide « Mise en œuvre Pro Santé Connect - Guide d’intégration de PSC pour le mode sans couture à destination des établissements de santé »</w:t>
      </w:r>
      <w:r w:rsidR="007511D5">
        <w:rPr>
          <w:rFonts w:cs="Arial"/>
        </w:rPr>
        <w:t xml:space="preserve"> disponible sur le site de l’ANS : </w:t>
      </w:r>
      <w:r w:rsidR="007511D5" w:rsidRPr="00FA6450">
        <w:rPr>
          <w:rFonts w:cs="Arial"/>
          <w:highlight w:val="yellow"/>
        </w:rPr>
        <w:t>TBD</w:t>
      </w:r>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64780088"/>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16"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17"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lastRenderedPageBreak/>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64780089"/>
      <w:r>
        <w:t>D</w:t>
      </w:r>
      <w:r w:rsidR="007134E4">
        <w:t>éclaration dans Microsoft Entra ID</w:t>
      </w:r>
      <w:bookmarkEnd w:id="15"/>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C410C3">
      <w:pPr>
        <w:jc w:val="left"/>
      </w:pPr>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18"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3AF6C232" w14:textId="14795929" w:rsidR="008C415B" w:rsidRDefault="008C415B" w:rsidP="00C410C3">
      <w:pPr>
        <w:jc w:val="left"/>
        <w:rPr>
          <w:rFonts w:ascii="Arial" w:hAnsi="Arial" w:cstheme="minorBidi"/>
        </w:rPr>
      </w:pPr>
      <w:r>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lastRenderedPageBreak/>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6B4172" w:rsidP="00C410C3">
      <w:pPr>
        <w:pStyle w:val="pf0"/>
        <w:spacing w:before="0" w:beforeAutospacing="0" w:after="120" w:afterAutospacing="0"/>
        <w:rPr>
          <w:rFonts w:ascii="Segoe UI" w:eastAsiaTheme="minorHAnsi" w:hAnsi="Segoe UI" w:cs="Segoe UI"/>
          <w:sz w:val="20"/>
          <w:szCs w:val="20"/>
          <w:lang w:eastAsia="en-US"/>
        </w:rPr>
      </w:pPr>
      <w:hyperlink r:id="rId19" w:history="1">
        <w:r w:rsidR="00D566BC"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lastRenderedPageBreak/>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0"/>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2"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3"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4"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lastRenderedPageBreak/>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C410C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5"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26"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27"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7E510837" w14:textId="1045B4D8" w:rsidR="009F0C7D" w:rsidRDefault="009F0C7D" w:rsidP="00C410C3">
      <w:pPr>
        <w:jc w:val="left"/>
      </w:pPr>
      <w:r w:rsidRPr="004B134C">
        <w:rPr>
          <w:highlight w:val="yellow"/>
        </w:rPr>
        <w:t>&lt;</w:t>
      </w:r>
      <w:r w:rsidR="00304FFF">
        <w:rPr>
          <w:highlight w:val="yellow"/>
        </w:rPr>
        <w:t>Capture d’écran à</w:t>
      </w:r>
      <w:r w:rsidRPr="004B134C">
        <w:rPr>
          <w:highlight w:val="yellow"/>
        </w:rPr>
        <w:t xml:space="preserve"> </w:t>
      </w:r>
      <w:r w:rsidR="00304FFF">
        <w:rPr>
          <w:highlight w:val="yellow"/>
        </w:rPr>
        <w:t>ajouter</w:t>
      </w:r>
      <w:r w:rsidRPr="004B134C">
        <w:rPr>
          <w:highlight w:val="yellow"/>
        </w:rPr>
        <w:t>&gt;</w:t>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64780090"/>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C410C3">
      <w:pPr>
        <w:jc w:val="left"/>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64780091"/>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28"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64780092"/>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29"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7BB0591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0" w:history="1">
        <w:r w:rsidRPr="00AB61A0">
          <w:rPr>
            <w:rStyle w:val="Lienhypertexte"/>
          </w:rPr>
          <w:t>https://learn.microsoft.com/fr-fr/security/operations/incident-response-playbook-compromised-malicious-app</w:t>
        </w:r>
      </w:hyperlink>
      <w:r>
        <w:t xml:space="preserve"> ;</w:t>
      </w:r>
    </w:p>
    <w:p w14:paraId="1998FB46" w14:textId="57B449B4" w:rsidR="00DA0972" w:rsidRDefault="00DA0972" w:rsidP="00181F94">
      <w:pPr>
        <w:pStyle w:val="Titre2"/>
      </w:pPr>
      <w:bookmarkStart w:id="23" w:name="_Toc164780093"/>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Toc164780094"/>
      <w:bookmarkStart w:id="27" w:name="_Ref155875341"/>
      <w:r w:rsidRPr="00015230">
        <w:lastRenderedPageBreak/>
        <w:t>Annexe</w:t>
      </w:r>
      <w:r w:rsidR="00CC328B">
        <w:t xml:space="preserve"> - </w:t>
      </w:r>
      <w:r w:rsidRPr="00015230">
        <w:t>Mode de fonctionnement résultant</w:t>
      </w:r>
      <w:bookmarkEnd w:id="24"/>
      <w:bookmarkEnd w:id="25"/>
      <w:bookmarkEnd w:id="26"/>
    </w:p>
    <w:bookmarkEnd w:id="27"/>
    <w:p w14:paraId="3998CD77" w14:textId="272DA96F" w:rsidR="00954DD2" w:rsidRDefault="00954DD2" w:rsidP="00954DD2">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p w14:paraId="36F8F634" w14:textId="5D568423" w:rsidR="00C57553" w:rsidRPr="001A28C6" w:rsidRDefault="00C57553" w:rsidP="00C57553">
      <w:r>
        <w:t xml:space="preserve">Le lancement de la cinématique avec Microsoft Entra ID peut être effectuée en cliquant sur le bouton </w:t>
      </w:r>
      <w:r w:rsidRPr="00C57553">
        <w:rPr>
          <w:rFonts w:ascii="Segoe UI Semibold" w:hAnsi="Segoe UI Semibold" w:cs="Segoe UI Semibold"/>
        </w:rPr>
        <w:t xml:space="preserve">S’Identifier avec </w:t>
      </w:r>
      <w:proofErr w:type="spellStart"/>
      <w:r w:rsidRPr="00C57553">
        <w:rPr>
          <w:rFonts w:ascii="Segoe UI Semibold" w:hAnsi="Segoe UI Semibold" w:cs="Segoe UI Semibold"/>
        </w:rPr>
        <w:t>EntraID</w:t>
      </w:r>
      <w:proofErr w:type="spellEnd"/>
      <w:r>
        <w:t>.</w:t>
      </w:r>
    </w:p>
    <w:p w14:paraId="495402B7" w14:textId="0BC63783" w:rsidR="00C57553" w:rsidRDefault="006F568B" w:rsidP="006F568B">
      <w:pPr>
        <w:spacing w:before="240" w:after="240"/>
        <w:jc w:val="center"/>
      </w:pPr>
      <w:r w:rsidRPr="006F568B">
        <w:rPr>
          <w:noProof/>
        </w:rPr>
        <w:drawing>
          <wp:inline distT="0" distB="0" distL="0" distR="0" wp14:anchorId="4E4C4D98" wp14:editId="6DF8FBE8">
            <wp:extent cx="3128400" cy="1710000"/>
            <wp:effectExtent l="0" t="0" r="0" b="5080"/>
            <wp:docPr id="571078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8169" name="Image 1"/>
                    <pic:cNvPicPr/>
                  </pic:nvPicPr>
                  <pic:blipFill>
                    <a:blip r:embed="rId31"/>
                    <a:stretch>
                      <a:fillRect/>
                    </a:stretch>
                  </pic:blipFill>
                  <pic:spPr>
                    <a:xfrm>
                      <a:off x="0" y="0"/>
                      <a:ext cx="3128400" cy="1710000"/>
                    </a:xfrm>
                    <a:prstGeom prst="rect">
                      <a:avLst/>
                    </a:prstGeom>
                  </pic:spPr>
                </pic:pic>
              </a:graphicData>
            </a:graphic>
          </wp:inline>
        </w:drawing>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t xml:space="preserve">Point de </w:t>
      </w:r>
      <w:r>
        <w:rPr>
          <w:rFonts w:cs="Arial"/>
        </w:rPr>
        <w:t xml:space="preserve">terminaison de </w:t>
      </w:r>
      <w:r w:rsidRPr="00DC13CA">
        <w:rPr>
          <w:rFonts w:cs="Arial"/>
        </w:rPr>
        <w:t xml:space="preserve">redirection : </w:t>
      </w:r>
      <w:hyperlink r:id="rId32"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3"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lastRenderedPageBreak/>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6197CCCF" w14:textId="56DBB4A3"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4AF1E603" w14:textId="355B7954" w:rsidR="00114C3B" w:rsidRDefault="00114C3B" w:rsidP="00114C3B">
      <w:pPr>
        <w:spacing w:after="200"/>
        <w:jc w:val="left"/>
        <w:rPr>
          <w:rFonts w:ascii="Segoe UI Semibold" w:hAnsi="Segoe UI Semibold" w:cs="Segoe UI Semibold"/>
        </w:rPr>
      </w:pPr>
      <w:r w:rsidRPr="008B5A2B">
        <w:rPr>
          <w:rFonts w:ascii="Segoe UI Semibold" w:hAnsi="Segoe UI Semibold" w:cs="Segoe UI Semibold"/>
        </w:rPr>
        <w:br w:type="page"/>
      </w:r>
    </w:p>
    <w:p w14:paraId="4613AE70" w14:textId="1A4385F5" w:rsidR="00954DD2" w:rsidRPr="008B5A2B" w:rsidRDefault="00015230"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2B76CF30">
                <wp:simplePos x="0" y="0"/>
                <wp:positionH relativeFrom="page">
                  <wp:align>left</wp:align>
                </wp:positionH>
                <wp:positionV relativeFrom="paragraph">
                  <wp:posOffset>-1385216</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5583C62" id="Freeform: Shape 62774" o:spid="_x0000_s1026" style="position:absolute;margin-left:0;margin-top:-109.0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5T9zb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35"/>
      <w:footerReference w:type="default" r:id="rId36"/>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BDC21" w14:textId="77777777" w:rsidR="000C1B08" w:rsidRDefault="000C1B08" w:rsidP="00F95A5F">
      <w:r>
        <w:separator/>
      </w:r>
    </w:p>
  </w:endnote>
  <w:endnote w:type="continuationSeparator" w:id="0">
    <w:p w14:paraId="073FE145" w14:textId="77777777" w:rsidR="000C1B08" w:rsidRDefault="000C1B08" w:rsidP="00F95A5F">
      <w:r>
        <w:continuationSeparator/>
      </w:r>
    </w:p>
  </w:endnote>
  <w:endnote w:type="continuationNotice" w:id="1">
    <w:p w14:paraId="19B674D9" w14:textId="77777777" w:rsidR="000C1B08" w:rsidRDefault="000C1B08"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6B4172"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6B4172"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A7C2D" w14:textId="77777777" w:rsidR="000C1B08" w:rsidRDefault="000C1B08" w:rsidP="00F95A5F">
      <w:r>
        <w:separator/>
      </w:r>
    </w:p>
  </w:footnote>
  <w:footnote w:type="continuationSeparator" w:id="0">
    <w:p w14:paraId="70A8DA6A" w14:textId="77777777" w:rsidR="000C1B08" w:rsidRDefault="000C1B08" w:rsidP="00F95A5F">
      <w:r>
        <w:continuationSeparator/>
      </w:r>
    </w:p>
  </w:footnote>
  <w:footnote w:type="continuationNotice" w:id="1">
    <w:p w14:paraId="7DC6692E" w14:textId="77777777" w:rsidR="000C1B08" w:rsidRDefault="000C1B08"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0"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4"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1"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6067776">
    <w:abstractNumId w:val="30"/>
  </w:num>
  <w:num w:numId="2" w16cid:durableId="1031540546">
    <w:abstractNumId w:val="19"/>
  </w:num>
  <w:num w:numId="3" w16cid:durableId="278226787">
    <w:abstractNumId w:val="29"/>
  </w:num>
  <w:num w:numId="4" w16cid:durableId="1065181044">
    <w:abstractNumId w:val="11"/>
  </w:num>
  <w:num w:numId="5" w16cid:durableId="2004969936">
    <w:abstractNumId w:val="31"/>
  </w:num>
  <w:num w:numId="6" w16cid:durableId="1315791800">
    <w:abstractNumId w:val="1"/>
  </w:num>
  <w:num w:numId="7" w16cid:durableId="259487441">
    <w:abstractNumId w:val="25"/>
  </w:num>
  <w:num w:numId="8" w16cid:durableId="1003364399">
    <w:abstractNumId w:val="28"/>
  </w:num>
  <w:num w:numId="9" w16cid:durableId="747967500">
    <w:abstractNumId w:val="15"/>
  </w:num>
  <w:num w:numId="10" w16cid:durableId="2138328960">
    <w:abstractNumId w:val="12"/>
  </w:num>
  <w:num w:numId="11" w16cid:durableId="1361471750">
    <w:abstractNumId w:val="21"/>
  </w:num>
  <w:num w:numId="12" w16cid:durableId="186406517">
    <w:abstractNumId w:val="32"/>
  </w:num>
  <w:num w:numId="13" w16cid:durableId="455366683">
    <w:abstractNumId w:val="22"/>
  </w:num>
  <w:num w:numId="14" w16cid:durableId="367729212">
    <w:abstractNumId w:val="5"/>
  </w:num>
  <w:num w:numId="15" w16cid:durableId="906038239">
    <w:abstractNumId w:val="14"/>
  </w:num>
  <w:num w:numId="16" w16cid:durableId="1340162499">
    <w:abstractNumId w:val="16"/>
  </w:num>
  <w:num w:numId="17" w16cid:durableId="1873029453">
    <w:abstractNumId w:val="9"/>
  </w:num>
  <w:num w:numId="18" w16cid:durableId="752169574">
    <w:abstractNumId w:val="18"/>
  </w:num>
  <w:num w:numId="19" w16cid:durableId="1086614307">
    <w:abstractNumId w:val="2"/>
  </w:num>
  <w:num w:numId="20" w16cid:durableId="592786841">
    <w:abstractNumId w:val="20"/>
  </w:num>
  <w:num w:numId="21" w16cid:durableId="440800411">
    <w:abstractNumId w:val="8"/>
  </w:num>
  <w:num w:numId="22" w16cid:durableId="1833257397">
    <w:abstractNumId w:val="24"/>
  </w:num>
  <w:num w:numId="23" w16cid:durableId="1969897174">
    <w:abstractNumId w:val="6"/>
  </w:num>
  <w:num w:numId="24" w16cid:durableId="1005476787">
    <w:abstractNumId w:val="3"/>
  </w:num>
  <w:num w:numId="25" w16cid:durableId="1564296547">
    <w:abstractNumId w:val="23"/>
  </w:num>
  <w:num w:numId="26" w16cid:durableId="775057293">
    <w:abstractNumId w:val="11"/>
  </w:num>
  <w:num w:numId="27" w16cid:durableId="900747694">
    <w:abstractNumId w:val="13"/>
  </w:num>
  <w:num w:numId="28" w16cid:durableId="2972924">
    <w:abstractNumId w:val="0"/>
  </w:num>
  <w:num w:numId="29" w16cid:durableId="148180879">
    <w:abstractNumId w:val="7"/>
  </w:num>
  <w:num w:numId="30" w16cid:durableId="1854800285">
    <w:abstractNumId w:val="27"/>
  </w:num>
  <w:num w:numId="31" w16cid:durableId="606812630">
    <w:abstractNumId w:val="31"/>
  </w:num>
  <w:num w:numId="32" w16cid:durableId="820117549">
    <w:abstractNumId w:val="33"/>
  </w:num>
  <w:num w:numId="33" w16cid:durableId="173956241">
    <w:abstractNumId w:val="10"/>
  </w:num>
  <w:num w:numId="34" w16cid:durableId="1799765438">
    <w:abstractNumId w:val="26"/>
  </w:num>
  <w:num w:numId="35" w16cid:durableId="330253684">
    <w:abstractNumId w:val="4"/>
  </w:num>
  <w:num w:numId="36" w16cid:durableId="537161241">
    <w:abstractNumId w:val="26"/>
  </w:num>
  <w:num w:numId="37" w16cid:durableId="86128153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wallet.bas.psc.esante.gouv.fr/login-page" TargetMode="External"/><Relationship Id="rId26" Type="http://schemas.openxmlformats.org/officeDocument/2006/relationships/hyperlink" Target="https://learn.microsoft.com/fr-fr/entra/identity-platform/v2-admin-consent" TargetMode="External"/><Relationship Id="rId21" Type="http://schemas.openxmlformats.org/officeDocument/2006/relationships/image" Target="media/image4.png"/><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entra.microsoft.com/" TargetMode="External"/><Relationship Id="rId25" Type="http://schemas.openxmlformats.org/officeDocument/2006/relationships/hyperlink" Target="https://learn.microsoft.com/fr-fr/entra/identity-platform/howto-convert-app-to-be-multi-tenant" TargetMode="External"/><Relationship Id="rId33" Type="http://schemas.openxmlformats.org/officeDocument/2006/relationships/hyperlink" Target="https://openid.net/specs/openid-connect-discovery-1_0.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tra.microsoft.com" TargetMode="External"/><Relationship Id="rId20" Type="http://schemas.openxmlformats.org/officeDocument/2006/relationships/image" Target="media/image3.png"/><Relationship Id="rId29" Type="http://schemas.openxmlformats.org/officeDocument/2006/relationships/hyperlink" Target="https://www.microsoft.com/en-us/security/blog/2024/01/25/midnight-blizzard-guidance-for-responders-on-nation-state-at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hyperlink" Target="https://learn.microsoft.com/fr-fr/entra/identity-platform/publisher-verification-overview" TargetMode="External"/><Relationship Id="rId32" Type="http://schemas.openxmlformats.org/officeDocument/2006/relationships/hyperlink" Target="https://login.microsoftonline.com/organizatio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earn.microsoft.com/fr-fr/partner-center/verification-responses" TargetMode="External"/><Relationship Id="rId28" Type="http://schemas.openxmlformats.org/officeDocument/2006/relationships/hyperlink" Target="https://entra.microsoft.com/" TargetMode="External"/><Relationship Id="rId36" Type="http://schemas.openxmlformats.org/officeDocument/2006/relationships/footer" Target="footer2.xml"/><Relationship Id="rId10" Type="http://schemas.openxmlformats.org/officeDocument/2006/relationships/hyperlink" Target="https://creativecommons.org/licenses/by/4.0/legalcode" TargetMode="External"/><Relationship Id="rId19" Type="http://schemas.openxmlformats.org/officeDocument/2006/relationships/hyperlink" Target="https://login.microsoftonline.com/organizations/adminconsent?client_id=99383c77-0bb9-41f0-96e1-b72ad6eca6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learn.microsoft.com/fr-fr/entra/identity-platform/application-consent-experience" TargetMode="External"/><Relationship Id="rId27" Type="http://schemas.openxmlformats.org/officeDocument/2006/relationships/hyperlink" Target="https://entra.microsoft.com/" TargetMode="External"/><Relationship Id="rId30" Type="http://schemas.openxmlformats.org/officeDocument/2006/relationships/hyperlink" Target="https://learn.microsoft.com/fr-fr/security/operations/incident-response-playbook-compromised-malicious-app" TargetMode="External"/><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4628</Words>
  <Characters>25457</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30025</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13</cp:revision>
  <cp:lastPrinted>2020-09-10T16:24:00Z</cp:lastPrinted>
  <dcterms:created xsi:type="dcterms:W3CDTF">2024-02-16T15:21:00Z</dcterms:created>
  <dcterms:modified xsi:type="dcterms:W3CDTF">2024-06-05T14:21:00Z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