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C149E69"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E7390">
            <w:rPr>
              <w:rFonts w:eastAsia="Times New Roman"/>
              <w:color w:val="FFFFFF" w:themeColor="background1"/>
              <w:sz w:val="32"/>
              <w:szCs w:val="44"/>
            </w:rPr>
            <w:t>4</w:t>
          </w:r>
          <w:r w:rsidR="002A6418">
            <w:rPr>
              <w:rFonts w:eastAsia="Times New Roman"/>
              <w:color w:val="FFFFFF" w:themeColor="background1"/>
              <w:sz w:val="32"/>
              <w:szCs w:val="44"/>
            </w:rPr>
            <w:t>a</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2A6418">
            <w:rPr>
              <w:rFonts w:eastAsia="Times New Roman"/>
              <w:color w:val="FFFFFF" w:themeColor="background1"/>
              <w:sz w:val="32"/>
              <w:szCs w:val="44"/>
            </w:rPr>
            <w:t>Septembre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1AF3594" w14:textId="72BF9E7C" w:rsidR="00DD6D49"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7427" w:history="1">
            <w:r w:rsidR="00DD6D49" w:rsidRPr="00D12BCD">
              <w:rPr>
                <w:rStyle w:val="Lienhypertexte"/>
              </w:rPr>
              <w:t>1</w:t>
            </w:r>
            <w:r w:rsidR="00DD6D49">
              <w:rPr>
                <w:rFonts w:asciiTheme="minorHAnsi" w:eastAsiaTheme="minorEastAsia" w:hAnsiTheme="minorHAnsi" w:cstheme="minorBidi"/>
                <w:kern w:val="2"/>
                <w:sz w:val="24"/>
                <w:szCs w:val="24"/>
                <w:lang w:eastAsia="fr-FR"/>
                <w14:ligatures w14:val="standardContextual"/>
              </w:rPr>
              <w:tab/>
            </w:r>
            <w:r w:rsidR="00DD6D49" w:rsidRPr="00D12BCD">
              <w:rPr>
                <w:rStyle w:val="Lienhypertexte"/>
              </w:rPr>
              <w:t>Introduction</w:t>
            </w:r>
            <w:r w:rsidR="00DD6D49">
              <w:rPr>
                <w:webHidden/>
              </w:rPr>
              <w:tab/>
            </w:r>
            <w:r w:rsidR="00DD6D49">
              <w:rPr>
                <w:webHidden/>
              </w:rPr>
              <w:fldChar w:fldCharType="begin"/>
            </w:r>
            <w:r w:rsidR="00DD6D49">
              <w:rPr>
                <w:webHidden/>
              </w:rPr>
              <w:instrText xml:space="preserve"> PAGEREF _Toc176967427 \h </w:instrText>
            </w:r>
            <w:r w:rsidR="00DD6D49">
              <w:rPr>
                <w:webHidden/>
              </w:rPr>
            </w:r>
            <w:r w:rsidR="00DD6D49">
              <w:rPr>
                <w:webHidden/>
              </w:rPr>
              <w:fldChar w:fldCharType="separate"/>
            </w:r>
            <w:r w:rsidR="00DD6D49">
              <w:rPr>
                <w:webHidden/>
              </w:rPr>
              <w:t>5</w:t>
            </w:r>
            <w:r w:rsidR="00DD6D49">
              <w:rPr>
                <w:webHidden/>
              </w:rPr>
              <w:fldChar w:fldCharType="end"/>
            </w:r>
          </w:hyperlink>
        </w:p>
        <w:p w14:paraId="49A74BE7" w14:textId="40B7F9B3"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28" w:history="1">
            <w:r w:rsidRPr="00D12BCD">
              <w:rPr>
                <w:rStyle w:val="Lienhypertexte"/>
              </w:rPr>
              <w:t>1.1</w:t>
            </w:r>
            <w:r>
              <w:rPr>
                <w:rFonts w:asciiTheme="minorHAnsi" w:eastAsiaTheme="minorEastAsia" w:hAnsiTheme="minorHAnsi" w:cstheme="minorBidi"/>
                <w:kern w:val="2"/>
                <w:sz w:val="24"/>
                <w:szCs w:val="24"/>
                <w:lang w:eastAsia="fr-FR"/>
                <w14:ligatures w14:val="standardContextual"/>
              </w:rPr>
              <w:tab/>
            </w:r>
            <w:r w:rsidRPr="00D12BCD">
              <w:rPr>
                <w:rStyle w:val="Lienhypertexte"/>
              </w:rPr>
              <w:t>Présentation succincte de Pro Santé Connect (PSC)</w:t>
            </w:r>
            <w:r>
              <w:rPr>
                <w:webHidden/>
              </w:rPr>
              <w:tab/>
            </w:r>
            <w:r>
              <w:rPr>
                <w:webHidden/>
              </w:rPr>
              <w:fldChar w:fldCharType="begin"/>
            </w:r>
            <w:r>
              <w:rPr>
                <w:webHidden/>
              </w:rPr>
              <w:instrText xml:space="preserve"> PAGEREF _Toc176967428 \h </w:instrText>
            </w:r>
            <w:r>
              <w:rPr>
                <w:webHidden/>
              </w:rPr>
            </w:r>
            <w:r>
              <w:rPr>
                <w:webHidden/>
              </w:rPr>
              <w:fldChar w:fldCharType="separate"/>
            </w:r>
            <w:r>
              <w:rPr>
                <w:webHidden/>
              </w:rPr>
              <w:t>5</w:t>
            </w:r>
            <w:r>
              <w:rPr>
                <w:webHidden/>
              </w:rPr>
              <w:fldChar w:fldCharType="end"/>
            </w:r>
          </w:hyperlink>
        </w:p>
        <w:p w14:paraId="3217AE4B" w14:textId="6B6B3B06"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29" w:history="1">
            <w:r w:rsidRPr="00D12BCD">
              <w:rPr>
                <w:rStyle w:val="Lienhypertexte"/>
              </w:rPr>
              <w:t>1.2</w:t>
            </w:r>
            <w:r>
              <w:rPr>
                <w:rFonts w:asciiTheme="minorHAnsi" w:eastAsiaTheme="minorEastAsia" w:hAnsiTheme="minorHAnsi" w:cstheme="minorBidi"/>
                <w:kern w:val="2"/>
                <w:sz w:val="24"/>
                <w:szCs w:val="24"/>
                <w:lang w:eastAsia="fr-FR"/>
                <w14:ligatures w14:val="standardContextual"/>
              </w:rPr>
              <w:tab/>
            </w:r>
            <w:r w:rsidRPr="00D12BCD">
              <w:rPr>
                <w:rStyle w:val="Lienhypertexte"/>
              </w:rPr>
              <w:t>Objectif du guide</w:t>
            </w:r>
            <w:r>
              <w:rPr>
                <w:webHidden/>
              </w:rPr>
              <w:tab/>
            </w:r>
            <w:r>
              <w:rPr>
                <w:webHidden/>
              </w:rPr>
              <w:fldChar w:fldCharType="begin"/>
            </w:r>
            <w:r>
              <w:rPr>
                <w:webHidden/>
              </w:rPr>
              <w:instrText xml:space="preserve"> PAGEREF _Toc176967429 \h </w:instrText>
            </w:r>
            <w:r>
              <w:rPr>
                <w:webHidden/>
              </w:rPr>
            </w:r>
            <w:r>
              <w:rPr>
                <w:webHidden/>
              </w:rPr>
              <w:fldChar w:fldCharType="separate"/>
            </w:r>
            <w:r>
              <w:rPr>
                <w:webHidden/>
              </w:rPr>
              <w:t>5</w:t>
            </w:r>
            <w:r>
              <w:rPr>
                <w:webHidden/>
              </w:rPr>
              <w:fldChar w:fldCharType="end"/>
            </w:r>
          </w:hyperlink>
        </w:p>
        <w:p w14:paraId="518630C3" w14:textId="02F9BFBB"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30" w:history="1">
            <w:r w:rsidRPr="00D12BCD">
              <w:rPr>
                <w:rStyle w:val="Lienhypertexte"/>
              </w:rPr>
              <w:t>1.3</w:t>
            </w:r>
            <w:r>
              <w:rPr>
                <w:rFonts w:asciiTheme="minorHAnsi" w:eastAsiaTheme="minorEastAsia" w:hAnsiTheme="minorHAnsi" w:cstheme="minorBidi"/>
                <w:kern w:val="2"/>
                <w:sz w:val="24"/>
                <w:szCs w:val="24"/>
                <w:lang w:eastAsia="fr-FR"/>
                <w14:ligatures w14:val="standardContextual"/>
              </w:rPr>
              <w:tab/>
            </w:r>
            <w:r w:rsidRPr="00D12BCD">
              <w:rPr>
                <w:rStyle w:val="Lienhypertexte"/>
              </w:rPr>
              <w:t>Non-objectifs du guide</w:t>
            </w:r>
            <w:r>
              <w:rPr>
                <w:webHidden/>
              </w:rPr>
              <w:tab/>
            </w:r>
            <w:r>
              <w:rPr>
                <w:webHidden/>
              </w:rPr>
              <w:fldChar w:fldCharType="begin"/>
            </w:r>
            <w:r>
              <w:rPr>
                <w:webHidden/>
              </w:rPr>
              <w:instrText xml:space="preserve"> PAGEREF _Toc176967430 \h </w:instrText>
            </w:r>
            <w:r>
              <w:rPr>
                <w:webHidden/>
              </w:rPr>
            </w:r>
            <w:r>
              <w:rPr>
                <w:webHidden/>
              </w:rPr>
              <w:fldChar w:fldCharType="separate"/>
            </w:r>
            <w:r>
              <w:rPr>
                <w:webHidden/>
              </w:rPr>
              <w:t>6</w:t>
            </w:r>
            <w:r>
              <w:rPr>
                <w:webHidden/>
              </w:rPr>
              <w:fldChar w:fldCharType="end"/>
            </w:r>
          </w:hyperlink>
        </w:p>
        <w:p w14:paraId="2409878D" w14:textId="01F9B62A" w:rsidR="00DD6D49" w:rsidRDefault="00DD6D49">
          <w:pPr>
            <w:pStyle w:val="TM1"/>
            <w:rPr>
              <w:rFonts w:asciiTheme="minorHAnsi" w:eastAsiaTheme="minorEastAsia" w:hAnsiTheme="minorHAnsi" w:cstheme="minorBidi"/>
              <w:kern w:val="2"/>
              <w:sz w:val="24"/>
              <w:szCs w:val="24"/>
              <w:lang w:eastAsia="fr-FR"/>
              <w14:ligatures w14:val="standardContextual"/>
            </w:rPr>
          </w:pPr>
          <w:hyperlink w:anchor="_Toc176967431" w:history="1">
            <w:r w:rsidRPr="00D12BCD">
              <w:rPr>
                <w:rStyle w:val="Lienhypertexte"/>
              </w:rPr>
              <w:t>2</w:t>
            </w:r>
            <w:r>
              <w:rPr>
                <w:rFonts w:asciiTheme="minorHAnsi" w:eastAsiaTheme="minorEastAsia" w:hAnsiTheme="minorHAnsi" w:cstheme="minorBidi"/>
                <w:kern w:val="2"/>
                <w:sz w:val="24"/>
                <w:szCs w:val="24"/>
                <w:lang w:eastAsia="fr-FR"/>
                <w14:ligatures w14:val="standardContextual"/>
              </w:rPr>
              <w:tab/>
            </w:r>
            <w:r w:rsidRPr="00D12BCD">
              <w:rPr>
                <w:rStyle w:val="Lienhypertexte"/>
              </w:rPr>
              <w:t>Raccordement de PSC avec Microsoft Entra ID</w:t>
            </w:r>
            <w:r>
              <w:rPr>
                <w:webHidden/>
              </w:rPr>
              <w:tab/>
            </w:r>
            <w:r>
              <w:rPr>
                <w:webHidden/>
              </w:rPr>
              <w:fldChar w:fldCharType="begin"/>
            </w:r>
            <w:r>
              <w:rPr>
                <w:webHidden/>
              </w:rPr>
              <w:instrText xml:space="preserve"> PAGEREF _Toc176967431 \h </w:instrText>
            </w:r>
            <w:r>
              <w:rPr>
                <w:webHidden/>
              </w:rPr>
            </w:r>
            <w:r>
              <w:rPr>
                <w:webHidden/>
              </w:rPr>
              <w:fldChar w:fldCharType="separate"/>
            </w:r>
            <w:r>
              <w:rPr>
                <w:webHidden/>
              </w:rPr>
              <w:t>7</w:t>
            </w:r>
            <w:r>
              <w:rPr>
                <w:webHidden/>
              </w:rPr>
              <w:fldChar w:fldCharType="end"/>
            </w:r>
          </w:hyperlink>
        </w:p>
        <w:p w14:paraId="1CA1F67B" w14:textId="234BD7E6"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32" w:history="1">
            <w:r w:rsidRPr="00D12BCD">
              <w:rPr>
                <w:rStyle w:val="Lienhypertexte"/>
              </w:rPr>
              <w:t>2.1</w:t>
            </w:r>
            <w:r>
              <w:rPr>
                <w:rFonts w:asciiTheme="minorHAnsi" w:eastAsiaTheme="minorEastAsia" w:hAnsiTheme="minorHAnsi" w:cstheme="minorBidi"/>
                <w:kern w:val="2"/>
                <w:sz w:val="24"/>
                <w:szCs w:val="24"/>
                <w:lang w:eastAsia="fr-FR"/>
                <w14:ligatures w14:val="standardContextual"/>
              </w:rPr>
              <w:tab/>
            </w:r>
            <w:r w:rsidRPr="00D12BCD">
              <w:rPr>
                <w:rStyle w:val="Lienhypertexte"/>
              </w:rPr>
              <w:t>Inscription auprès de l’ANS</w:t>
            </w:r>
            <w:r>
              <w:rPr>
                <w:webHidden/>
              </w:rPr>
              <w:tab/>
            </w:r>
            <w:r>
              <w:rPr>
                <w:webHidden/>
              </w:rPr>
              <w:fldChar w:fldCharType="begin"/>
            </w:r>
            <w:r>
              <w:rPr>
                <w:webHidden/>
              </w:rPr>
              <w:instrText xml:space="preserve"> PAGEREF _Toc176967432 \h </w:instrText>
            </w:r>
            <w:r>
              <w:rPr>
                <w:webHidden/>
              </w:rPr>
            </w:r>
            <w:r>
              <w:rPr>
                <w:webHidden/>
              </w:rPr>
              <w:fldChar w:fldCharType="separate"/>
            </w:r>
            <w:r>
              <w:rPr>
                <w:webHidden/>
              </w:rPr>
              <w:t>7</w:t>
            </w:r>
            <w:r>
              <w:rPr>
                <w:webHidden/>
              </w:rPr>
              <w:fldChar w:fldCharType="end"/>
            </w:r>
          </w:hyperlink>
        </w:p>
        <w:p w14:paraId="0C798063" w14:textId="2F77552B"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33" w:history="1">
            <w:r w:rsidRPr="00D12BCD">
              <w:rPr>
                <w:rStyle w:val="Lienhypertexte"/>
              </w:rPr>
              <w:t>2.2</w:t>
            </w:r>
            <w:r>
              <w:rPr>
                <w:rFonts w:asciiTheme="minorHAnsi" w:eastAsiaTheme="minorEastAsia" w:hAnsiTheme="minorHAnsi" w:cstheme="minorBidi"/>
                <w:kern w:val="2"/>
                <w:sz w:val="24"/>
                <w:szCs w:val="24"/>
                <w:lang w:eastAsia="fr-FR"/>
                <w14:ligatures w14:val="standardContextual"/>
              </w:rPr>
              <w:tab/>
            </w:r>
            <w:r w:rsidRPr="00D12BCD">
              <w:rPr>
                <w:rStyle w:val="Lienhypertexte"/>
              </w:rPr>
              <w:t>Déclaration dans Microsoft Entra ID</w:t>
            </w:r>
            <w:r>
              <w:rPr>
                <w:webHidden/>
              </w:rPr>
              <w:tab/>
            </w:r>
            <w:r>
              <w:rPr>
                <w:webHidden/>
              </w:rPr>
              <w:fldChar w:fldCharType="begin"/>
            </w:r>
            <w:r>
              <w:rPr>
                <w:webHidden/>
              </w:rPr>
              <w:instrText xml:space="preserve"> PAGEREF _Toc176967433 \h </w:instrText>
            </w:r>
            <w:r>
              <w:rPr>
                <w:webHidden/>
              </w:rPr>
            </w:r>
            <w:r>
              <w:rPr>
                <w:webHidden/>
              </w:rPr>
              <w:fldChar w:fldCharType="separate"/>
            </w:r>
            <w:r>
              <w:rPr>
                <w:webHidden/>
              </w:rPr>
              <w:t>8</w:t>
            </w:r>
            <w:r>
              <w:rPr>
                <w:webHidden/>
              </w:rPr>
              <w:fldChar w:fldCharType="end"/>
            </w:r>
          </w:hyperlink>
        </w:p>
        <w:p w14:paraId="2C3F162E" w14:textId="1D6B9276" w:rsidR="00DD6D49" w:rsidRDefault="00DD6D49">
          <w:pPr>
            <w:pStyle w:val="TM1"/>
            <w:rPr>
              <w:rFonts w:asciiTheme="minorHAnsi" w:eastAsiaTheme="minorEastAsia" w:hAnsiTheme="minorHAnsi" w:cstheme="minorBidi"/>
              <w:kern w:val="2"/>
              <w:sz w:val="24"/>
              <w:szCs w:val="24"/>
              <w:lang w:eastAsia="fr-FR"/>
              <w14:ligatures w14:val="standardContextual"/>
            </w:rPr>
          </w:pPr>
          <w:hyperlink w:anchor="_Toc176967434" w:history="1">
            <w:r w:rsidRPr="00D12BCD">
              <w:rPr>
                <w:rStyle w:val="Lienhypertexte"/>
              </w:rPr>
              <w:t>3</w:t>
            </w:r>
            <w:r>
              <w:rPr>
                <w:rFonts w:asciiTheme="minorHAnsi" w:eastAsiaTheme="minorEastAsia" w:hAnsiTheme="minorHAnsi" w:cstheme="minorBidi"/>
                <w:kern w:val="2"/>
                <w:sz w:val="24"/>
                <w:szCs w:val="24"/>
                <w:lang w:eastAsia="fr-FR"/>
                <w14:ligatures w14:val="standardContextual"/>
              </w:rPr>
              <w:tab/>
            </w:r>
            <w:r w:rsidRPr="00D12BCD">
              <w:rPr>
                <w:rStyle w:val="Lienhypertexte"/>
              </w:rPr>
              <w:t>Gestion de l’application PSC dans Microsoft Entra ID</w:t>
            </w:r>
            <w:r>
              <w:rPr>
                <w:webHidden/>
              </w:rPr>
              <w:tab/>
            </w:r>
            <w:r>
              <w:rPr>
                <w:webHidden/>
              </w:rPr>
              <w:fldChar w:fldCharType="begin"/>
            </w:r>
            <w:r>
              <w:rPr>
                <w:webHidden/>
              </w:rPr>
              <w:instrText xml:space="preserve"> PAGEREF _Toc176967434 \h </w:instrText>
            </w:r>
            <w:r>
              <w:rPr>
                <w:webHidden/>
              </w:rPr>
            </w:r>
            <w:r>
              <w:rPr>
                <w:webHidden/>
              </w:rPr>
              <w:fldChar w:fldCharType="separate"/>
            </w:r>
            <w:r>
              <w:rPr>
                <w:webHidden/>
              </w:rPr>
              <w:t>12</w:t>
            </w:r>
            <w:r>
              <w:rPr>
                <w:webHidden/>
              </w:rPr>
              <w:fldChar w:fldCharType="end"/>
            </w:r>
          </w:hyperlink>
        </w:p>
        <w:p w14:paraId="0B42AFBE" w14:textId="5E615BB3"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35" w:history="1">
            <w:r w:rsidRPr="00D12BCD">
              <w:rPr>
                <w:rStyle w:val="Lienhypertexte"/>
              </w:rPr>
              <w:t>3.1</w:t>
            </w:r>
            <w:r>
              <w:rPr>
                <w:rFonts w:asciiTheme="minorHAnsi" w:eastAsiaTheme="minorEastAsia" w:hAnsiTheme="minorHAnsi" w:cstheme="minorBidi"/>
                <w:kern w:val="2"/>
                <w:sz w:val="24"/>
                <w:szCs w:val="24"/>
                <w:lang w:eastAsia="fr-FR"/>
                <w14:ligatures w14:val="standardContextual"/>
              </w:rPr>
              <w:tab/>
            </w:r>
            <w:r w:rsidRPr="00D12BCD">
              <w:rPr>
                <w:rStyle w:val="Lienhypertexte"/>
              </w:rPr>
              <w:t>Gestion des accès à l’application PSC dans Microsoft Entra ID</w:t>
            </w:r>
            <w:r>
              <w:rPr>
                <w:webHidden/>
              </w:rPr>
              <w:tab/>
            </w:r>
            <w:r>
              <w:rPr>
                <w:webHidden/>
              </w:rPr>
              <w:fldChar w:fldCharType="begin"/>
            </w:r>
            <w:r>
              <w:rPr>
                <w:webHidden/>
              </w:rPr>
              <w:instrText xml:space="preserve"> PAGEREF _Toc176967435 \h </w:instrText>
            </w:r>
            <w:r>
              <w:rPr>
                <w:webHidden/>
              </w:rPr>
            </w:r>
            <w:r>
              <w:rPr>
                <w:webHidden/>
              </w:rPr>
              <w:fldChar w:fldCharType="separate"/>
            </w:r>
            <w:r>
              <w:rPr>
                <w:webHidden/>
              </w:rPr>
              <w:t>12</w:t>
            </w:r>
            <w:r>
              <w:rPr>
                <w:webHidden/>
              </w:rPr>
              <w:fldChar w:fldCharType="end"/>
            </w:r>
          </w:hyperlink>
        </w:p>
        <w:p w14:paraId="185CB503" w14:textId="02BCC59F"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36" w:history="1">
            <w:r w:rsidRPr="00D12BCD">
              <w:rPr>
                <w:rStyle w:val="Lienhypertexte"/>
              </w:rPr>
              <w:t>3.2</w:t>
            </w:r>
            <w:r>
              <w:rPr>
                <w:rFonts w:asciiTheme="minorHAnsi" w:eastAsiaTheme="minorEastAsia" w:hAnsiTheme="minorHAnsi" w:cstheme="minorBidi"/>
                <w:kern w:val="2"/>
                <w:sz w:val="24"/>
                <w:szCs w:val="24"/>
                <w:lang w:eastAsia="fr-FR"/>
                <w14:ligatures w14:val="standardContextual"/>
              </w:rPr>
              <w:tab/>
            </w:r>
            <w:r w:rsidRPr="00D12BCD">
              <w:rPr>
                <w:rStyle w:val="Lienhypertexte"/>
              </w:rPr>
              <w:t>Défense de l’application PSC</w:t>
            </w:r>
            <w:r>
              <w:rPr>
                <w:webHidden/>
              </w:rPr>
              <w:tab/>
            </w:r>
            <w:r>
              <w:rPr>
                <w:webHidden/>
              </w:rPr>
              <w:fldChar w:fldCharType="begin"/>
            </w:r>
            <w:r>
              <w:rPr>
                <w:webHidden/>
              </w:rPr>
              <w:instrText xml:space="preserve"> PAGEREF _Toc176967436 \h </w:instrText>
            </w:r>
            <w:r>
              <w:rPr>
                <w:webHidden/>
              </w:rPr>
            </w:r>
            <w:r>
              <w:rPr>
                <w:webHidden/>
              </w:rPr>
              <w:fldChar w:fldCharType="separate"/>
            </w:r>
            <w:r>
              <w:rPr>
                <w:webHidden/>
              </w:rPr>
              <w:t>12</w:t>
            </w:r>
            <w:r>
              <w:rPr>
                <w:webHidden/>
              </w:rPr>
              <w:fldChar w:fldCharType="end"/>
            </w:r>
          </w:hyperlink>
        </w:p>
        <w:p w14:paraId="3798F547" w14:textId="1157AEEC" w:rsidR="00DD6D49" w:rsidRDefault="00DD6D49">
          <w:pPr>
            <w:pStyle w:val="TM2"/>
            <w:rPr>
              <w:rFonts w:asciiTheme="minorHAnsi" w:eastAsiaTheme="minorEastAsia" w:hAnsiTheme="minorHAnsi" w:cstheme="minorBidi"/>
              <w:kern w:val="2"/>
              <w:sz w:val="24"/>
              <w:szCs w:val="24"/>
              <w:lang w:eastAsia="fr-FR"/>
              <w14:ligatures w14:val="standardContextual"/>
            </w:rPr>
          </w:pPr>
          <w:hyperlink w:anchor="_Toc176967437" w:history="1">
            <w:r w:rsidRPr="00D12BCD">
              <w:rPr>
                <w:rStyle w:val="Lienhypertexte"/>
              </w:rPr>
              <w:t>3.3</w:t>
            </w:r>
            <w:r>
              <w:rPr>
                <w:rFonts w:asciiTheme="minorHAnsi" w:eastAsiaTheme="minorEastAsia" w:hAnsiTheme="minorHAnsi" w:cstheme="minorBidi"/>
                <w:kern w:val="2"/>
                <w:sz w:val="24"/>
                <w:szCs w:val="24"/>
                <w:lang w:eastAsia="fr-FR"/>
                <w14:ligatures w14:val="standardContextual"/>
              </w:rPr>
              <w:tab/>
            </w:r>
            <w:r w:rsidRPr="00D12BCD">
              <w:rPr>
                <w:rStyle w:val="Lienhypertexte"/>
              </w:rPr>
              <w:t>Autres opérations</w:t>
            </w:r>
            <w:r>
              <w:rPr>
                <w:webHidden/>
              </w:rPr>
              <w:tab/>
            </w:r>
            <w:r>
              <w:rPr>
                <w:webHidden/>
              </w:rPr>
              <w:fldChar w:fldCharType="begin"/>
            </w:r>
            <w:r>
              <w:rPr>
                <w:webHidden/>
              </w:rPr>
              <w:instrText xml:space="preserve"> PAGEREF _Toc176967437 \h </w:instrText>
            </w:r>
            <w:r>
              <w:rPr>
                <w:webHidden/>
              </w:rPr>
            </w:r>
            <w:r>
              <w:rPr>
                <w:webHidden/>
              </w:rPr>
              <w:fldChar w:fldCharType="separate"/>
            </w:r>
            <w:r>
              <w:rPr>
                <w:webHidden/>
              </w:rPr>
              <w:t>13</w:t>
            </w:r>
            <w:r>
              <w:rPr>
                <w:webHidden/>
              </w:rPr>
              <w:fldChar w:fldCharType="end"/>
            </w:r>
          </w:hyperlink>
        </w:p>
        <w:p w14:paraId="02067FAF" w14:textId="2DE3453D" w:rsidR="00DD6D49" w:rsidRDefault="00DD6D49">
          <w:pPr>
            <w:pStyle w:val="TM1"/>
            <w:rPr>
              <w:rFonts w:asciiTheme="minorHAnsi" w:eastAsiaTheme="minorEastAsia" w:hAnsiTheme="minorHAnsi" w:cstheme="minorBidi"/>
              <w:kern w:val="2"/>
              <w:sz w:val="24"/>
              <w:szCs w:val="24"/>
              <w:lang w:eastAsia="fr-FR"/>
              <w14:ligatures w14:val="standardContextual"/>
            </w:rPr>
          </w:pPr>
          <w:hyperlink w:anchor="_Toc176967438" w:history="1">
            <w:r w:rsidRPr="00D12BCD">
              <w:rPr>
                <w:rStyle w:val="Lienhypertexte"/>
              </w:rPr>
              <w:t>A.</w:t>
            </w:r>
            <w:r>
              <w:rPr>
                <w:rFonts w:asciiTheme="minorHAnsi" w:eastAsiaTheme="minorEastAsia" w:hAnsiTheme="minorHAnsi" w:cstheme="minorBidi"/>
                <w:kern w:val="2"/>
                <w:sz w:val="24"/>
                <w:szCs w:val="24"/>
                <w:lang w:eastAsia="fr-FR"/>
                <w14:ligatures w14:val="standardContextual"/>
              </w:rPr>
              <w:tab/>
            </w:r>
            <w:r w:rsidRPr="00D12BCD">
              <w:rPr>
                <w:rStyle w:val="Lienhypertexte"/>
              </w:rPr>
              <w:t>Annexe - Mode de fonctionnement résultant</w:t>
            </w:r>
            <w:r>
              <w:rPr>
                <w:webHidden/>
              </w:rPr>
              <w:tab/>
            </w:r>
            <w:r>
              <w:rPr>
                <w:webHidden/>
              </w:rPr>
              <w:fldChar w:fldCharType="begin"/>
            </w:r>
            <w:r>
              <w:rPr>
                <w:webHidden/>
              </w:rPr>
              <w:instrText xml:space="preserve"> PAGEREF _Toc176967438 \h </w:instrText>
            </w:r>
            <w:r>
              <w:rPr>
                <w:webHidden/>
              </w:rPr>
            </w:r>
            <w:r>
              <w:rPr>
                <w:webHidden/>
              </w:rPr>
              <w:fldChar w:fldCharType="separate"/>
            </w:r>
            <w:r>
              <w:rPr>
                <w:webHidden/>
              </w:rPr>
              <w:t>14</w:t>
            </w:r>
            <w:r>
              <w:rPr>
                <w:webHidden/>
              </w:rPr>
              <w:fldChar w:fldCharType="end"/>
            </w:r>
          </w:hyperlink>
        </w:p>
        <w:p w14:paraId="56751045" w14:textId="4E5D1CB6"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7427"/>
      <w:r w:rsidRPr="00C410C3">
        <w:lastRenderedPageBreak/>
        <w:t>Introduction</w:t>
      </w:r>
      <w:bookmarkEnd w:id="0"/>
      <w:bookmarkEnd w:id="1"/>
    </w:p>
    <w:p w14:paraId="4486D213" w14:textId="55531F9F" w:rsidR="008A4FF2" w:rsidRDefault="008A4FF2" w:rsidP="00181F94">
      <w:pPr>
        <w:pStyle w:val="Titre2"/>
      </w:pPr>
      <w:bookmarkStart w:id="2" w:name="_Hlk155877347"/>
      <w:bookmarkStart w:id="3" w:name="_Toc176967428"/>
      <w:r>
        <w:t>Présentation succincte de Pro Santé Connect (PSC)</w:t>
      </w:r>
      <w:bookmarkEnd w:id="3"/>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77777777"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Travaux en cours</w:t>
      </w:r>
      <w:r w:rsidRPr="00DD6D49">
        <w:rPr>
          <w:rFonts w:cs="Arial"/>
        </w:rPr>
        <w:t xml:space="preserve"> : </w:t>
      </w:r>
      <w:hyperlink r:id="rId17" w:history="1">
        <w:r w:rsidRPr="00DD6D49">
          <w:rPr>
            <w:rStyle w:val="Lienhypertexte"/>
            <w:rFonts w:cs="Arial"/>
          </w:rPr>
          <w:t>https:</w:t>
        </w:r>
        <w:r w:rsidRPr="00DD6D49">
          <w:rPr>
            <w:rStyle w:val="Lienhypertexte"/>
            <w:rFonts w:cs="Arial"/>
          </w:rPr>
          <w:t>/</w:t>
        </w:r>
        <w:r w:rsidRPr="00DD6D49">
          <w:rPr>
            <w:rStyle w:val="Lienhypertexte"/>
            <w:rFonts w:cs="Arial"/>
          </w:rPr>
          <w:t>/industriels.esante.gouv.fr/produits-et-services/pro-sante-connect/travaux-en-cours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7429"/>
      <w:bookmarkEnd w:id="2"/>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Hlk155877369"/>
      <w:bookmarkStart w:id="8" w:name="_Toc176967430"/>
      <w:r w:rsidRPr="00FA6450">
        <w:t xml:space="preserve">Non-objectifs du </w:t>
      </w:r>
      <w:r w:rsidR="00BF1583">
        <w:t>guide</w:t>
      </w:r>
      <w:bookmarkEnd w:id="8"/>
    </w:p>
    <w:p w14:paraId="5EB1F51F" w14:textId="7AB7D177" w:rsidR="001C0376" w:rsidRDefault="00DD67FF" w:rsidP="00C410C3">
      <w:pPr>
        <w:jc w:val="left"/>
        <w:rPr>
          <w:rFonts w:cs="Arial"/>
        </w:rPr>
      </w:pPr>
      <w:bookmarkStart w:id="9" w:name="_Hlk155877424"/>
      <w:bookmarkEnd w:id="7"/>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7431"/>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52172713"/>
      <w:bookmarkStart w:id="15" w:name="_Toc176967432"/>
      <w:bookmarkEnd w:id="12"/>
      <w:r w:rsidRPr="00181F94">
        <w:t xml:space="preserve">Inscription </w:t>
      </w:r>
      <w:r w:rsidR="003674D4" w:rsidRPr="00181F94">
        <w:t>auprès de l’ANS</w:t>
      </w:r>
      <w:bookmarkEnd w:id="13"/>
      <w:bookmarkEnd w:id="15"/>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7433"/>
      <w:r>
        <w:t>D</w:t>
      </w:r>
      <w:r w:rsidR="007134E4">
        <w:t>éclaration dans Microsoft Entra ID</w:t>
      </w:r>
      <w:bookmarkEnd w:id="14"/>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C410C3">
      <w:pPr>
        <w:jc w:val="left"/>
      </w:pPr>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C410C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743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C410C3">
      <w:pPr>
        <w:jc w:val="left"/>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7696743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2"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743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3"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4"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743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Ref155875341"/>
      <w:bookmarkStart w:id="27" w:name="_Toc176967438"/>
      <w:r w:rsidRPr="00015230">
        <w:lastRenderedPageBreak/>
        <w:t>Annexe</w:t>
      </w:r>
      <w:r w:rsidR="00CC328B">
        <w:t xml:space="preserve"> - </w:t>
      </w:r>
      <w:r w:rsidRPr="00015230">
        <w:t>Mode de fonctionnement résultant</w:t>
      </w:r>
      <w:bookmarkEnd w:id="24"/>
      <w:bookmarkEnd w:id="25"/>
      <w:bookmarkEnd w:id="27"/>
    </w:p>
    <w:p w14:paraId="3998CD77" w14:textId="272DA96F" w:rsidR="00954DD2" w:rsidRDefault="00954DD2" w:rsidP="00954DD2">
      <w:bookmarkStart w:id="28" w:name="_Hlk176964571"/>
      <w:bookmarkEnd w:id="26"/>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C57553">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3447E0C8">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5"/>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6"/>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7"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8"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6197CCCF" w14:textId="56DBB4A3"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4AF1E603" w14:textId="7EFC6B28" w:rsidR="00114C3B" w:rsidRDefault="00114C3B" w:rsidP="00114C3B">
      <w:pPr>
        <w:spacing w:after="200"/>
        <w:jc w:val="left"/>
        <w:rPr>
          <w:rFonts w:ascii="Segoe UI Semibold" w:hAnsi="Segoe UI Semibold" w:cs="Segoe UI Semibold"/>
        </w:rPr>
      </w:pPr>
    </w:p>
    <w:p w14:paraId="4613AE70" w14:textId="1A4385F5" w:rsidR="00954DD2" w:rsidRPr="008B5A2B" w:rsidRDefault="00015230"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mc:AlternateContent>
          <mc:Choice Requires="wps">
            <w:drawing>
              <wp:anchor distT="0" distB="0" distL="114300" distR="114300" simplePos="0" relativeHeight="251658241" behindDoc="1" locked="0" layoutInCell="1" allowOverlap="1" wp14:anchorId="11AA2DC0" wp14:editId="2B76CF30">
                <wp:simplePos x="0" y="0"/>
                <wp:positionH relativeFrom="page">
                  <wp:align>left</wp:align>
                </wp:positionH>
                <wp:positionV relativeFrom="paragraph">
                  <wp:posOffset>-1385216</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5583C62" id="Freeform: Shape 62774" o:spid="_x0000_s1026" style="position:absolute;margin-left:0;margin-top:-109.0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5T9zbj&#10;AAAACwEAAA8AAABkcnMvZG93bnJldi54bWxMj0FLw0AQhe+C/2EZwVu7SUpsiNkUEXoQq2gjxeM0&#10;OybR7GzIbtvor3d70tsb3vDe94rVZHpxpNF1lhXE8wgEcW11x42Ct2o9y0A4j6yxt0wKvsnBqry8&#10;KDDX9sSvdNz6RoQQdjkqaL0fcild3ZJBN7cDcfA+7GjQh3NspB7xFMJNL5MoupEGOw4NLQ5031L9&#10;tT0YBcPDblO97J4/H99xqNd++bN5Siqlrq+mu1sQnib/9wxn/IAOZWDa2wNrJ3oFYYhXMEviLAZx&#10;9heLZVB7BUmapS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5T9zb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0"/>
      <w:footerReference w:type="default" r:id="rId41"/>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530E1" w14:textId="77777777" w:rsidR="00BD57A3" w:rsidRDefault="00BD57A3" w:rsidP="00F95A5F">
      <w:r>
        <w:separator/>
      </w:r>
    </w:p>
  </w:endnote>
  <w:endnote w:type="continuationSeparator" w:id="0">
    <w:p w14:paraId="23C83D7A" w14:textId="77777777" w:rsidR="00BD57A3" w:rsidRDefault="00BD57A3" w:rsidP="00F95A5F">
      <w:r>
        <w:continuationSeparator/>
      </w:r>
    </w:p>
  </w:endnote>
  <w:endnote w:type="continuationNotice" w:id="1">
    <w:p w14:paraId="012B7E0D" w14:textId="77777777" w:rsidR="00BD57A3" w:rsidRDefault="00BD57A3"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A2B6C" w14:textId="77777777" w:rsidR="00BD57A3" w:rsidRDefault="00BD57A3" w:rsidP="00F95A5F">
      <w:r>
        <w:separator/>
      </w:r>
    </w:p>
  </w:footnote>
  <w:footnote w:type="continuationSeparator" w:id="0">
    <w:p w14:paraId="59E98C3C" w14:textId="77777777" w:rsidR="00BD57A3" w:rsidRDefault="00BD57A3" w:rsidP="00F95A5F">
      <w:r>
        <w:continuationSeparator/>
      </w:r>
    </w:p>
  </w:footnote>
  <w:footnote w:type="continuationNotice" w:id="1">
    <w:p w14:paraId="2CE3B5E9" w14:textId="77777777" w:rsidR="00BD57A3" w:rsidRDefault="00BD57A3"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image" Target="media/image7.png"/><Relationship Id="rId21" Type="http://schemas.openxmlformats.org/officeDocument/2006/relationships/hyperlink" Target="https://entra.microsoft.com/" TargetMode="External"/><Relationship Id="rId34" Type="http://schemas.openxmlformats.org/officeDocument/2006/relationships/hyperlink" Target="https://learn.microsoft.com/fr-fr/security/operations/incident-response-playbook-compromised-malicious-ap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0" Type="http://schemas.openxmlformats.org/officeDocument/2006/relationships/hyperlink" Target="https://entra.microsoft.com" TargetMode="External"/><Relationship Id="rId29" Type="http://schemas.openxmlformats.org/officeDocument/2006/relationships/hyperlink" Target="https://learn.microsoft.com/fr-fr/entra/identity-platform/howto-convert-app-to-be-multi-tenant"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hyperlink" Target="https://entra.microsoft.com/" TargetMode="External"/><Relationship Id="rId37" Type="http://schemas.openxmlformats.org/officeDocument/2006/relationships/hyperlink" Target="https://login.microsoftonline.com/organization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image" Target="media/image5.pn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www.microsoft.com/en-us/security/blog/2024/01/25/midnight-blizzard-guidance-for-responders-on-nation-state-attack/" TargetMode="External"/><Relationship Id="rId38" Type="http://schemas.openxmlformats.org/officeDocument/2006/relationships/hyperlink" Target="https://openid.net/specs/openid-connect-discovery-1_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4789</Words>
  <Characters>26341</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31068</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17</cp:revision>
  <cp:lastPrinted>2020-09-10T16:24:00Z</cp:lastPrinted>
  <dcterms:created xsi:type="dcterms:W3CDTF">2024-02-16T15:21:00Z</dcterms:created>
  <dcterms:modified xsi:type="dcterms:W3CDTF">2024-09-11T15:16:00Z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