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30862" w14:textId="77777777" w:rsidR="005A58AF" w:rsidRDefault="00004BDA">
      <w:pPr>
        <w:pStyle w:val="Heading1"/>
      </w:pPr>
      <w:r>
        <w:t>Campus Recycling Program Analysis (2023-2024)</w:t>
      </w:r>
    </w:p>
    <w:p w14:paraId="6A5570EA" w14:textId="77777777" w:rsidR="005A58AF" w:rsidRDefault="00004BDA">
      <w:r>
        <w:t>Scope: Two-year campus waste review covering landfill, recycling, compost, diversion rate, and recycling contamination trends.</w:t>
      </w:r>
    </w:p>
    <w:p w14:paraId="6AD9AEA0" w14:textId="77777777" w:rsidR="005A58AF" w:rsidRDefault="00004BDA">
      <w:r>
        <w:t>IMPORTANT: All datasets, charts, and findings in this paper are clearly labeled simulated educational data created for training and demonstration before recording.</w:t>
      </w:r>
    </w:p>
    <w:p w14:paraId="3C0D265D" w14:textId="77777777" w:rsidR="005A58AF" w:rsidRDefault="00004BDA">
      <w:r>
        <w:t>Prepared for Student AI Learning Series Episode 05.</w:t>
      </w:r>
    </w:p>
    <w:p w14:paraId="5F858989" w14:textId="77777777" w:rsidR="005A58AF" w:rsidRDefault="00004BDA">
      <w:pPr>
        <w:pStyle w:val="Heading2"/>
      </w:pPr>
      <w:r>
        <w:t>Executive Summary</w:t>
      </w:r>
    </w:p>
    <w:p w14:paraId="20FA3F1D" w14:textId="77777777" w:rsidR="005A58AF" w:rsidRDefault="00004BDA">
      <w:r>
        <w:t>Landfill tonnage decreased by 122.5 tons year-over-year despite a modest increase in total measured material volume. These patterns suggest that targeted sorting education and bin placement improvements can produce practical gains.</w:t>
      </w:r>
    </w:p>
    <w:p w14:paraId="3B53F60E" w14:textId="77777777" w:rsidR="005A58AF" w:rsidRDefault="00004BDA">
      <w:r>
        <w:t>The simulated data indicates measurable progress between 2023 and 2024. Diversion rate rose from 49.2% to 56.9%, while average contamination in recycling streams dropped from 17.4% to 14.2%.</w:t>
      </w:r>
    </w:p>
    <w:p w14:paraId="1F134B9B" w14:textId="77777777" w:rsidR="005A58AF" w:rsidRDefault="00004BDA">
      <w:pPr>
        <w:pStyle w:val="Heading2"/>
      </w:pPr>
      <w:r>
        <w:t>Data Snapshot (Simulated)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5A58AF" w14:paraId="6838B866" w14:textId="77777777">
        <w:tc>
          <w:tcPr>
            <w:tcW w:w="1440" w:type="dxa"/>
            <w:shd w:val="clear" w:color="auto" w:fill="4472C4"/>
          </w:tcPr>
          <w:p w14:paraId="42484EF4" w14:textId="77777777" w:rsidR="005A58AF" w:rsidRDefault="00004BDA">
            <w:r>
              <w:rPr>
                <w:b/>
                <w:color w:val="FFFFFF"/>
              </w:rPr>
              <w:t>Year</w:t>
            </w:r>
          </w:p>
        </w:tc>
        <w:tc>
          <w:tcPr>
            <w:tcW w:w="1440" w:type="dxa"/>
            <w:shd w:val="clear" w:color="auto" w:fill="4472C4"/>
          </w:tcPr>
          <w:p w14:paraId="6B09B1B7" w14:textId="77777777" w:rsidR="005A58AF" w:rsidRDefault="00004BDA">
            <w:r>
              <w:rPr>
                <w:b/>
                <w:color w:val="FFFFFF"/>
              </w:rPr>
              <w:t>Landfill (tons)</w:t>
            </w:r>
          </w:p>
        </w:tc>
        <w:tc>
          <w:tcPr>
            <w:tcW w:w="1440" w:type="dxa"/>
            <w:shd w:val="clear" w:color="auto" w:fill="4472C4"/>
          </w:tcPr>
          <w:p w14:paraId="6DF3B9D5" w14:textId="77777777" w:rsidR="005A58AF" w:rsidRDefault="00004BDA">
            <w:r>
              <w:rPr>
                <w:b/>
                <w:color w:val="FFFFFF"/>
              </w:rPr>
              <w:t>Recycling (tons)</w:t>
            </w:r>
          </w:p>
        </w:tc>
        <w:tc>
          <w:tcPr>
            <w:tcW w:w="1440" w:type="dxa"/>
            <w:shd w:val="clear" w:color="auto" w:fill="4472C4"/>
          </w:tcPr>
          <w:p w14:paraId="3A2D0010" w14:textId="77777777" w:rsidR="005A58AF" w:rsidRDefault="00004BDA">
            <w:r>
              <w:rPr>
                <w:b/>
                <w:color w:val="FFFFFF"/>
              </w:rPr>
              <w:t>Compost (tons)</w:t>
            </w:r>
          </w:p>
        </w:tc>
        <w:tc>
          <w:tcPr>
            <w:tcW w:w="1440" w:type="dxa"/>
            <w:shd w:val="clear" w:color="auto" w:fill="4472C4"/>
          </w:tcPr>
          <w:p w14:paraId="6B683E00" w14:textId="77777777" w:rsidR="005A58AF" w:rsidRDefault="00004BDA">
            <w:r>
              <w:rPr>
                <w:b/>
                <w:color w:val="FFFFFF"/>
              </w:rPr>
              <w:t>Total (tons)</w:t>
            </w:r>
          </w:p>
        </w:tc>
        <w:tc>
          <w:tcPr>
            <w:tcW w:w="1440" w:type="dxa"/>
            <w:shd w:val="clear" w:color="auto" w:fill="4472C4"/>
          </w:tcPr>
          <w:p w14:paraId="191F7E30" w14:textId="77777777" w:rsidR="005A58AF" w:rsidRDefault="00004BDA">
            <w:r>
              <w:rPr>
                <w:b/>
                <w:color w:val="FFFFFF"/>
              </w:rPr>
              <w:t>Diversion Rate</w:t>
            </w:r>
          </w:p>
        </w:tc>
      </w:tr>
      <w:tr w:rsidR="005A58AF" w14:paraId="195FBE94" w14:textId="77777777">
        <w:tc>
          <w:tcPr>
            <w:tcW w:w="1440" w:type="dxa"/>
            <w:shd w:val="clear" w:color="auto" w:fill="F8F8F8"/>
          </w:tcPr>
          <w:p w14:paraId="63070D66" w14:textId="77777777" w:rsidR="005A58AF" w:rsidRDefault="00004BDA">
            <w:r>
              <w:t>2023</w:t>
            </w:r>
          </w:p>
        </w:tc>
        <w:tc>
          <w:tcPr>
            <w:tcW w:w="1440" w:type="dxa"/>
            <w:shd w:val="clear" w:color="auto" w:fill="F8F8F8"/>
          </w:tcPr>
          <w:p w14:paraId="2099F4EC" w14:textId="77777777" w:rsidR="005A58AF" w:rsidRDefault="00004BDA">
            <w:r>
              <w:t>930.0</w:t>
            </w:r>
          </w:p>
        </w:tc>
        <w:tc>
          <w:tcPr>
            <w:tcW w:w="1440" w:type="dxa"/>
            <w:shd w:val="clear" w:color="auto" w:fill="F8F8F8"/>
          </w:tcPr>
          <w:p w14:paraId="4D55C6AB" w14:textId="77777777" w:rsidR="005A58AF" w:rsidRDefault="00004BDA">
            <w:r>
              <w:t>602.7</w:t>
            </w:r>
          </w:p>
        </w:tc>
        <w:tc>
          <w:tcPr>
            <w:tcW w:w="1440" w:type="dxa"/>
            <w:shd w:val="clear" w:color="auto" w:fill="F8F8F8"/>
          </w:tcPr>
          <w:p w14:paraId="6EB36C27" w14:textId="77777777" w:rsidR="005A58AF" w:rsidRDefault="00004BDA">
            <w:r>
              <w:t>296.6</w:t>
            </w:r>
          </w:p>
        </w:tc>
        <w:tc>
          <w:tcPr>
            <w:tcW w:w="1440" w:type="dxa"/>
            <w:shd w:val="clear" w:color="auto" w:fill="F8F8F8"/>
          </w:tcPr>
          <w:p w14:paraId="744912CB" w14:textId="77777777" w:rsidR="005A58AF" w:rsidRDefault="00004BDA">
            <w:r>
              <w:t>1829.3</w:t>
            </w:r>
          </w:p>
        </w:tc>
        <w:tc>
          <w:tcPr>
            <w:tcW w:w="1440" w:type="dxa"/>
            <w:shd w:val="clear" w:color="auto" w:fill="F8F8F8"/>
          </w:tcPr>
          <w:p w14:paraId="3262F50D" w14:textId="77777777" w:rsidR="005A58AF" w:rsidRDefault="00004BDA">
            <w:r>
              <w:t>49.2%</w:t>
            </w:r>
          </w:p>
        </w:tc>
      </w:tr>
      <w:tr w:rsidR="005A58AF" w14:paraId="32FC61AC" w14:textId="77777777">
        <w:tc>
          <w:tcPr>
            <w:tcW w:w="1440" w:type="dxa"/>
            <w:shd w:val="clear" w:color="auto" w:fill="FFFFFF"/>
          </w:tcPr>
          <w:p w14:paraId="091EF8DA" w14:textId="77777777" w:rsidR="005A58AF" w:rsidRDefault="00004BDA">
            <w:r>
              <w:t>2024</w:t>
            </w:r>
          </w:p>
        </w:tc>
        <w:tc>
          <w:tcPr>
            <w:tcW w:w="1440" w:type="dxa"/>
            <w:shd w:val="clear" w:color="auto" w:fill="FFFFFF"/>
          </w:tcPr>
          <w:p w14:paraId="043D88CF" w14:textId="77777777" w:rsidR="005A58AF" w:rsidRDefault="00004BDA">
            <w:r>
              <w:t>807.5</w:t>
            </w:r>
          </w:p>
        </w:tc>
        <w:tc>
          <w:tcPr>
            <w:tcW w:w="1440" w:type="dxa"/>
            <w:shd w:val="clear" w:color="auto" w:fill="FFFFFF"/>
          </w:tcPr>
          <w:p w14:paraId="47B616DC" w14:textId="77777777" w:rsidR="005A58AF" w:rsidRDefault="00004BDA">
            <w:r>
              <w:t>703.5</w:t>
            </w:r>
          </w:p>
        </w:tc>
        <w:tc>
          <w:tcPr>
            <w:tcW w:w="1440" w:type="dxa"/>
            <w:shd w:val="clear" w:color="auto" w:fill="FFFFFF"/>
          </w:tcPr>
          <w:p w14:paraId="2F97CF76" w14:textId="77777777" w:rsidR="005A58AF" w:rsidRDefault="00004BDA">
            <w:r>
              <w:t>361.7</w:t>
            </w:r>
          </w:p>
        </w:tc>
        <w:tc>
          <w:tcPr>
            <w:tcW w:w="1440" w:type="dxa"/>
            <w:shd w:val="clear" w:color="auto" w:fill="FFFFFF"/>
          </w:tcPr>
          <w:p w14:paraId="6DFEBE07" w14:textId="77777777" w:rsidR="005A58AF" w:rsidRDefault="00004BDA">
            <w:r>
              <w:t>1872.7</w:t>
            </w:r>
          </w:p>
        </w:tc>
        <w:tc>
          <w:tcPr>
            <w:tcW w:w="1440" w:type="dxa"/>
            <w:shd w:val="clear" w:color="auto" w:fill="FFFFFF"/>
          </w:tcPr>
          <w:p w14:paraId="60CCFC6A" w14:textId="77777777" w:rsidR="005A58AF" w:rsidRDefault="00004BDA">
            <w:r>
              <w:t>56.9%</w:t>
            </w:r>
          </w:p>
        </w:tc>
      </w:tr>
    </w:tbl>
    <w:p w14:paraId="173BE44B" w14:textId="77777777" w:rsidR="005A58AF" w:rsidRDefault="00004BDA">
      <w:pPr>
        <w:pStyle w:val="Heading2"/>
      </w:pPr>
      <w:r>
        <w:t>Findings</w:t>
      </w:r>
    </w:p>
    <w:p w14:paraId="6FB1DECB" w14:textId="77777777" w:rsidR="005A58AF" w:rsidRDefault="00004BDA">
      <w:r>
        <w:t>3. Contamination decline: Average recycling contamination decreased from 17.4% to 14.2%, indicating better sorting behavior.</w:t>
      </w:r>
    </w:p>
    <w:p w14:paraId="15BD11E0" w14:textId="77777777" w:rsidR="005A58AF" w:rsidRDefault="00004BDA">
      <w:r>
        <w:t>2. Landfill reduction: Landfill volume dropped by 122.5 tons year-over-year while recycling and compost rose.</w:t>
      </w:r>
    </w:p>
    <w:p w14:paraId="1163893B" w14:textId="77777777" w:rsidR="005A58AF" w:rsidRDefault="00004BDA">
      <w:r>
        <w:t>1. Diversion improvement: Diversion rate increased by 7.7 percentage points from 2023 to 2024.</w:t>
      </w:r>
    </w:p>
    <w:p w14:paraId="32946185" w14:textId="77777777" w:rsidR="005A58AF" w:rsidRDefault="00004BDA">
      <w:r>
        <w:rPr>
          <w:noProof/>
        </w:rPr>
        <w:lastRenderedPageBreak/>
        <w:drawing>
          <wp:inline distT="0" distB="0" distL="0" distR="0" wp14:anchorId="3A8EEEF2" wp14:editId="18719627">
            <wp:extent cx="5303520" cy="2545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version-rate-tren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F0EE" w14:textId="77777777" w:rsidR="005A58AF" w:rsidRDefault="00004BDA">
      <w:r>
        <w:t>Figure 1. Simulated monthly diversion rate trend (2023-2024).</w:t>
      </w:r>
    </w:p>
    <w:p w14:paraId="71C0841E" w14:textId="77777777" w:rsidR="005A58AF" w:rsidRDefault="00004BDA">
      <w:r>
        <w:rPr>
          <w:noProof/>
        </w:rPr>
        <w:drawing>
          <wp:inline distT="0" distB="0" distL="0" distR="0" wp14:anchorId="589A20A5" wp14:editId="2BE348E9">
            <wp:extent cx="5303520" cy="31197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ste-stream-annual-total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72CE" w14:textId="77777777" w:rsidR="005A58AF" w:rsidRDefault="00004BDA">
      <w:r>
        <w:t>Figure 2. Simulated annual totals by waste stream for 2023 and 2024.</w:t>
      </w:r>
    </w:p>
    <w:p w14:paraId="76D60A3F" w14:textId="77777777" w:rsidR="005A58AF" w:rsidRDefault="00004BDA">
      <w:r>
        <w:rPr>
          <w:noProof/>
        </w:rPr>
        <w:lastRenderedPageBreak/>
        <w:drawing>
          <wp:inline distT="0" distB="0" distL="0" distR="0" wp14:anchorId="4970ECDC" wp14:editId="0C3B8213">
            <wp:extent cx="5303520" cy="25456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mination-tre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02AF" w14:textId="77777777" w:rsidR="005A58AF" w:rsidRDefault="00004BDA">
      <w:r>
        <w:t>Figure 3. Simulated recycling contamination trend showing year-over-year decline.</w:t>
      </w:r>
    </w:p>
    <w:p w14:paraId="0DF7B2E4" w14:textId="77777777" w:rsidR="005A58AF" w:rsidRDefault="00004BDA">
      <w:pPr>
        <w:pStyle w:val="Heading2"/>
      </w:pPr>
      <w:r>
        <w:t>Evidence-Based Recommendations</w:t>
      </w:r>
    </w:p>
    <w:p w14:paraId="72969AF5" w14:textId="77777777" w:rsidR="005A58AF" w:rsidRDefault="00004BDA">
      <w:r>
        <w:t>3. Use building-level feedback loops: Publish simple dashboard snapshots by building or zone each month to reinforce participation and accountability.</w:t>
      </w:r>
    </w:p>
    <w:p w14:paraId="16C3A9CF" w14:textId="77777777" w:rsidR="005A58AF" w:rsidRDefault="00004BDA">
      <w:r>
        <w:t>2. Launch contamination-focused communication cycles: Run short monthly campaigns using examples of common contamination errors and quick correction tips.</w:t>
      </w:r>
    </w:p>
    <w:p w14:paraId="6B5626F7" w14:textId="77777777" w:rsidR="005A58AF" w:rsidRDefault="00004BDA">
      <w:r>
        <w:t>1. Standardize high-traffic bin stations: Pair landfill, recycling, and compost bins with consistent icon signage at dining halls and residence entries to reduce sorting friction.</w:t>
      </w:r>
    </w:p>
    <w:p w14:paraId="6321B77B" w14:textId="77777777" w:rsidR="005A58AF" w:rsidRDefault="00004BDA">
      <w:pPr>
        <w:pStyle w:val="Heading2"/>
      </w:pPr>
      <w:r>
        <w:t>Limitations</w:t>
      </w:r>
    </w:p>
    <w:p w14:paraId="1F88DD4D" w14:textId="77777777" w:rsidR="005A58AF" w:rsidRDefault="00004BDA">
      <w:r>
        <w:t>Recommendations should be treated as pilot candidates and validated with real audits before policy adoption.</w:t>
      </w:r>
    </w:p>
    <w:p w14:paraId="609E90DD" w14:textId="77777777" w:rsidR="005A58AF" w:rsidRDefault="00004BDA">
      <w:r>
        <w:t>Monthly values simplify real collection variability and do not represent day-level events, staffing constraints, or weather disruptions.</w:t>
      </w:r>
    </w:p>
    <w:p w14:paraId="3E284979" w14:textId="77777777" w:rsidR="005A58AF" w:rsidRDefault="00004BDA">
      <w:r>
        <w:t>This analysis is based on simulated educational data, not measured operational records.</w:t>
      </w:r>
    </w:p>
    <w:p w14:paraId="2A9782F8" w14:textId="77777777" w:rsidR="005A58AF" w:rsidRDefault="00004BDA">
      <w:pPr>
        <w:pStyle w:val="Heading2"/>
      </w:pPr>
      <w:r>
        <w:t>Source Notes</w:t>
      </w:r>
    </w:p>
    <w:p w14:paraId="11884009" w14:textId="77777777" w:rsidR="005A58AF" w:rsidRDefault="00004BDA">
      <w:r>
        <w:t>No external institution-specific operational records are represented in this paper.</w:t>
      </w:r>
    </w:p>
    <w:p w14:paraId="330D47E0" w14:textId="77777777" w:rsidR="005A58AF" w:rsidRDefault="00004BDA">
      <w:r>
        <w:t>Charts: diversion-rate-trend.png, waste-stream-annual-totals.png, contamination-trend.png generated directly from the simulated dataset.</w:t>
      </w:r>
    </w:p>
    <w:p w14:paraId="1F8B3578" w14:textId="77777777" w:rsidR="005A58AF" w:rsidRDefault="00004BDA">
      <w:r>
        <w:t>Primary dataset: campus-waste-data-2023-2024-simulated.csv (created pre-recording for training and demonstration).</w:t>
      </w:r>
    </w:p>
    <w:sectPr w:rsidR="005A58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124807">
    <w:abstractNumId w:val="8"/>
  </w:num>
  <w:num w:numId="2" w16cid:durableId="820854296">
    <w:abstractNumId w:val="6"/>
  </w:num>
  <w:num w:numId="3" w16cid:durableId="1314404667">
    <w:abstractNumId w:val="5"/>
  </w:num>
  <w:num w:numId="4" w16cid:durableId="1166018527">
    <w:abstractNumId w:val="4"/>
  </w:num>
  <w:num w:numId="5" w16cid:durableId="876745307">
    <w:abstractNumId w:val="7"/>
  </w:num>
  <w:num w:numId="6" w16cid:durableId="776175045">
    <w:abstractNumId w:val="3"/>
  </w:num>
  <w:num w:numId="7" w16cid:durableId="625426327">
    <w:abstractNumId w:val="2"/>
  </w:num>
  <w:num w:numId="8" w16cid:durableId="1480416867">
    <w:abstractNumId w:val="1"/>
  </w:num>
  <w:num w:numId="9" w16cid:durableId="777407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BDA"/>
    <w:rsid w:val="00034616"/>
    <w:rsid w:val="0006063C"/>
    <w:rsid w:val="0015074B"/>
    <w:rsid w:val="0029639D"/>
    <w:rsid w:val="00326F90"/>
    <w:rsid w:val="005A58AF"/>
    <w:rsid w:val="009B5D18"/>
    <w:rsid w:val="00A665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C3858"/>
  <w14:defaultImageDpi w14:val="300"/>
  <w15:docId w15:val="{0401FC07-C620-427B-97B4-D0799B3DF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Recycling Program Analysis (Simulated Data)</dc:title>
  <dc:subject/>
  <dc:creator>Student AI Learning Series Team</dc:creator>
  <cp:keywords/>
  <dc:description>generated by python-docx</dc:description>
  <cp:lastModifiedBy>Alexander Elguezabal</cp:lastModifiedBy>
  <cp:revision>2</cp:revision>
  <dcterms:created xsi:type="dcterms:W3CDTF">2026-07-15T22:46:00Z</dcterms:created>
  <dcterms:modified xsi:type="dcterms:W3CDTF">2026-07-15T22:46:00Z</dcterms:modified>
  <cp:category/>
</cp:coreProperties>
</file>