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A8BA4" w14:textId="77777777" w:rsidR="00F15EA7" w:rsidRPr="004E69C9" w:rsidRDefault="004E69C9" w:rsidP="00AB0D38">
      <w:pPr>
        <w:pStyle w:val="HeadingEULA"/>
        <w:rPr>
          <w:lang w:val="pt-PT"/>
        </w:rPr>
      </w:pPr>
      <w:r w:rsidRPr="004E69C9">
        <w:rPr>
          <w:rFonts w:eastAsia="Tahoma"/>
          <w:lang w:val="pt-PT"/>
        </w:rPr>
        <w:t>TERMOS DE LICENCIAMENTO PARA SOFTWARE MICROSOFT</w:t>
      </w:r>
    </w:p>
    <w:p w14:paraId="71AA8BA5" w14:textId="77777777" w:rsidR="00AB0D38" w:rsidRPr="005D7CEE" w:rsidRDefault="004E69C9" w:rsidP="00AB0D38">
      <w:pPr>
        <w:pStyle w:val="HeadingSoftwareTitle"/>
        <w:pBdr>
          <w:bottom w:val="none" w:sz="0" w:space="0" w:color="auto"/>
        </w:pBdr>
      </w:pPr>
      <w:r>
        <w:rPr/>
        <w:t xml:space="preserve">MICROSOFT WORK IQ CLI</w:t>
      </w:r>
    </w:p>
    <w:p w14:paraId="71AA8BA7" w14:textId="77777777" w:rsidR="00FB0EA3" w:rsidRPr="004E69C9" w:rsidRDefault="00573939" w:rsidP="00FB0EA3">
      <w:pPr>
        <w:pStyle w:val="HeadingSoftwareTitle"/>
        <w:pBdr>
          <w:bottom w:val="none" w:sz="0" w:space="0" w:color="auto"/>
        </w:pBdr>
        <w:spacing w:before="0"/>
      </w:pPr>
      <w:r>
        <w:pict w14:anchorId="71AA8C00">
          <v:rect id="_x0000_i1025" style="width:455.8pt;height:1pt" o:hrpct="0" o:hrstd="t" o:hrnoshade="t" o:hr="t" fillcolor="#7f7f7f" stroked="f"/>
        </w:pict>
      </w:r>
    </w:p>
    <w:p w14:paraId="71AA8BA8" w14:textId="77777777" w:rsidR="00FB0EA3" w:rsidRPr="004E69C9" w:rsidRDefault="004E69C9" w:rsidP="00FB0EA3">
      <w:pPr>
        <w:pStyle w:val="Preamble"/>
        <w:rPr>
          <w:lang w:val="pt-PT"/>
        </w:rPr>
      </w:pPr>
      <w:r w:rsidRPr="004E69C9">
        <w:rPr>
          <w:rStyle w:val="Strong"/>
          <w:rFonts w:eastAsia="Tahoma"/>
          <w:bCs/>
          <w:lang w:val="pt-PT"/>
        </w:rPr>
        <w:t>SE RESIDE (OU, CASO SEJA UMA EMPRESA, SE O SEU PRINCIPAL LOCAL DE NEGÓCIOS FOR) NOS ESTADOS UNIDOS, DEVERÁ LER A SECÇÃO “RENÚNCIA A QUEIXA COLETIVA E ARBITRAGEM VINCULATIVA” ABAIXO. ESTA AFETA A FORMA COMO OS LITÍGIOS SÃO RESOLVIDOS.</w:t>
      </w:r>
      <w:r w:rsidR="00573939">
        <w:pict w14:anchorId="71AA8C01">
          <v:rect id="_x0000_i1026" style="width:460.8pt;height:1pt" o:hrpct="0" o:hrstd="t" o:hrnoshade="t" o:hr="t" fillcolor="#7f7f7f" stroked="f"/>
        </w:pict>
      </w:r>
    </w:p>
    <w:p w14:paraId="71AA8BA9" w14:textId="77777777" w:rsidR="00F15EA7" w:rsidRPr="004E69C9" w:rsidRDefault="004E69C9" w:rsidP="00EC276C">
      <w:pPr>
        <w:pStyle w:val="PreambleBorderAbove"/>
        <w:pBdr>
          <w:top w:val="none" w:sz="0" w:space="0" w:color="auto"/>
        </w:pBdr>
        <w:spacing w:before="0"/>
        <w:rPr>
          <w:lang w:val="pt-PT"/>
        </w:rPr>
      </w:pPr>
      <w:r w:rsidRPr="004E69C9">
        <w:rPr>
          <w:rFonts w:eastAsia="Tahoma"/>
          <w:lang w:val="pt-PT"/>
        </w:rPr>
        <w:t xml:space="preserve">Os presentes termos de licenciamento constituem um contrato entre o Cliente e a Microsoft Corporation (ou uma das respetivas afiliadas). Estes termos aplicam-se ao software supramencionado e a quaisquer atualizações de software ou serviços da Microsoft (salvo na medida em que estes serviços ou atualizações sejam acompanhados por termos novos ou adicionais, caso em que esses termos diferentes são </w:t>
      </w:r>
      <w:bookmarkStart w:id="0" w:name="OLE_LINK84"/>
      <w:bookmarkStart w:id="1" w:name="OLE_LINK85"/>
      <w:r w:rsidRPr="004E69C9">
        <w:rPr>
          <w:rFonts w:eastAsia="Tahoma"/>
          <w:lang w:val="pt-PT"/>
        </w:rPr>
        <w:t xml:space="preserve">aplicados prospetivamente </w:t>
      </w:r>
      <w:bookmarkEnd w:id="0"/>
      <w:bookmarkEnd w:id="1"/>
      <w:r w:rsidRPr="004E69C9">
        <w:rPr>
          <w:rFonts w:eastAsia="Tahoma"/>
          <w:lang w:val="pt-PT"/>
        </w:rPr>
        <w:t>e não alteram os direitos do Cliente ou da Microsoft relacionados com os serviços ou o software pré-atualizado). SE O ADQUIRENTE CUMPRIR COM OS PRESENTES TERMOS DE LICENCIAMENTO, TERÁ OS DIREITOS DESCRITOS INFRA. AO UTILIZAR O SOFTWARE, O CLIENTE ESTÁ A ACEITAR ESTES TERMOS.</w:t>
      </w:r>
    </w:p>
    <w:p w14:paraId="71AA8BAA" w14:textId="77777777" w:rsidR="00B406AF" w:rsidRPr="004E69C9" w:rsidRDefault="004E69C9" w:rsidP="00791E1C">
      <w:pPr>
        <w:pStyle w:val="Heading1"/>
        <w:numPr>
          <w:ilvl w:val="0"/>
          <w:numId w:val="13"/>
        </w:numPr>
        <w:rPr>
          <w:b/>
          <w:lang w:val="pt-PT"/>
        </w:rPr>
      </w:pPr>
      <w:r w:rsidRPr="004E69C9">
        <w:rPr>
          <w:rFonts w:eastAsia="Tahoma"/>
          <w:b/>
          <w:lang w:val="pt-PT"/>
        </w:rPr>
        <w:t>DIREITOS DE INSTALAÇÃO E DE UTILIZAÇÃO.</w:t>
      </w:r>
    </w:p>
    <w:p w14:paraId="71AA8BAB" w14:textId="77777777" w:rsidR="00112F38" w:rsidRPr="004E69C9" w:rsidRDefault="004E69C9" w:rsidP="00791E1C">
      <w:pPr>
        <w:pStyle w:val="Heading2"/>
        <w:numPr>
          <w:ilvl w:val="0"/>
          <w:numId w:val="14"/>
        </w:numPr>
        <w:rPr>
          <w:lang w:val="pt-PT"/>
        </w:rPr>
      </w:pPr>
      <w:bookmarkStart w:id="2" w:name="OLE_LINK124"/>
      <w:bookmarkStart w:id="3" w:name="OLE_LINK125"/>
      <w:r w:rsidRPr="004E69C9">
        <w:rPr>
          <w:rFonts w:eastAsia="Tahoma"/>
          <w:b/>
          <w:lang w:val="pt-PT"/>
        </w:rPr>
        <w:t>Geral.</w:t>
      </w:r>
      <w:r w:rsidRPr="00573939">
        <w:rPr>
          <w:rFonts w:eastAsia="Tahoma"/>
          <w:bCs w:val="0"/>
          <w:lang w:val="pt-PT"/>
        </w:rPr>
        <w:t xml:space="preserve"> </w:t>
      </w:r>
      <w:r w:rsidRPr="004E69C9">
        <w:rPr>
          <w:rFonts w:eastAsia="Tahoma"/>
          <w:bCs w:val="0"/>
          <w:lang w:val="pt-PT"/>
        </w:rPr>
        <w:t xml:space="preserve">O Cliente pode instalar e utilizar </w:t>
      </w:r>
      <w:r w:rsidRPr="004E69C9">
        <w:rPr>
          <w:rFonts w:eastAsia="Tahoma"/>
          <w:bCs w:val="0"/>
          <w:lang w:val="pt-PT"/>
        </w:rPr>
        <w:t>qualquer número de</w:t>
      </w:r>
      <w:r w:rsidRPr="004E69C9">
        <w:rPr>
          <w:rFonts w:eastAsia="Tahoma"/>
          <w:bCs w:val="0"/>
          <w:lang w:val="pt-PT"/>
        </w:rPr>
        <w:t xml:space="preserve"> </w:t>
      </w:r>
      <w:r w:rsidRPr="004E69C9">
        <w:rPr>
          <w:rFonts w:eastAsia="Tahoma"/>
          <w:bCs w:val="0"/>
          <w:lang w:val="pt-PT"/>
        </w:rPr>
        <w:t>cópias</w:t>
      </w:r>
      <w:r w:rsidRPr="004E69C9">
        <w:rPr>
          <w:rFonts w:eastAsia="Tahoma"/>
          <w:bCs w:val="0"/>
          <w:lang w:val="pt-PT"/>
        </w:rPr>
        <w:t xml:space="preserve"> do software nos seus dispositivos</w:t>
      </w:r>
      <w:r w:rsidRPr="004E69C9">
        <w:rPr>
          <w:rFonts w:eastAsia="Tahoma"/>
          <w:bCs w:val="0"/>
          <w:lang w:val="pt-PT"/>
        </w:rPr>
        <w:t>.</w:t>
      </w:r>
      <w:r w:rsidRPr="004E69C9">
        <w:rPr>
          <w:rFonts w:eastAsia="Tahoma"/>
          <w:bCs w:val="0"/>
          <w:lang w:val="pt-PT"/>
        </w:rPr>
        <w:t xml:space="preserve"> O Cliente não pode utilizar o software num ambiente operacional em tempo real, a menos que a Microsoft lhe permita fazê-lo ao abrigo de outro acordo.</w:t>
      </w:r>
    </w:p>
    <w:p w14:paraId="71AA8BAE" w14:textId="77777777" w:rsidR="00BF3A5C" w:rsidRPr="004E69C9" w:rsidRDefault="004E69C9" w:rsidP="00791E1C">
      <w:pPr>
        <w:pStyle w:val="Heading2"/>
        <w:numPr>
          <w:ilvl w:val="0"/>
          <w:numId w:val="14"/>
        </w:numPr>
        <w:rPr>
          <w:lang w:val="pt-PT"/>
        </w:rPr>
      </w:pPr>
      <w:r w:rsidRPr="004E69C9">
        <w:rPr>
          <w:rFonts w:eastAsia="Tahoma"/>
          <w:b/>
          <w:lang w:val="pt-PT"/>
        </w:rPr>
        <w:t>Contas Escolares ou Profissionais</w:t>
      </w:r>
      <w:r w:rsidRPr="004E69C9">
        <w:rPr>
          <w:rFonts w:eastAsia="Tahoma"/>
          <w:bCs w:val="0"/>
          <w:lang w:val="pt-PT"/>
        </w:rPr>
        <w:t xml:space="preserve">. O Cliente pode iniciar sessão no software com um endereço de e-mail escolar ou profissional. Se o fizer, o Cliente aceita que o proprietário do domínio associado ao respetivo endereço de e-mail poderá controlar e administrar a sua conta, bem como aceder e processar os seus dados, incluindo os conteúdos das comunicações e dos ficheiros. O Cliente aceita ainda que a utilização que fizer do software pode estar sujeita a: i) às diretrizes e políticas da organização do Cliente relativamente à utilização do software; e ii) aos contratos que a Microsoft celebrou com o Cliente ou com a respetiva organização, pelo que nesse caso os presentes termos podem não se aplicar.  Se o Cliente já tiver uma conta Microsoft e utilizar um endereço de e-mail </w:t>
      </w:r>
      <w:r w:rsidRPr="004E69C9">
        <w:rPr>
          <w:rFonts w:eastAsia="Tahoma"/>
          <w:bCs w:val="0"/>
          <w:lang w:val="pt-PT"/>
        </w:rPr>
        <w:lastRenderedPageBreak/>
        <w:t>escolar ou profissional diferente para aceder ao software, poder-lhe-á ser pedido que atualize o endereço de e-mail associado à respetiva conta Microsoft para poder continuar a aceder ao software.</w:t>
      </w:r>
    </w:p>
    <w:p w14:paraId="71AA8BB0" w14:textId="77777777" w:rsidR="005B381B" w:rsidRPr="004E69C9" w:rsidRDefault="004E69C9" w:rsidP="00791E1C">
      <w:pPr>
        <w:pStyle w:val="Heading2"/>
        <w:numPr>
          <w:ilvl w:val="0"/>
          <w:numId w:val="14"/>
        </w:numPr>
        <w:rPr>
          <w:b/>
          <w:lang w:val="pt-PT"/>
        </w:rPr>
      </w:pPr>
      <w:bookmarkStart w:id="6" w:name="_Hlk525135722"/>
      <w:bookmarkEnd w:id="2"/>
      <w:bookmarkEnd w:id="3"/>
      <w:r w:rsidRPr="004E69C9">
        <w:rPr>
          <w:rFonts w:eastAsia="Tahoma"/>
          <w:b/>
          <w:lang w:val="pt-PT"/>
        </w:rPr>
        <w:t>Aplicações da Microsoft Incluídas</w:t>
      </w:r>
      <w:r w:rsidRPr="004E69C9">
        <w:rPr>
          <w:rFonts w:eastAsia="Tahoma"/>
          <w:bCs w:val="0"/>
          <w:lang w:val="pt-PT"/>
        </w:rPr>
        <w:t xml:space="preserve">. O software poderá incluir outras aplicações da Microsoft. Os presentes termos de licenciamento são aplicáveis às aplicações incluídas, se existirem, </w:t>
      </w:r>
      <w:bookmarkStart w:id="7" w:name="OLE_LINK80"/>
      <w:bookmarkStart w:id="8" w:name="OLE_LINK81"/>
      <w:r w:rsidRPr="004E69C9">
        <w:rPr>
          <w:rFonts w:eastAsia="Tahoma"/>
          <w:bCs w:val="0"/>
          <w:lang w:val="pt-PT"/>
        </w:rPr>
        <w:t>salvo se forem fornecidos outros termos de licenciamento com as outras aplicações da Microsoft</w:t>
      </w:r>
      <w:bookmarkEnd w:id="7"/>
      <w:bookmarkEnd w:id="8"/>
      <w:r w:rsidRPr="004E69C9">
        <w:rPr>
          <w:rFonts w:eastAsia="Tahoma"/>
          <w:bCs w:val="0"/>
          <w:lang w:val="pt-PT"/>
        </w:rPr>
        <w:t>.</w:t>
      </w:r>
      <w:bookmarkEnd w:id="6"/>
    </w:p>
    <w:p w14:paraId="71AA8BB2" w14:textId="77777777" w:rsidR="00260073" w:rsidRPr="004E69C9" w:rsidRDefault="004E69C9" w:rsidP="00791E1C">
      <w:pPr>
        <w:pStyle w:val="Heading2"/>
        <w:numPr>
          <w:ilvl w:val="0"/>
          <w:numId w:val="14"/>
        </w:numPr>
        <w:rPr>
          <w:b/>
          <w:lang w:val="pt-PT"/>
        </w:rPr>
      </w:pPr>
      <w:r w:rsidRPr="004E69C9">
        <w:rPr>
          <w:rFonts w:eastAsia="Tahoma"/>
          <w:b/>
          <w:lang w:val="pt-PT"/>
        </w:rPr>
        <w:t>Componentes de Terceiros.</w:t>
      </w:r>
      <w:r w:rsidRPr="004E69C9">
        <w:rPr>
          <w:rFonts w:eastAsia="Tahoma"/>
          <w:bCs w:val="0"/>
          <w:lang w:val="pt-PT"/>
        </w:rPr>
        <w:t xml:space="preserve"> O software pode incluir componentes de terceiros com notificações legais independentes ou regidas por outros contratos, conforme descrito no(s) ficheiro(s) ThirdPartyNotices que acompanha(m) o software.</w:t>
      </w:r>
    </w:p>
    <w:p w14:paraId="71AA8BB7" w14:textId="5E657953" w:rsidR="00F62419" w:rsidRPr="004E69C9" w:rsidRDefault="004E69C9" w:rsidP="00791E1C">
      <w:pPr>
        <w:pStyle w:val="Heading2"/>
        <w:numPr>
          <w:ilvl w:val="0"/>
          <w:numId w:val="14"/>
        </w:numPr>
        <w:rPr>
          <w:b/>
          <w:lang w:val="pt-PT"/>
        </w:rPr>
      </w:pPr>
      <w:r w:rsidRPr="004E69C9">
        <w:rPr>
          <w:rFonts w:eastAsia="Tahoma"/>
          <w:b/>
          <w:lang w:val="pt-PT"/>
        </w:rPr>
        <w:t>Referências da Concorrência.</w:t>
      </w:r>
      <w:r w:rsidRPr="004E69C9">
        <w:rPr>
          <w:rFonts w:eastAsia="Tahoma"/>
          <w:bCs w:val="0"/>
          <w:lang w:val="pt-PT"/>
        </w:rPr>
        <w:t xml:space="preserve"> Se o Cliente for um concorrente direto, e aceder ou utilizar o software para fins de referência, análise ou recolha de informações sobre a concorrência, renuncia a qualquer utilização competitiva, acesso e restrições de testes de referência contra a Microsoft, as suas subsidiárias e empresas afiliadas (incluindo prospetivamente), nos termos que regulam o software do Cliente, na medida em que os termos de utilização do Cliente sejam, ou sugiram ser, mais restritivos do que os termos da Microsoft. Se o Cliente não renunciar a quaisquer destas alegadas restrições nos termos que regulam o seu software, não poderá aceder a ou utilizar este software, e compromete-se a não fazê-lo.</w:t>
      </w:r>
    </w:p>
    <w:p w14:paraId="71AA8BBC" w14:textId="77777777" w:rsidR="00BF3A5C" w:rsidRPr="004E69C9" w:rsidRDefault="004E69C9" w:rsidP="00791E1C">
      <w:pPr>
        <w:pStyle w:val="Heading1"/>
        <w:numPr>
          <w:ilvl w:val="0"/>
          <w:numId w:val="13"/>
        </w:numPr>
        <w:rPr>
          <w:b/>
          <w:lang w:val="pt-PT"/>
        </w:rPr>
      </w:pPr>
      <w:r w:rsidRPr="004E69C9">
        <w:rPr>
          <w:rFonts w:eastAsia="Tahoma"/>
          <w:b/>
          <w:lang w:val="pt-PT"/>
        </w:rPr>
        <w:t>ÂMBITO DA LICENÇA.</w:t>
      </w:r>
      <w:r w:rsidRPr="004E69C9">
        <w:rPr>
          <w:rFonts w:eastAsia="Tahoma"/>
          <w:bCs w:val="0"/>
          <w:lang w:val="pt-PT"/>
        </w:rPr>
        <w:t xml:space="preserve"> O software é licenciado e não vendido. A Microsoft reserva-se todos os outros direitos. Salvo se a lei aplicável conferir mais direitos, não obstante esta limitação, o Cliente não irá (e não terá qualquer direito a):</w:t>
      </w:r>
    </w:p>
    <w:p w14:paraId="71AA8BBD" w14:textId="77777777" w:rsidR="00BF3A5C" w:rsidRPr="004E69C9" w:rsidRDefault="004E69C9" w:rsidP="00791E1C">
      <w:pPr>
        <w:pStyle w:val="Heading2"/>
        <w:numPr>
          <w:ilvl w:val="0"/>
          <w:numId w:val="16"/>
        </w:numPr>
        <w:rPr>
          <w:lang w:val="pt-PT"/>
        </w:rPr>
      </w:pPr>
      <w:r w:rsidRPr="004E69C9">
        <w:rPr>
          <w:rFonts w:eastAsia="Tahoma"/>
          <w:lang w:val="pt-PT"/>
        </w:rPr>
        <w:t>contornar quaisquer limitações técnicas no software que só permitam a sua utilização de determinadas formas;</w:t>
      </w:r>
    </w:p>
    <w:p w14:paraId="71AA8BBE" w14:textId="77777777" w:rsidR="00BF3A5C" w:rsidRPr="004E69C9" w:rsidRDefault="004E69C9" w:rsidP="00791E1C">
      <w:pPr>
        <w:pStyle w:val="Heading2"/>
        <w:numPr>
          <w:ilvl w:val="0"/>
          <w:numId w:val="16"/>
        </w:numPr>
        <w:rPr>
          <w:lang w:val="pt-PT"/>
        </w:rPr>
      </w:pPr>
      <w:bookmarkStart w:id="10" w:name="_Hlk525204575"/>
      <w:r w:rsidRPr="004E69C9">
        <w:rPr>
          <w:rFonts w:eastAsia="Tahoma"/>
          <w:lang w:val="pt-PT"/>
        </w:rPr>
        <w:t>proceder a engenharia inversa, descompilar ou desmontar o software, ou de alguma forma tentar obter o código fonte do software, exceto e apenas na medida em tal seja exigido por termos de licenciamento de terceiros que regulem a utilização de determinados componentes open source que possam estar incluídos no software;</w:t>
      </w:r>
      <w:bookmarkEnd w:id="10"/>
    </w:p>
    <w:p w14:paraId="71AA8BBF" w14:textId="77777777" w:rsidR="00BF3A5C" w:rsidRPr="004E69C9" w:rsidRDefault="004E69C9" w:rsidP="00791E1C">
      <w:pPr>
        <w:pStyle w:val="Heading2"/>
        <w:numPr>
          <w:ilvl w:val="0"/>
          <w:numId w:val="16"/>
        </w:numPr>
        <w:rPr>
          <w:lang w:val="pt-PT"/>
        </w:rPr>
      </w:pPr>
      <w:r w:rsidRPr="004E69C9">
        <w:rPr>
          <w:rFonts w:eastAsia="Tahoma"/>
          <w:lang w:val="pt-PT"/>
        </w:rPr>
        <w:t>remover, minimizar, bloquear ou modificar quaisquer notificações da Microsoft ou dos seus fornecedores no software;</w:t>
      </w:r>
    </w:p>
    <w:p w14:paraId="71AA8BC0" w14:textId="77777777" w:rsidR="00BF3A5C" w:rsidRPr="004E69C9" w:rsidRDefault="004E69C9" w:rsidP="00791E1C">
      <w:pPr>
        <w:pStyle w:val="Heading2"/>
        <w:numPr>
          <w:ilvl w:val="0"/>
          <w:numId w:val="16"/>
        </w:numPr>
        <w:rPr>
          <w:lang w:val="pt-PT"/>
        </w:rPr>
      </w:pPr>
      <w:r w:rsidRPr="004E69C9">
        <w:rPr>
          <w:rFonts w:eastAsia="Tahoma"/>
          <w:lang w:val="pt-PT"/>
        </w:rPr>
        <w:t>divulgar os resultados de quaisquer testes de referência do software a terceiros sem o consentimento prévio por escrito da Microsoft;</w:t>
      </w:r>
    </w:p>
    <w:p w14:paraId="71AA8BC2" w14:textId="77777777" w:rsidR="00BF3A5C" w:rsidRPr="004E69C9" w:rsidRDefault="004E69C9" w:rsidP="00791E1C">
      <w:pPr>
        <w:pStyle w:val="Heading2"/>
        <w:numPr>
          <w:ilvl w:val="0"/>
          <w:numId w:val="16"/>
        </w:numPr>
        <w:rPr>
          <w:lang w:val="pt-PT"/>
        </w:rPr>
      </w:pPr>
      <w:r w:rsidRPr="004E69C9">
        <w:rPr>
          <w:rFonts w:eastAsia="Tahoma"/>
          <w:lang w:val="pt-PT"/>
        </w:rPr>
        <w:t>utilizar o software de qualquer forma que não esteja em conformidade com a lei ou que propague malware; ou</w:t>
      </w:r>
    </w:p>
    <w:p w14:paraId="71AA8BC3" w14:textId="77777777" w:rsidR="00BF3A5C" w:rsidRPr="004E69C9" w:rsidRDefault="004E69C9" w:rsidP="00791E1C">
      <w:pPr>
        <w:pStyle w:val="Heading2"/>
        <w:numPr>
          <w:ilvl w:val="0"/>
          <w:numId w:val="16"/>
        </w:numPr>
        <w:rPr>
          <w:lang w:val="pt-PT"/>
        </w:rPr>
      </w:pPr>
      <w:r w:rsidRPr="004E69C9">
        <w:rPr>
          <w:rFonts w:eastAsia="Tahoma"/>
          <w:lang w:val="pt-PT"/>
        </w:rPr>
        <w:t>partilhar, publicar, distribuir ou ceder o software, fornecer o software como uma oferta autónoma para utilização de terceiros ou transferir o software ou o presente contrato para quaisquer terceiros.</w:t>
      </w:r>
    </w:p>
    <w:p w14:paraId="71AA8BC4" w14:textId="77777777" w:rsidR="00366D34" w:rsidRPr="004E69C9" w:rsidRDefault="004E69C9" w:rsidP="00791E1C">
      <w:pPr>
        <w:pStyle w:val="Heading1"/>
        <w:numPr>
          <w:ilvl w:val="0"/>
          <w:numId w:val="13"/>
        </w:numPr>
        <w:rPr>
          <w:b/>
          <w:lang w:val="pt-PT"/>
        </w:rPr>
      </w:pPr>
      <w:r w:rsidRPr="004E69C9">
        <w:rPr>
          <w:rFonts w:eastAsia="Tahoma"/>
          <w:b/>
          <w:lang w:val="pt-PT"/>
        </w:rPr>
        <w:t>SOFTWARE DE PRÉ-LANÇAMENTO.</w:t>
      </w:r>
      <w:r w:rsidRPr="004E69C9">
        <w:rPr>
          <w:rFonts w:eastAsia="Tahoma"/>
          <w:bCs w:val="0"/>
          <w:lang w:val="pt-PT"/>
        </w:rPr>
        <w:t xml:space="preserve"> O software é uma versão de pré-lançamento. Poderá não funcionar corretamente. Poderá ser diferente da versão lançada comercialmente.</w:t>
      </w:r>
    </w:p>
    <w:p w14:paraId="71AA8BC5" w14:textId="77777777" w:rsidR="00C169CC" w:rsidRPr="004E69C9" w:rsidRDefault="004E69C9" w:rsidP="00791E1C">
      <w:pPr>
        <w:pStyle w:val="Heading1"/>
        <w:numPr>
          <w:ilvl w:val="0"/>
          <w:numId w:val="13"/>
        </w:numPr>
        <w:rPr>
          <w:b/>
        </w:rPr>
      </w:pPr>
      <w:r w:rsidRPr="004E69C9">
        <w:rPr>
          <w:rFonts w:eastAsia="Tahoma"/>
          <w:b/>
          <w:lang w:val="pt-PT"/>
        </w:rPr>
        <w:t>COMENTÁRIOS.</w:t>
      </w:r>
      <w:r w:rsidRPr="004E69C9">
        <w:rPr>
          <w:rFonts w:eastAsia="Tahoma"/>
          <w:bCs w:val="0"/>
          <w:lang w:val="pt-PT"/>
        </w:rPr>
        <w:t xml:space="preserve"> Caso o Cliente efetue comentários sobre o software à Microsoft, o Cliente concede à Microsoft, sem encargos, o direito de utilizar, partilhar e comercializar os seus comentários de qualquer forma e para qualquer fim. O Cliente não fornecerá comentários sujeitos a uma licença que obrigue a Microsoft a licenciar o seu software ou documentação a terceiros pelo facto de a Microsoft incluir nestes os comentários do Cliente. Estes direitos prevalecem sobre este contrato.</w:t>
      </w:r>
    </w:p>
    <w:p w14:paraId="71AA8BC6" w14:textId="77777777" w:rsidR="00C1618F" w:rsidRPr="004E69C9" w:rsidRDefault="004E69C9" w:rsidP="00791E1C">
      <w:pPr>
        <w:pStyle w:val="Heading1"/>
        <w:numPr>
          <w:ilvl w:val="0"/>
          <w:numId w:val="13"/>
        </w:numPr>
        <w:rPr>
          <w:b/>
          <w:lang w:val="pt-PT"/>
        </w:rPr>
      </w:pPr>
      <w:bookmarkStart w:id="11" w:name="_Hlk525136947"/>
      <w:r w:rsidRPr="004E69C9">
        <w:rPr>
          <w:rFonts w:eastAsia="Tahoma"/>
          <w:b/>
          <w:lang w:val="pt-PT"/>
        </w:rPr>
        <w:t>DADOS</w:t>
      </w:r>
      <w:r w:rsidRPr="004E69C9">
        <w:rPr>
          <w:rFonts w:eastAsia="Tahoma"/>
          <w:bCs w:val="0"/>
          <w:lang w:val="pt-PT"/>
        </w:rPr>
        <w:t xml:space="preserve">. </w:t>
      </w:r>
      <w:r w:rsidRPr="004E69C9">
        <w:rPr>
          <w:rFonts w:eastAsia="Tahoma"/>
          <w:bCs w:val="0"/>
          <w:lang w:val="pt-PT"/>
        </w:rPr>
        <w:t xml:space="preserve">Este software pode interagir com outros produtos da Microsoft que recolham dados transmitidos à Microsoft. Para obter informações sobre a forma como a Microsoft processa os dados pessoais recolhidos, consulte e Declaração de Privacidade da Microsoft em </w:t>
      </w:r>
      <w:hyperlink r:id="rId12" w:history="1">
        <w:r w:rsidRPr="004E69C9">
          <w:rPr>
            <w:rFonts w:eastAsia="Tahoma"/>
            <w:bCs w:val="0"/>
            <w:color w:val="0000FF"/>
            <w:u w:val="single"/>
            <w:lang w:val="pt-PT"/>
          </w:rPr>
          <w:t>https://go.microsoft.com/fwlink/?LinkId=248681</w:t>
        </w:r>
      </w:hyperlink>
      <w:r w:rsidRPr="004E69C9">
        <w:rPr>
          <w:rFonts w:eastAsia="Tahoma"/>
          <w:bCs w:val="0"/>
          <w:lang w:val="pt-PT"/>
        </w:rPr>
        <w:t>.</w:t>
      </w:r>
      <w:bookmarkEnd w:id="11"/>
    </w:p>
    <w:p w14:paraId="71AA8BCB" w14:textId="77777777" w:rsidR="00BF3A5C" w:rsidRPr="004E69C9" w:rsidRDefault="004E69C9" w:rsidP="00791E1C">
      <w:pPr>
        <w:pStyle w:val="ListParagraph"/>
        <w:numPr>
          <w:ilvl w:val="0"/>
          <w:numId w:val="13"/>
        </w:numPr>
        <w:rPr>
          <w:b w:val="0"/>
          <w:lang w:val="pt-PT"/>
        </w:rPr>
      </w:pPr>
      <w:r w:rsidRPr="004E69C9">
        <w:rPr>
          <w:rFonts w:eastAsia="Tahoma"/>
          <w:bCs/>
          <w:lang w:val="pt-PT"/>
        </w:rPr>
        <w:t xml:space="preserve">CÓDIGO DE CONDUTA. </w:t>
      </w:r>
      <w:r w:rsidRPr="004E69C9">
        <w:rPr>
          <w:rFonts w:eastAsia="Tahoma"/>
          <w:b w:val="0"/>
          <w:lang w:val="pt-PT"/>
        </w:rPr>
        <w:t>Ao aceitar os presentes termos de licenciamento, o Cliente está a concordar que cumprirá as seguintes regras durante a utilização do software:</w:t>
      </w:r>
    </w:p>
    <w:p w14:paraId="71AA8BCC" w14:textId="77777777" w:rsidR="00BF3A5C" w:rsidRPr="004E69C9" w:rsidRDefault="004E69C9" w:rsidP="00791E1C">
      <w:pPr>
        <w:pStyle w:val="Heading3"/>
        <w:numPr>
          <w:ilvl w:val="0"/>
          <w:numId w:val="20"/>
        </w:numPr>
        <w:rPr>
          <w:b w:val="0"/>
        </w:rPr>
      </w:pPr>
      <w:r w:rsidRPr="004E69C9">
        <w:rPr>
          <w:rFonts w:eastAsia="Tahoma"/>
          <w:b w:val="0"/>
          <w:lang w:val="pt-PT"/>
        </w:rPr>
        <w:t xml:space="preserve">Não fazer nada ilegal.   </w:t>
      </w:r>
    </w:p>
    <w:p w14:paraId="71AA8BCD" w14:textId="77777777" w:rsidR="00BF3A5C" w:rsidRPr="004E69C9" w:rsidRDefault="004E69C9" w:rsidP="00791E1C">
      <w:pPr>
        <w:pStyle w:val="Heading3"/>
        <w:numPr>
          <w:ilvl w:val="0"/>
          <w:numId w:val="20"/>
        </w:numPr>
        <w:rPr>
          <w:b w:val="0"/>
          <w:lang w:val="pt-PT"/>
        </w:rPr>
      </w:pPr>
      <w:r w:rsidRPr="004E69C9">
        <w:rPr>
          <w:rFonts w:eastAsia="Tahoma"/>
          <w:b w:val="0"/>
          <w:lang w:val="pt-PT"/>
        </w:rPr>
        <w:t xml:space="preserve">Não exercer nenhuma atividade que explore, prejudique ou ameace prejudicar as crianças. </w:t>
      </w:r>
    </w:p>
    <w:p w14:paraId="71AA8BCE" w14:textId="77777777" w:rsidR="00BF3A5C" w:rsidRPr="004E69C9" w:rsidRDefault="004E69C9" w:rsidP="00791E1C">
      <w:pPr>
        <w:pStyle w:val="Heading3"/>
        <w:numPr>
          <w:ilvl w:val="0"/>
          <w:numId w:val="20"/>
        </w:numPr>
        <w:rPr>
          <w:b w:val="0"/>
          <w:lang w:val="pt-PT"/>
        </w:rPr>
      </w:pPr>
      <w:r w:rsidRPr="004E69C9">
        <w:rPr>
          <w:rFonts w:eastAsia="Tahoma"/>
          <w:b w:val="0"/>
          <w:lang w:val="pt-PT"/>
        </w:rPr>
        <w:t xml:space="preserve">Não enviar spam. O spam é composto por mensagens de correio eletrónico em massa, publicações, pedidos de contacto, SMS (mensagens de texto) ou mensagens instantâneas indesejáveis ou não solicitadas.  </w:t>
      </w:r>
    </w:p>
    <w:p w14:paraId="71AA8BCF" w14:textId="77777777" w:rsidR="00BF3A5C" w:rsidRPr="004E69C9" w:rsidRDefault="004E69C9" w:rsidP="00791E1C">
      <w:pPr>
        <w:pStyle w:val="Heading3"/>
        <w:numPr>
          <w:ilvl w:val="0"/>
          <w:numId w:val="20"/>
        </w:numPr>
        <w:rPr>
          <w:b w:val="0"/>
          <w:lang w:val="pt-PT"/>
        </w:rPr>
      </w:pPr>
      <w:r w:rsidRPr="004E69C9">
        <w:rPr>
          <w:rFonts w:eastAsia="Tahoma"/>
          <w:b w:val="0"/>
          <w:lang w:val="pt-PT"/>
        </w:rPr>
        <w:t xml:space="preserve">Não apresentar publicamente nem utilizar o software para partilhar material ou conteúdo impróprio (que envolva, por exemplo, nudez, bestialidade, pornografia, linguagem ofensiva, violência gráfica ou atividade criminosa). </w:t>
      </w:r>
    </w:p>
    <w:p w14:paraId="71AA8BD0" w14:textId="77777777" w:rsidR="00BF3A5C" w:rsidRPr="004E69C9" w:rsidRDefault="004E69C9" w:rsidP="00791E1C">
      <w:pPr>
        <w:pStyle w:val="Heading3"/>
        <w:numPr>
          <w:ilvl w:val="0"/>
          <w:numId w:val="20"/>
        </w:numPr>
        <w:rPr>
          <w:b w:val="0"/>
          <w:lang w:val="pt-PT"/>
        </w:rPr>
      </w:pPr>
      <w:r w:rsidRPr="004E69C9">
        <w:rPr>
          <w:rFonts w:eastAsia="Tahoma"/>
          <w:b w:val="0"/>
          <w:lang w:val="pt-PT"/>
        </w:rPr>
        <w:t>Não participar em qualquer atividade que seja fraudulenta, falsa ou que possa induzir em erro (por exemplo, pedir dinheiro sob falsos pretextos ou forjar alguém, manipular o software para aumentar a contagem de reproduções ou afetar as pontuações, classificações ou comentários).</w:t>
      </w:r>
    </w:p>
    <w:p w14:paraId="71AA8BD1" w14:textId="77777777" w:rsidR="00BF3A5C" w:rsidRPr="004E69C9" w:rsidRDefault="004E69C9" w:rsidP="00791E1C">
      <w:pPr>
        <w:pStyle w:val="Heading3"/>
        <w:numPr>
          <w:ilvl w:val="0"/>
          <w:numId w:val="20"/>
        </w:numPr>
        <w:rPr>
          <w:b w:val="0"/>
          <w:lang w:val="pt-PT"/>
        </w:rPr>
      </w:pPr>
      <w:r w:rsidRPr="004E69C9">
        <w:rPr>
          <w:rFonts w:eastAsia="Tahoma"/>
          <w:b w:val="0"/>
          <w:lang w:val="pt-PT"/>
        </w:rPr>
        <w:t>Não contornar quaisquer restrições ao acesso ou à disponibilização do software.</w:t>
      </w:r>
    </w:p>
    <w:p w14:paraId="71AA8BD2" w14:textId="77777777" w:rsidR="00BF3A5C" w:rsidRPr="004E69C9" w:rsidRDefault="004E69C9" w:rsidP="00791E1C">
      <w:pPr>
        <w:pStyle w:val="Heading3"/>
        <w:numPr>
          <w:ilvl w:val="0"/>
          <w:numId w:val="20"/>
        </w:numPr>
        <w:rPr>
          <w:b w:val="0"/>
          <w:lang w:val="pt-PT"/>
        </w:rPr>
      </w:pPr>
      <w:r w:rsidRPr="004E69C9">
        <w:rPr>
          <w:rFonts w:eastAsia="Tahoma"/>
          <w:b w:val="0"/>
          <w:lang w:val="pt-PT"/>
        </w:rPr>
        <w:t>Não se participar em qualquer atividade que seja prejudicial para o Cliente, para o software ou para terceiros (por exemplo, transmissão de vírus, perseguição, publicação de conteúdo terrorista, incitação ao ódio ou incitação de ações de violência contra terceiros).</w:t>
      </w:r>
    </w:p>
    <w:p w14:paraId="71AA8BD3" w14:textId="77777777" w:rsidR="00BF3A5C" w:rsidRPr="004E69C9" w:rsidRDefault="004E69C9" w:rsidP="00791E1C">
      <w:pPr>
        <w:pStyle w:val="Heading3"/>
        <w:numPr>
          <w:ilvl w:val="0"/>
          <w:numId w:val="20"/>
        </w:numPr>
        <w:rPr>
          <w:b w:val="0"/>
          <w:lang w:val="pt-PT"/>
        </w:rPr>
      </w:pPr>
      <w:r w:rsidRPr="004E69C9">
        <w:rPr>
          <w:rFonts w:eastAsia="Tahoma"/>
          <w:b w:val="0"/>
          <w:lang w:val="pt-PT"/>
        </w:rPr>
        <w:t>Não infringir os direitos de terceiros (por exemplo, a partilha não autorizada de música ou outro material protegido por direitos de autor, a revenda ou outro tipo de distribuição dos Mapas Bing ou fotografias).</w:t>
      </w:r>
    </w:p>
    <w:p w14:paraId="71AA8BD4" w14:textId="77777777" w:rsidR="00BF3A5C" w:rsidRPr="004E69C9" w:rsidRDefault="004E69C9" w:rsidP="00791E1C">
      <w:pPr>
        <w:pStyle w:val="Heading3"/>
        <w:numPr>
          <w:ilvl w:val="0"/>
          <w:numId w:val="20"/>
        </w:numPr>
        <w:rPr>
          <w:b w:val="0"/>
          <w:lang w:val="pt-PT"/>
        </w:rPr>
      </w:pPr>
      <w:r w:rsidRPr="004E69C9">
        <w:rPr>
          <w:rFonts w:eastAsia="Tahoma"/>
          <w:b w:val="0"/>
          <w:lang w:val="pt-PT"/>
        </w:rPr>
        <w:t>Não exercer nenhuma atividade que viole a privacidade de terceiros.</w:t>
      </w:r>
    </w:p>
    <w:p w14:paraId="71AA8BD5" w14:textId="77777777" w:rsidR="00BF3A5C" w:rsidRPr="004E69C9" w:rsidRDefault="004E69C9" w:rsidP="00791E1C">
      <w:pPr>
        <w:pStyle w:val="Heading3"/>
        <w:numPr>
          <w:ilvl w:val="0"/>
          <w:numId w:val="20"/>
        </w:numPr>
        <w:rPr>
          <w:b w:val="0"/>
          <w:lang w:val="pt-PT"/>
        </w:rPr>
      </w:pPr>
      <w:r w:rsidRPr="004E69C9">
        <w:rPr>
          <w:rFonts w:eastAsia="Tahoma"/>
          <w:b w:val="0"/>
          <w:lang w:val="pt-PT"/>
        </w:rPr>
        <w:t>Não ajudar terceiros a violar estas regras.</w:t>
      </w:r>
    </w:p>
    <w:p w14:paraId="71AA8BD8" w14:textId="77777777" w:rsidR="00F15EA7" w:rsidRPr="004E69C9" w:rsidRDefault="004E69C9" w:rsidP="00791E1C">
      <w:pPr>
        <w:pStyle w:val="Heading1"/>
        <w:numPr>
          <w:ilvl w:val="0"/>
          <w:numId w:val="13"/>
        </w:numPr>
        <w:rPr>
          <w:b/>
          <w:lang w:val="pt-PT"/>
        </w:rPr>
      </w:pPr>
      <w:r w:rsidRPr="004E69C9">
        <w:rPr>
          <w:rFonts w:eastAsia="Tahoma"/>
          <w:b/>
          <w:lang w:val="pt-PT"/>
        </w:rPr>
        <w:t>RESTRIÇÕES À EXPORTAÇÃO.</w:t>
      </w:r>
      <w:r w:rsidRPr="004E69C9">
        <w:rPr>
          <w:rFonts w:eastAsia="Tahoma"/>
          <w:bCs w:val="0"/>
          <w:lang w:val="pt-PT"/>
        </w:rPr>
        <w:t xml:space="preserve"> Terá de cumprir todas as leis e normas de exportação locais e internacionais que se apliquem ao software, que incluem restrições sobre destinos, utilizadores finais e utilização final. Para mais informações sobre as restrições à exportação, visite </w:t>
      </w:r>
      <w:hyperlink r:id="rId16" w:history="1">
        <w:r w:rsidRPr="004E69C9">
          <w:rPr>
            <w:rFonts w:eastAsia="Tahoma"/>
            <w:bCs w:val="0"/>
            <w:color w:val="0000FF"/>
            <w:u w:val="single"/>
            <w:lang w:val="pt-PT"/>
          </w:rPr>
          <w:t>https://aka.ms/exporting</w:t>
        </w:r>
      </w:hyperlink>
      <w:r w:rsidRPr="004E69C9">
        <w:rPr>
          <w:rFonts w:eastAsia="Tahoma"/>
          <w:bCs w:val="0"/>
          <w:lang w:val="pt-PT"/>
        </w:rPr>
        <w:t>.</w:t>
      </w:r>
    </w:p>
    <w:p w14:paraId="71AA8BDA" w14:textId="77777777" w:rsidR="00F15EA7" w:rsidRPr="004E69C9" w:rsidRDefault="004E69C9" w:rsidP="00791E1C">
      <w:pPr>
        <w:pStyle w:val="Heading1"/>
        <w:numPr>
          <w:ilvl w:val="0"/>
          <w:numId w:val="13"/>
        </w:numPr>
        <w:rPr>
          <w:b/>
          <w:lang w:val="pt-PT"/>
        </w:rPr>
      </w:pPr>
      <w:r w:rsidRPr="004E69C9">
        <w:rPr>
          <w:rFonts w:eastAsia="Tahoma"/>
          <w:b/>
          <w:lang w:val="pt-PT"/>
        </w:rPr>
        <w:t>SERVIÇOS DE SUPORTE.</w:t>
      </w:r>
      <w:r w:rsidRPr="004E69C9">
        <w:rPr>
          <w:rFonts w:eastAsia="Tahoma"/>
          <w:bCs w:val="0"/>
          <w:lang w:val="pt-PT"/>
        </w:rPr>
        <w:t xml:space="preserve"> A Microsoft não está obrigada, ao abrigo deste contrato, a fornecer quaisquer serviços de suporte para o software. Qualquer suporte é prestado “tal como está”, “com todas as falhas” e sem garantia de qualquer tipo.</w:t>
      </w:r>
      <w:r w:rsidRPr="004E69C9">
        <w:rPr>
          <w:rFonts w:eastAsia="Tahoma"/>
          <w:bCs w:val="0"/>
          <w:color w:val="FF4500"/>
          <w:lang w:val="pt-PT"/>
        </w:rPr>
        <w:t xml:space="preserve"> </w:t>
      </w:r>
    </w:p>
    <w:p w14:paraId="71AA8BDC" w14:textId="2EDA842B" w:rsidR="007277D6" w:rsidRPr="004E69C9" w:rsidRDefault="004E69C9" w:rsidP="00791E1C">
      <w:pPr>
        <w:pStyle w:val="Heading1"/>
        <w:numPr>
          <w:ilvl w:val="0"/>
          <w:numId w:val="13"/>
        </w:numPr>
        <w:rPr>
          <w:rFonts w:eastAsia="Times New Roman"/>
        </w:rPr>
      </w:pPr>
      <w:bookmarkStart w:id="12" w:name="OLE_LINK5"/>
      <w:bookmarkStart w:id="13" w:name="OLE_LINK6"/>
      <w:r w:rsidRPr="004E69C9">
        <w:rPr>
          <w:rFonts w:eastAsia="Tahoma"/>
          <w:b/>
          <w:lang w:val="pt-PT"/>
        </w:rPr>
        <w:t xml:space="preserve">RENÚNCIA A QUEIXA COLETIVA E ARBITRAGEM VINCULATIVA. Esta Secção é aplicável se o Cliente residir (ou, se for uma empresa, o seu principal local de negócios for) nos Estados Unidos. </w:t>
      </w:r>
      <w:r w:rsidRPr="004E69C9">
        <w:rPr>
          <w:rFonts w:eastAsia="Tahoma"/>
          <w:bCs w:val="0"/>
          <w:lang w:val="pt-PT"/>
        </w:rPr>
        <w:t xml:space="preserve">Na eventualidade de litígio entre o Cliente e a Microsoft, ambas as partes concordam em tentar resolvê-lo informalmente num prazo de 60 dias. Se o Cliente e a Microsoft não conseguirem, ambos </w:t>
      </w:r>
      <w:r w:rsidRPr="004E69C9">
        <w:rPr>
          <w:rFonts w:eastAsia="Tahoma"/>
          <w:b/>
          <w:lang w:val="pt-PT"/>
        </w:rPr>
        <w:t>concordam com uma arbitragem vinculativa individual perante a American Arbitration Association ao abrigo da lei Federal Arbitration Act (“FAA</w:t>
      </w:r>
      <w:r w:rsidRPr="003758DA">
        <w:rPr>
          <w:rFonts w:eastAsia="Tahoma"/>
          <w:bCs w:val="0"/>
          <w:lang w:val="pt-PT"/>
        </w:rPr>
        <w:t>”) e concordam em não recorrer aos tribunais. Em vez disso, o litígio será decidido por um árbitro neutro.</w:t>
      </w:r>
      <w:r w:rsidRPr="004E69C9">
        <w:rPr>
          <w:rFonts w:eastAsia="Tahoma"/>
          <w:b/>
          <w:lang w:val="pt-PT"/>
        </w:rPr>
        <w:t xml:space="preserve"> Não são permitidos processos de ação coletiva, arbitragens coletivas, ações judiciais por um procurador-geral privado e qualquer outro procedimento em que alguém atue numa capacidade representativa, nem é permitida a combinação de diligências individuais sem o consentimento de todas as partes.</w:t>
      </w:r>
      <w:r w:rsidRPr="004E69C9">
        <w:rPr>
          <w:rFonts w:eastAsia="Tahoma"/>
          <w:bCs w:val="0"/>
          <w:lang w:val="pt-PT"/>
        </w:rPr>
        <w:t xml:space="preserve"> O Contrato de Arbitragem completo contém mais termos e está disponível em </w:t>
      </w:r>
      <w:hyperlink r:id="rId17" w:history="1">
        <w:r w:rsidR="00C529C7">
          <w:rPr>
            <w:rFonts w:eastAsia="Tahoma"/>
            <w:bCs w:val="0"/>
            <w:color w:val="0000FF"/>
            <w:u w:val="single"/>
            <w:lang w:val="pt-PT"/>
          </w:rPr>
          <w:t>https://aka.ms/arb-agreement-4</w:t>
        </w:r>
      </w:hyperlink>
      <w:r w:rsidRPr="004E69C9">
        <w:rPr>
          <w:rFonts w:eastAsia="Tahoma"/>
          <w:bCs w:val="0"/>
          <w:lang w:val="pt-PT"/>
        </w:rPr>
        <w:t>. O Cliente e a Microsoft aceitam os presentes termos.</w:t>
      </w:r>
    </w:p>
    <w:bookmarkEnd w:id="12"/>
    <w:bookmarkEnd w:id="13"/>
    <w:p w14:paraId="71AA8BDE" w14:textId="77777777" w:rsidR="00F15EA7" w:rsidRPr="004E69C9" w:rsidRDefault="004E69C9" w:rsidP="00791E1C">
      <w:pPr>
        <w:pStyle w:val="Heading1"/>
        <w:numPr>
          <w:ilvl w:val="0"/>
          <w:numId w:val="13"/>
        </w:numPr>
        <w:rPr>
          <w:lang w:val="pt-PT"/>
        </w:rPr>
      </w:pPr>
      <w:r w:rsidRPr="004E69C9">
        <w:rPr>
          <w:rFonts w:eastAsia="Tahoma"/>
          <w:b/>
          <w:lang w:val="pt-PT"/>
        </w:rPr>
        <w:t>CONTRATO INTEGRAL</w:t>
      </w:r>
      <w:r w:rsidRPr="004E69C9">
        <w:rPr>
          <w:rFonts w:eastAsia="Tahoma"/>
          <w:bCs w:val="0"/>
          <w:lang w:val="pt-PT"/>
        </w:rPr>
        <w:t>. O presente contrato, e quaisquer outros termos que a Microsoft possa fornecer para suplementos, atualizações ou aplicações de terceiros, é o contrato integral para o software.</w:t>
      </w:r>
    </w:p>
    <w:p w14:paraId="71AA8BDF" w14:textId="77777777" w:rsidR="00F15EA7" w:rsidRPr="004E69C9" w:rsidRDefault="004E69C9" w:rsidP="00791E1C">
      <w:pPr>
        <w:pStyle w:val="Heading1"/>
        <w:numPr>
          <w:ilvl w:val="0"/>
          <w:numId w:val="13"/>
        </w:numPr>
        <w:rPr>
          <w:b/>
          <w:lang w:val="pt-PT"/>
        </w:rPr>
      </w:pPr>
      <w:bookmarkStart w:id="14" w:name="OLE_LINK170"/>
      <w:bookmarkStart w:id="15" w:name="OLE_LINK171"/>
      <w:r w:rsidRPr="004E69C9">
        <w:rPr>
          <w:rFonts w:eastAsia="Tahoma"/>
          <w:b/>
          <w:lang w:val="pt-PT"/>
        </w:rPr>
        <w:t xml:space="preserve">LEI APLICÁVEL E LOCAL DE RESOLUÇÃO DE CONFLITOS. </w:t>
      </w:r>
      <w:r w:rsidRPr="004E69C9">
        <w:rPr>
          <w:rFonts w:eastAsia="Tahoma"/>
          <w:bCs w:val="0"/>
          <w:lang w:val="pt-PT"/>
        </w:rPr>
        <w:t>Se o software tiver sido adquirido nos Estados Unidos ou no Canadá, as leis do estado ou da província em que o Cliente reside (ou, se for uma empresa, do seu principal local de negócios) regulam a interpretação do presente contrato, as queixas pela sua violação e por todas as outras ações (incluindo de defesa do consumidor, concorrência desleal e ações judiciais por ato ilícito), independentemente dos conflitos de princípios de leis, exceto nos casos em que a lei FAA regule tudo o que está relacionado com a arbitragem. Se o software tiver sido adquirido noutro país ou região, aplicam-se as respetivas leis</w:t>
      </w:r>
      <w:bookmarkStart w:id="16" w:name="OLE_LINK172"/>
      <w:bookmarkStart w:id="17" w:name="OLE_LINK173"/>
      <w:r w:rsidRPr="004E69C9">
        <w:rPr>
          <w:rFonts w:eastAsia="Tahoma"/>
          <w:bCs w:val="0"/>
          <w:lang w:val="pt-PT"/>
        </w:rPr>
        <w:t>, exceto nos casos em que a lei FAA regule tudo o que está relacionado com a arbitragem</w:t>
      </w:r>
      <w:bookmarkEnd w:id="16"/>
      <w:bookmarkEnd w:id="17"/>
      <w:r w:rsidRPr="004E69C9">
        <w:rPr>
          <w:rFonts w:eastAsia="Tahoma"/>
          <w:bCs w:val="0"/>
          <w:lang w:val="pt-PT"/>
        </w:rPr>
        <w:t>. Se existir jurisdição federal dos EUA, o Cliente e a Microsoft aceitam como foro competente e exclusivo o tribunal federal localizado em King County, Washington, EUA em todos os litígios apresentados em tribunal (excluindo a arbitragem). Caso contrário, o Cliente e a Microsoft consentem na competência e foro exclusivos do Tribunal Superior de King County, Washington, para audiência de todos os litígios (excetuando-se a arbitragem).</w:t>
      </w:r>
    </w:p>
    <w:p w14:paraId="71AA8BE2" w14:textId="77777777" w:rsidR="006E477F" w:rsidRPr="004E69C9" w:rsidRDefault="004E69C9" w:rsidP="00791E1C">
      <w:pPr>
        <w:pStyle w:val="Heading1"/>
        <w:numPr>
          <w:ilvl w:val="0"/>
          <w:numId w:val="13"/>
        </w:numPr>
        <w:rPr>
          <w:b/>
          <w:lang w:val="pt-PT"/>
        </w:rPr>
      </w:pPr>
      <w:r w:rsidRPr="004E69C9">
        <w:rPr>
          <w:rFonts w:eastAsia="Tahoma"/>
          <w:b/>
          <w:lang w:val="pt-PT"/>
        </w:rPr>
        <w:t>DIREITOS DO CONSUMIDOR; VARIAÇÕES REGIONAIS.</w:t>
      </w:r>
      <w:r w:rsidRPr="004E69C9">
        <w:rPr>
          <w:rFonts w:eastAsia="Tahoma"/>
          <w:bCs w:val="0"/>
          <w:lang w:val="pt-PT"/>
        </w:rPr>
        <w:t xml:space="preserve"> O presente contrato descreve determinados direitos legais. O Cliente poderá ter outros direitos, incluindo direitos de consumidor, ao abrigo das leis do seu país ou região. Separados e fora do âmbito da relação entre o Cliente e a Microsoft, o Cliente também poderá ter direitos relativamente à entidade a partir da qual foi adquirido o software. O presente contrato não altera esses outros direitos se as leis do país ou região do Cliente não o permitirem. Por exemplo, se o Cliente tiver adquirido o software numa das regiões abaixo ou se se aplicar a lei obrigatória do país, as seguintes disposições aplicar-se-ão ao Cliente:</w:t>
      </w:r>
    </w:p>
    <w:p w14:paraId="71AA8BE3" w14:textId="77777777" w:rsidR="006E477F" w:rsidRPr="004E69C9" w:rsidRDefault="004E69C9" w:rsidP="00791E1C">
      <w:pPr>
        <w:pStyle w:val="Heading2"/>
        <w:numPr>
          <w:ilvl w:val="0"/>
          <w:numId w:val="17"/>
        </w:numPr>
        <w:rPr>
          <w:lang w:val="pt-PT"/>
        </w:rPr>
      </w:pPr>
      <w:r w:rsidRPr="004E69C9">
        <w:rPr>
          <w:rFonts w:eastAsia="Tahoma"/>
          <w:b/>
          <w:lang w:val="pt-PT"/>
        </w:rPr>
        <w:t>Austrália.</w:t>
      </w:r>
      <w:r w:rsidRPr="004E69C9">
        <w:rPr>
          <w:rFonts w:eastAsia="Tahoma"/>
          <w:bCs w:val="0"/>
          <w:lang w:val="pt-PT"/>
        </w:rPr>
        <w:t xml:space="preserve"> Ao abrigo da Lei para Consumidores da Austrália, o Cliente dispõe de garantias legais e nenhuma das disposições no presente contrato se destina a afetar esses direitos.</w:t>
      </w:r>
    </w:p>
    <w:p w14:paraId="71AA8BE4" w14:textId="77777777" w:rsidR="006E477F" w:rsidRPr="004E69C9" w:rsidRDefault="004E69C9" w:rsidP="00791E1C">
      <w:pPr>
        <w:pStyle w:val="Heading2"/>
        <w:numPr>
          <w:ilvl w:val="0"/>
          <w:numId w:val="17"/>
        </w:numPr>
        <w:rPr>
          <w:lang w:val="pt-PT"/>
        </w:rPr>
      </w:pPr>
      <w:r w:rsidRPr="004E69C9">
        <w:rPr>
          <w:rFonts w:eastAsia="Tahoma"/>
          <w:b/>
          <w:lang w:val="pt-PT"/>
        </w:rPr>
        <w:t>Canadá</w:t>
      </w:r>
      <w:r w:rsidRPr="004E69C9">
        <w:rPr>
          <w:rFonts w:eastAsia="Tahoma"/>
          <w:bCs w:val="0"/>
          <w:lang w:val="pt-PT"/>
        </w:rPr>
        <w:t>. Se o Cliente adquiriu o presente software no Canadá, poderá deixar de receber atualizações ao desativar a funcionalidade de atualizações automáticas, ao desligar o dispositivo da Internet (no entanto, se e quando voltar a estabelecer ligação à Internet, o software retomará a procura e instalação das atualizações) ou ao desinstalar o software. A documentação do produto, se existir, também poderá especificar como desativar as atualizações para cada dispositivo ou software específico.</w:t>
      </w:r>
    </w:p>
    <w:p w14:paraId="71AA8BE5" w14:textId="77777777" w:rsidR="006E477F" w:rsidRPr="004E69C9" w:rsidRDefault="004E69C9" w:rsidP="00791E1C">
      <w:pPr>
        <w:pStyle w:val="Heading2"/>
        <w:numPr>
          <w:ilvl w:val="0"/>
          <w:numId w:val="17"/>
        </w:numPr>
      </w:pPr>
      <w:r w:rsidRPr="004E69C9">
        <w:rPr>
          <w:rFonts w:eastAsia="Tahoma"/>
          <w:b/>
          <w:lang w:val="pt-PT"/>
        </w:rPr>
        <w:t>Alemanha e Áustria</w:t>
      </w:r>
      <w:r w:rsidRPr="004E69C9">
        <w:rPr>
          <w:rFonts w:eastAsia="Tahoma"/>
          <w:bCs w:val="0"/>
          <w:lang w:val="pt-PT"/>
        </w:rPr>
        <w:t>.</w:t>
      </w:r>
    </w:p>
    <w:p w14:paraId="71AA8BE6" w14:textId="77777777" w:rsidR="006E477F" w:rsidRPr="004E69C9" w:rsidRDefault="004E69C9" w:rsidP="002D6D1E">
      <w:pPr>
        <w:ind w:left="1080" w:hanging="363"/>
        <w:rPr>
          <w:b w:val="0"/>
          <w:lang w:val="pt-PT"/>
        </w:rPr>
      </w:pPr>
      <w:r w:rsidRPr="004E69C9">
        <w:rPr>
          <w:rFonts w:eastAsia="Tahoma"/>
          <w:bCs/>
          <w:lang w:val="pt-PT"/>
        </w:rPr>
        <w:lastRenderedPageBreak/>
        <w:t>i.</w:t>
      </w:r>
      <w:r w:rsidRPr="004E69C9">
        <w:rPr>
          <w:rFonts w:eastAsia="Tahoma"/>
          <w:bCs/>
          <w:lang w:val="pt-PT"/>
        </w:rPr>
        <w:tab/>
        <w:t>Garantia</w:t>
      </w:r>
      <w:r w:rsidRPr="004E69C9">
        <w:rPr>
          <w:rFonts w:eastAsia="Tahoma"/>
          <w:b w:val="0"/>
          <w:lang w:val="pt-PT"/>
        </w:rPr>
        <w:t>. O software devidamente licenciado funcionará substancialmente consoante o descrito nos materiais da Microsoft que acompanham o software. No entanto, a Microsoft não concede nenhuma garantia contratual em relação ao software licenciado.</w:t>
      </w:r>
    </w:p>
    <w:p w14:paraId="71AA8BE7" w14:textId="77777777" w:rsidR="006E477F" w:rsidRPr="004E69C9" w:rsidRDefault="004E69C9" w:rsidP="002D6D1E">
      <w:pPr>
        <w:ind w:left="1080" w:hanging="363"/>
        <w:rPr>
          <w:b w:val="0"/>
          <w:lang w:val="pt-PT"/>
        </w:rPr>
      </w:pPr>
      <w:r w:rsidRPr="004E69C9">
        <w:rPr>
          <w:rFonts w:eastAsia="Tahoma"/>
          <w:bCs/>
          <w:lang w:val="pt-PT"/>
        </w:rPr>
        <w:t>ii.</w:t>
      </w:r>
      <w:r w:rsidRPr="004E69C9">
        <w:rPr>
          <w:rFonts w:eastAsia="Tahoma"/>
          <w:bCs/>
          <w:lang w:val="pt-PT"/>
        </w:rPr>
        <w:tab/>
        <w:t xml:space="preserve">Limitação de Responsabilidade. </w:t>
      </w:r>
      <w:r w:rsidRPr="004E69C9">
        <w:rPr>
          <w:rFonts w:eastAsia="Tahoma"/>
          <w:b w:val="0"/>
          <w:lang w:val="pt-PT"/>
        </w:rPr>
        <w:t>Em caso de conduta intencional, negligência grosseira, queixas baseadas na Lei sobre Responsabilidade por Produtos, bem como em caso de morte ou ofensas à integridade física, a Microsoft é responsável pelo cumprimento da lei aplicável.</w:t>
      </w:r>
    </w:p>
    <w:p w14:paraId="71AA8BE8" w14:textId="77777777" w:rsidR="00F15EA7" w:rsidRPr="004E69C9" w:rsidRDefault="004E69C9" w:rsidP="002D6D1E">
      <w:pPr>
        <w:pStyle w:val="Heading1"/>
        <w:ind w:left="720"/>
        <w:rPr>
          <w:lang w:val="pt-PT"/>
        </w:rPr>
      </w:pPr>
      <w:r w:rsidRPr="004E69C9">
        <w:rPr>
          <w:rFonts w:eastAsia="Tahoma"/>
          <w:lang w:val="pt-PT"/>
        </w:rPr>
        <w:t>Sujeitos à cláusula precedente ii., nos casos de negligência ligeira, a Microsoft só será responsável se violar as obrigações contratuais, cujo cumprimento permite a boa execução do presente contrato e cuja violação pode colocar em risco o objetivo deste contrato, com cujo cumprimento uma parte está sempre a contar (conhecidas como “obrigações fundamentais“). A Microsoft não será responsável em todos os outros casos de negligência ligeira.</w:t>
      </w:r>
    </w:p>
    <w:p w14:paraId="71AA8BE9" w14:textId="77777777" w:rsidR="00F15EA7" w:rsidRPr="004E69C9" w:rsidRDefault="004E69C9" w:rsidP="00791E1C">
      <w:pPr>
        <w:pStyle w:val="Heading1"/>
        <w:numPr>
          <w:ilvl w:val="0"/>
          <w:numId w:val="13"/>
        </w:numPr>
        <w:rPr>
          <w:lang w:val="pt-PT"/>
        </w:rPr>
      </w:pPr>
      <w:r w:rsidRPr="004E69C9">
        <w:rPr>
          <w:rFonts w:eastAsia="Tahoma"/>
          <w:b/>
          <w:lang w:val="pt-PT"/>
        </w:rPr>
        <w:t>EXCLUSÃO DE GARANTIAS</w:t>
      </w:r>
      <w:r w:rsidRPr="004E69C9">
        <w:rPr>
          <w:rFonts w:eastAsia="Tahoma"/>
          <w:bCs w:val="0"/>
          <w:lang w:val="pt-PT"/>
        </w:rPr>
        <w:t xml:space="preserve">. </w:t>
      </w:r>
      <w:r w:rsidRPr="004E69C9">
        <w:rPr>
          <w:rFonts w:eastAsia="Tahoma"/>
          <w:b/>
          <w:lang w:val="pt-PT"/>
        </w:rPr>
        <w:t>O SOFTWARE É LICENCIADO ”TAL COMO ESTÁ”. O UTILIZADOR É RESPONSÁVEL PELA UTILIZAÇÃO DO MESMO. A MICROSOFT NÃO CONCEDE OUTRAS GARANTIAS OU CONDIÇÕES EXPRESSAS. ATÉ À EXTENSÃO MÁXIMA PERMITIDA PELA LEGISLAÇÃO APLICÁVEL, A MICROSOFT EXCLUI TODAS AS GARANTIAS IMPLÍCITAS, INCLUINDO DE COMERCIALIZAÇÃO, ADEQUAÇÃO A UM FIM ESPECÍFICO E NÃO VIOLAÇÃO DE DIREITOS DE PROPRIEDADE INTELECTUAL.</w:t>
      </w:r>
    </w:p>
    <w:p w14:paraId="71AA8BEA" w14:textId="77777777" w:rsidR="00F15EA7" w:rsidRPr="004E69C9" w:rsidRDefault="004E69C9" w:rsidP="00791E1C">
      <w:pPr>
        <w:pStyle w:val="Heading1"/>
        <w:numPr>
          <w:ilvl w:val="0"/>
          <w:numId w:val="13"/>
        </w:numPr>
        <w:rPr>
          <w:lang w:val="pt-PT"/>
        </w:rPr>
      </w:pPr>
      <w:r w:rsidRPr="004E69C9">
        <w:rPr>
          <w:rFonts w:eastAsia="Tahoma"/>
          <w:b/>
          <w:lang w:val="pt-PT"/>
        </w:rPr>
        <w:t>LIMITAÇÃO E EXCLUSÃO DE DANOS</w:t>
      </w:r>
      <w:r w:rsidRPr="004E69C9">
        <w:rPr>
          <w:rFonts w:eastAsia="Tahoma"/>
          <w:bCs w:val="0"/>
          <w:lang w:val="pt-PT"/>
        </w:rPr>
        <w:t xml:space="preserve">. </w:t>
      </w:r>
      <w:r w:rsidRPr="004E69C9">
        <w:rPr>
          <w:rFonts w:eastAsia="Tahoma"/>
          <w:b/>
          <w:lang w:val="pt-PT"/>
        </w:rPr>
        <w:t>SE TIVER QUALQUER FUNDAMENTO PARA A RECUPERAÇÃO DE DANOS, NÃO OBSTANTE A EXCLUSÃO DE GARANTIA SUPRA, A MICROSOFT E RESPETIVOS FORNECEDORES RESSARCIRÃO O UTILIZADOR APENAS POR DANOS DIRETOS E ATÉ AO MONTANTE DE 5 DÓLARES AMERICANOS (5 $). O CLIENTE NÃO PODERÁ SER RESSARCIDO POR QUAISQUER OUTROS DANOS, INCLUINDO DANOS CONSEQUENTES, LUCROS CESSANTES, DANOS EXTRAORDINÁRIOS, DANOS INDIRETOS OU INCIDENTAIS.</w:t>
      </w:r>
    </w:p>
    <w:p w14:paraId="71AA8BEB" w14:textId="77777777" w:rsidR="00F15EA7" w:rsidRPr="004E69C9" w:rsidRDefault="004E69C9" w:rsidP="00AF3435">
      <w:pPr>
        <w:pStyle w:val="Body1"/>
        <w:ind w:left="360"/>
        <w:rPr>
          <w:lang w:val="pt-PT"/>
        </w:rPr>
      </w:pPr>
      <w:r w:rsidRPr="004E69C9">
        <w:rPr>
          <w:rFonts w:eastAsia="Tahoma"/>
          <w:bCs/>
          <w:lang w:val="pt-PT"/>
        </w:rPr>
        <w:t xml:space="preserve">Esta limitação aplica-se a (a) qualquer assunto relacionado com o software, serviços, conteúdo (incluindo o código) em sites da Internet de terceiros ou aplicações de terceiros; e </w:t>
      </w:r>
      <w:bookmarkStart w:id="19" w:name="OLE_LINK76"/>
      <w:bookmarkStart w:id="20" w:name="OLE_LINK77"/>
      <w:r w:rsidRPr="004E69C9">
        <w:rPr>
          <w:rFonts w:eastAsia="Tahoma"/>
          <w:bCs/>
          <w:lang w:val="pt-PT"/>
        </w:rPr>
        <w:t xml:space="preserve">(b) </w:t>
      </w:r>
      <w:bookmarkEnd w:id="19"/>
      <w:bookmarkEnd w:id="20"/>
      <w:r w:rsidRPr="004E69C9">
        <w:rPr>
          <w:rFonts w:eastAsia="Tahoma"/>
          <w:bCs/>
          <w:lang w:val="pt-PT"/>
        </w:rPr>
        <w:t>ações judiciais por violação do contrato, garantia ou condição, responsabilidade objetiva, negligência ou outro ato ilícito, ou a qualquer outro litígio; em cada caso, na medida do permitido pela lei aplicável.</w:t>
      </w:r>
    </w:p>
    <w:p w14:paraId="71AA8BEC" w14:textId="77777777" w:rsidR="009416BA" w:rsidRPr="004E69C9" w:rsidRDefault="004E69C9" w:rsidP="00AF3435">
      <w:pPr>
        <w:pStyle w:val="Body1"/>
        <w:ind w:left="360"/>
        <w:rPr>
          <w:lang w:val="pt-PT"/>
        </w:rPr>
      </w:pPr>
      <w:r w:rsidRPr="004E69C9">
        <w:rPr>
          <w:rFonts w:eastAsia="Tahoma"/>
          <w:bCs/>
          <w:lang w:val="pt-PT"/>
        </w:rPr>
        <w:t>Aplica-se igualmente se a Microsoft teve ou devia ter tido conhecimento da possibilidade de ocorrência de tais danos. A limitação ou exclusão supra mencionada poderá não ser aplicável ao Cliente, por o país ou região em que reside não permitir a exclusão ou limitação de danos incidentais, consequentes ou outros.</w:t>
      </w:r>
    </w:p>
    <w:sectPr w:rsidR="00FF37C7" w:rsidRPr="004E69C9"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E9698" w14:textId="77777777" w:rsidR="00E0056D" w:rsidRDefault="00E0056D">
      <w:pPr>
        <w:spacing w:before="0" w:after="0"/>
      </w:pPr>
      <w:r>
        <w:separator/>
      </w:r>
    </w:p>
  </w:endnote>
  <w:endnote w:type="continuationSeparator" w:id="0">
    <w:p w14:paraId="4790D8C7" w14:textId="77777777" w:rsidR="00E0056D" w:rsidRDefault="00E0056D">
      <w:pPr>
        <w:spacing w:before="0" w:after="0"/>
      </w:pPr>
      <w:r>
        <w:continuationSeparator/>
      </w:r>
    </w:p>
  </w:endnote>
  <w:endnote w:type="continuationNotice" w:id="1">
    <w:p w14:paraId="6DE2E13B" w14:textId="77777777" w:rsidR="00196084" w:rsidRDefault="0019608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C08" w14:textId="77777777" w:rsidR="00E77A6E" w:rsidRDefault="004E69C9" w:rsidP="005F3AE8">
    <w:pPr>
      <w:pStyle w:val="Footer"/>
    </w:pPr>
    <w:r>
      <w:rPr>
        <w:rStyle w:val="DocID"/>
        <w:rFonts w:eastAsia="Times New Roman"/>
        <w:bCs/>
        <w:szCs w:val="16"/>
        <w:lang w:val="pt-PT"/>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C09" w14:textId="77777777" w:rsidR="00424B27" w:rsidRDefault="00424B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C0B" w14:textId="77777777" w:rsidR="00E77A6E" w:rsidRDefault="004E69C9" w:rsidP="005F3AE8">
    <w:pPr>
      <w:pStyle w:val="Footer"/>
    </w:pPr>
    <w:r>
      <w:rPr>
        <w:rStyle w:val="DocID"/>
        <w:rFonts w:eastAsia="Times New Roman"/>
        <w:bCs/>
        <w:szCs w:val="16"/>
        <w:lang w:val="pt-PT"/>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0ABA5" w14:textId="77777777" w:rsidR="00E0056D" w:rsidRDefault="00E0056D">
      <w:pPr>
        <w:spacing w:before="0" w:after="0"/>
      </w:pPr>
      <w:r>
        <w:separator/>
      </w:r>
    </w:p>
  </w:footnote>
  <w:footnote w:type="continuationSeparator" w:id="0">
    <w:p w14:paraId="3773DF02" w14:textId="77777777" w:rsidR="00E0056D" w:rsidRDefault="00E0056D">
      <w:pPr>
        <w:spacing w:before="0" w:after="0"/>
      </w:pPr>
      <w:r>
        <w:continuationSeparator/>
      </w:r>
    </w:p>
  </w:footnote>
  <w:footnote w:type="continuationNotice" w:id="1">
    <w:p w14:paraId="5346B820" w14:textId="77777777" w:rsidR="00196084" w:rsidRDefault="0019608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C06" w14:textId="77777777" w:rsidR="00424B27" w:rsidRDefault="00424B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C07" w14:textId="77777777" w:rsidR="00424B27" w:rsidRDefault="00424B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C0A" w14:textId="77777777" w:rsidR="00424B27" w:rsidRDefault="00424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5C4AF332">
      <w:start w:val="1"/>
      <w:numFmt w:val="bullet"/>
      <w:pStyle w:val="Bullet9"/>
      <w:lvlText w:val=""/>
      <w:lvlJc w:val="left"/>
      <w:pPr>
        <w:tabs>
          <w:tab w:val="num" w:pos="3223"/>
        </w:tabs>
        <w:ind w:left="3221" w:hanging="358"/>
      </w:pPr>
      <w:rPr>
        <w:rFonts w:ascii="Symbol" w:hAnsi="Symbol" w:hint="default"/>
      </w:rPr>
    </w:lvl>
    <w:lvl w:ilvl="1" w:tplc="760AF08A">
      <w:start w:val="1"/>
      <w:numFmt w:val="bullet"/>
      <w:lvlText w:val="o"/>
      <w:lvlJc w:val="left"/>
      <w:pPr>
        <w:tabs>
          <w:tab w:val="num" w:pos="1440"/>
        </w:tabs>
        <w:ind w:left="1440" w:hanging="360"/>
      </w:pPr>
      <w:rPr>
        <w:rFonts w:ascii="Courier New" w:hAnsi="Courier New" w:hint="default"/>
      </w:rPr>
    </w:lvl>
    <w:lvl w:ilvl="2" w:tplc="A4BE7DB6">
      <w:start w:val="1"/>
      <w:numFmt w:val="bullet"/>
      <w:lvlText w:val=""/>
      <w:lvlJc w:val="left"/>
      <w:pPr>
        <w:tabs>
          <w:tab w:val="num" w:pos="2160"/>
        </w:tabs>
        <w:ind w:left="2160" w:hanging="360"/>
      </w:pPr>
      <w:rPr>
        <w:rFonts w:ascii="Wingdings" w:hAnsi="Wingdings" w:hint="default"/>
      </w:rPr>
    </w:lvl>
    <w:lvl w:ilvl="3" w:tplc="19C85274">
      <w:start w:val="1"/>
      <w:numFmt w:val="bullet"/>
      <w:lvlText w:val=""/>
      <w:lvlJc w:val="left"/>
      <w:pPr>
        <w:tabs>
          <w:tab w:val="num" w:pos="2880"/>
        </w:tabs>
        <w:ind w:left="2880" w:hanging="360"/>
      </w:pPr>
      <w:rPr>
        <w:rFonts w:ascii="Symbol" w:hAnsi="Symbol" w:hint="default"/>
      </w:rPr>
    </w:lvl>
    <w:lvl w:ilvl="4" w:tplc="81C029EE">
      <w:start w:val="1"/>
      <w:numFmt w:val="bullet"/>
      <w:lvlText w:val="o"/>
      <w:lvlJc w:val="left"/>
      <w:pPr>
        <w:tabs>
          <w:tab w:val="num" w:pos="3600"/>
        </w:tabs>
        <w:ind w:left="3600" w:hanging="360"/>
      </w:pPr>
      <w:rPr>
        <w:rFonts w:ascii="Courier New" w:hAnsi="Courier New" w:hint="default"/>
      </w:rPr>
    </w:lvl>
    <w:lvl w:ilvl="5" w:tplc="D6CE3A28">
      <w:start w:val="1"/>
      <w:numFmt w:val="bullet"/>
      <w:lvlText w:val=""/>
      <w:lvlJc w:val="left"/>
      <w:pPr>
        <w:tabs>
          <w:tab w:val="num" w:pos="4320"/>
        </w:tabs>
        <w:ind w:left="4320" w:hanging="360"/>
      </w:pPr>
      <w:rPr>
        <w:rFonts w:ascii="Wingdings" w:hAnsi="Wingdings" w:hint="default"/>
      </w:rPr>
    </w:lvl>
    <w:lvl w:ilvl="6" w:tplc="9E68818C">
      <w:start w:val="1"/>
      <w:numFmt w:val="bullet"/>
      <w:lvlText w:val=""/>
      <w:lvlJc w:val="left"/>
      <w:pPr>
        <w:tabs>
          <w:tab w:val="num" w:pos="5040"/>
        </w:tabs>
        <w:ind w:left="5040" w:hanging="360"/>
      </w:pPr>
      <w:rPr>
        <w:rFonts w:ascii="Symbol" w:hAnsi="Symbol" w:hint="default"/>
      </w:rPr>
    </w:lvl>
    <w:lvl w:ilvl="7" w:tplc="5BB252CC">
      <w:start w:val="1"/>
      <w:numFmt w:val="bullet"/>
      <w:lvlText w:val="o"/>
      <w:lvlJc w:val="left"/>
      <w:pPr>
        <w:tabs>
          <w:tab w:val="num" w:pos="5760"/>
        </w:tabs>
        <w:ind w:left="5760" w:hanging="360"/>
      </w:pPr>
      <w:rPr>
        <w:rFonts w:ascii="Courier New" w:hAnsi="Courier New" w:hint="default"/>
      </w:rPr>
    </w:lvl>
    <w:lvl w:ilvl="8" w:tplc="F424BF8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06B24F20">
      <w:start w:val="1"/>
      <w:numFmt w:val="lowerLetter"/>
      <w:lvlText w:val="%1)"/>
      <w:lvlJc w:val="left"/>
      <w:pPr>
        <w:ind w:left="717" w:hanging="360"/>
      </w:pPr>
      <w:rPr>
        <w:b/>
      </w:rPr>
    </w:lvl>
    <w:lvl w:ilvl="1" w:tplc="FE0237A8">
      <w:start w:val="1"/>
      <w:numFmt w:val="lowerLetter"/>
      <w:lvlText w:val="%2."/>
      <w:lvlJc w:val="left"/>
      <w:pPr>
        <w:ind w:left="1437" w:hanging="360"/>
      </w:pPr>
    </w:lvl>
    <w:lvl w:ilvl="2" w:tplc="9A3EDF4C">
      <w:start w:val="1"/>
      <w:numFmt w:val="lowerRoman"/>
      <w:lvlText w:val="%3."/>
      <w:lvlJc w:val="right"/>
      <w:pPr>
        <w:ind w:left="2157" w:hanging="180"/>
      </w:pPr>
    </w:lvl>
    <w:lvl w:ilvl="3" w:tplc="05108396" w:tentative="1">
      <w:start w:val="1"/>
      <w:numFmt w:val="decimal"/>
      <w:lvlText w:val="%4."/>
      <w:lvlJc w:val="left"/>
      <w:pPr>
        <w:ind w:left="2877" w:hanging="360"/>
      </w:pPr>
    </w:lvl>
    <w:lvl w:ilvl="4" w:tplc="7FE024A8" w:tentative="1">
      <w:start w:val="1"/>
      <w:numFmt w:val="lowerLetter"/>
      <w:lvlText w:val="%5."/>
      <w:lvlJc w:val="left"/>
      <w:pPr>
        <w:ind w:left="3597" w:hanging="360"/>
      </w:pPr>
    </w:lvl>
    <w:lvl w:ilvl="5" w:tplc="865E6642" w:tentative="1">
      <w:start w:val="1"/>
      <w:numFmt w:val="lowerRoman"/>
      <w:lvlText w:val="%6."/>
      <w:lvlJc w:val="right"/>
      <w:pPr>
        <w:ind w:left="4317" w:hanging="180"/>
      </w:pPr>
    </w:lvl>
    <w:lvl w:ilvl="6" w:tplc="8760ED86" w:tentative="1">
      <w:start w:val="1"/>
      <w:numFmt w:val="decimal"/>
      <w:lvlText w:val="%7."/>
      <w:lvlJc w:val="left"/>
      <w:pPr>
        <w:ind w:left="5037" w:hanging="360"/>
      </w:pPr>
    </w:lvl>
    <w:lvl w:ilvl="7" w:tplc="EB5E04D8" w:tentative="1">
      <w:start w:val="1"/>
      <w:numFmt w:val="lowerLetter"/>
      <w:lvlText w:val="%8."/>
      <w:lvlJc w:val="left"/>
      <w:pPr>
        <w:ind w:left="5757" w:hanging="360"/>
      </w:pPr>
    </w:lvl>
    <w:lvl w:ilvl="8" w:tplc="17D6BA46"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1A50EE7A">
      <w:start w:val="1"/>
      <w:numFmt w:val="bullet"/>
      <w:pStyle w:val="Bullet8"/>
      <w:lvlText w:val=""/>
      <w:lvlJc w:val="left"/>
      <w:pPr>
        <w:tabs>
          <w:tab w:val="num" w:pos="2866"/>
        </w:tabs>
        <w:ind w:left="2863" w:hanging="357"/>
      </w:pPr>
      <w:rPr>
        <w:rFonts w:ascii="Symbol" w:hAnsi="Symbol" w:hint="default"/>
      </w:rPr>
    </w:lvl>
    <w:lvl w:ilvl="1" w:tplc="8268737C">
      <w:start w:val="1"/>
      <w:numFmt w:val="bullet"/>
      <w:lvlText w:val="o"/>
      <w:lvlJc w:val="left"/>
      <w:pPr>
        <w:tabs>
          <w:tab w:val="num" w:pos="1440"/>
        </w:tabs>
        <w:ind w:left="1440" w:hanging="360"/>
      </w:pPr>
      <w:rPr>
        <w:rFonts w:ascii="Courier New" w:hAnsi="Courier New" w:hint="default"/>
      </w:rPr>
    </w:lvl>
    <w:lvl w:ilvl="2" w:tplc="F49833D6">
      <w:start w:val="1"/>
      <w:numFmt w:val="bullet"/>
      <w:lvlText w:val=""/>
      <w:lvlJc w:val="left"/>
      <w:pPr>
        <w:tabs>
          <w:tab w:val="num" w:pos="2160"/>
        </w:tabs>
        <w:ind w:left="2160" w:hanging="360"/>
      </w:pPr>
      <w:rPr>
        <w:rFonts w:ascii="Wingdings" w:hAnsi="Wingdings" w:hint="default"/>
      </w:rPr>
    </w:lvl>
    <w:lvl w:ilvl="3" w:tplc="28FA5CC4">
      <w:start w:val="1"/>
      <w:numFmt w:val="bullet"/>
      <w:lvlText w:val=""/>
      <w:lvlJc w:val="left"/>
      <w:pPr>
        <w:tabs>
          <w:tab w:val="num" w:pos="2880"/>
        </w:tabs>
        <w:ind w:left="2880" w:hanging="360"/>
      </w:pPr>
      <w:rPr>
        <w:rFonts w:ascii="Symbol" w:hAnsi="Symbol" w:hint="default"/>
      </w:rPr>
    </w:lvl>
    <w:lvl w:ilvl="4" w:tplc="33D4973A">
      <w:start w:val="1"/>
      <w:numFmt w:val="bullet"/>
      <w:lvlText w:val="o"/>
      <w:lvlJc w:val="left"/>
      <w:pPr>
        <w:tabs>
          <w:tab w:val="num" w:pos="3600"/>
        </w:tabs>
        <w:ind w:left="3600" w:hanging="360"/>
      </w:pPr>
      <w:rPr>
        <w:rFonts w:ascii="Courier New" w:hAnsi="Courier New" w:hint="default"/>
      </w:rPr>
    </w:lvl>
    <w:lvl w:ilvl="5" w:tplc="F23685CC">
      <w:start w:val="1"/>
      <w:numFmt w:val="bullet"/>
      <w:lvlText w:val=""/>
      <w:lvlJc w:val="left"/>
      <w:pPr>
        <w:tabs>
          <w:tab w:val="num" w:pos="4320"/>
        </w:tabs>
        <w:ind w:left="4320" w:hanging="360"/>
      </w:pPr>
      <w:rPr>
        <w:rFonts w:ascii="Wingdings" w:hAnsi="Wingdings" w:hint="default"/>
      </w:rPr>
    </w:lvl>
    <w:lvl w:ilvl="6" w:tplc="62F27286">
      <w:start w:val="1"/>
      <w:numFmt w:val="bullet"/>
      <w:lvlText w:val=""/>
      <w:lvlJc w:val="left"/>
      <w:pPr>
        <w:tabs>
          <w:tab w:val="num" w:pos="5040"/>
        </w:tabs>
        <w:ind w:left="5040" w:hanging="360"/>
      </w:pPr>
      <w:rPr>
        <w:rFonts w:ascii="Symbol" w:hAnsi="Symbol" w:hint="default"/>
      </w:rPr>
    </w:lvl>
    <w:lvl w:ilvl="7" w:tplc="DE70EC8A">
      <w:start w:val="1"/>
      <w:numFmt w:val="bullet"/>
      <w:lvlText w:val="o"/>
      <w:lvlJc w:val="left"/>
      <w:pPr>
        <w:tabs>
          <w:tab w:val="num" w:pos="5760"/>
        </w:tabs>
        <w:ind w:left="5760" w:hanging="360"/>
      </w:pPr>
      <w:rPr>
        <w:rFonts w:ascii="Courier New" w:hAnsi="Courier New" w:hint="default"/>
      </w:rPr>
    </w:lvl>
    <w:lvl w:ilvl="8" w:tplc="25DA7422">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D1F0936A">
      <w:start w:val="1"/>
      <w:numFmt w:val="decimal"/>
      <w:pStyle w:val="Heading2FrenchWarranty"/>
      <w:lvlText w:val="%1."/>
      <w:lvlJc w:val="left"/>
      <w:pPr>
        <w:tabs>
          <w:tab w:val="num" w:pos="360"/>
        </w:tabs>
        <w:ind w:left="720" w:hanging="360"/>
      </w:pPr>
      <w:rPr>
        <w:rFonts w:cs="Times New Roman" w:hint="default"/>
        <w:b/>
        <w:bCs/>
        <w:i w:val="0"/>
        <w:iCs w:val="0"/>
      </w:rPr>
    </w:lvl>
    <w:lvl w:ilvl="1" w:tplc="F7E6CE56">
      <w:start w:val="1"/>
      <w:numFmt w:val="lowerLetter"/>
      <w:lvlText w:val="%2."/>
      <w:lvlJc w:val="left"/>
      <w:pPr>
        <w:tabs>
          <w:tab w:val="num" w:pos="1440"/>
        </w:tabs>
        <w:ind w:left="1440" w:hanging="360"/>
      </w:pPr>
      <w:rPr>
        <w:rFonts w:cs="Times New Roman"/>
      </w:rPr>
    </w:lvl>
    <w:lvl w:ilvl="2" w:tplc="3FF05AC8">
      <w:start w:val="1"/>
      <w:numFmt w:val="lowerRoman"/>
      <w:lvlText w:val="%3."/>
      <w:lvlJc w:val="right"/>
      <w:pPr>
        <w:tabs>
          <w:tab w:val="num" w:pos="2160"/>
        </w:tabs>
        <w:ind w:left="2160" w:hanging="180"/>
      </w:pPr>
      <w:rPr>
        <w:rFonts w:cs="Times New Roman"/>
      </w:rPr>
    </w:lvl>
    <w:lvl w:ilvl="3" w:tplc="32CC1AA4">
      <w:start w:val="1"/>
      <w:numFmt w:val="decimal"/>
      <w:lvlText w:val="%4."/>
      <w:lvlJc w:val="left"/>
      <w:pPr>
        <w:tabs>
          <w:tab w:val="num" w:pos="2880"/>
        </w:tabs>
        <w:ind w:left="2880" w:hanging="360"/>
      </w:pPr>
      <w:rPr>
        <w:rFonts w:cs="Times New Roman"/>
      </w:rPr>
    </w:lvl>
    <w:lvl w:ilvl="4" w:tplc="50E4BC7C">
      <w:start w:val="1"/>
      <w:numFmt w:val="lowerLetter"/>
      <w:lvlText w:val="%5."/>
      <w:lvlJc w:val="left"/>
      <w:pPr>
        <w:tabs>
          <w:tab w:val="num" w:pos="3600"/>
        </w:tabs>
        <w:ind w:left="3600" w:hanging="360"/>
      </w:pPr>
      <w:rPr>
        <w:rFonts w:cs="Times New Roman"/>
      </w:rPr>
    </w:lvl>
    <w:lvl w:ilvl="5" w:tplc="574683D0">
      <w:start w:val="1"/>
      <w:numFmt w:val="lowerRoman"/>
      <w:lvlText w:val="%6."/>
      <w:lvlJc w:val="right"/>
      <w:pPr>
        <w:tabs>
          <w:tab w:val="num" w:pos="4320"/>
        </w:tabs>
        <w:ind w:left="4320" w:hanging="180"/>
      </w:pPr>
      <w:rPr>
        <w:rFonts w:cs="Times New Roman"/>
      </w:rPr>
    </w:lvl>
    <w:lvl w:ilvl="6" w:tplc="5450E81C">
      <w:start w:val="1"/>
      <w:numFmt w:val="decimal"/>
      <w:lvlText w:val="%7."/>
      <w:lvlJc w:val="left"/>
      <w:pPr>
        <w:tabs>
          <w:tab w:val="num" w:pos="5040"/>
        </w:tabs>
        <w:ind w:left="5040" w:hanging="360"/>
      </w:pPr>
      <w:rPr>
        <w:rFonts w:cs="Times New Roman"/>
      </w:rPr>
    </w:lvl>
    <w:lvl w:ilvl="7" w:tplc="18A86A12">
      <w:start w:val="1"/>
      <w:numFmt w:val="lowerLetter"/>
      <w:lvlText w:val="%8."/>
      <w:lvlJc w:val="left"/>
      <w:pPr>
        <w:tabs>
          <w:tab w:val="num" w:pos="5760"/>
        </w:tabs>
        <w:ind w:left="5760" w:hanging="360"/>
      </w:pPr>
      <w:rPr>
        <w:rFonts w:cs="Times New Roman"/>
      </w:rPr>
    </w:lvl>
    <w:lvl w:ilvl="8" w:tplc="BC42B82A">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0D1E9718">
      <w:start w:val="1"/>
      <w:numFmt w:val="bullet"/>
      <w:pStyle w:val="Bullet7"/>
      <w:lvlText w:val=""/>
      <w:lvlJc w:val="left"/>
      <w:pPr>
        <w:tabs>
          <w:tab w:val="num" w:pos="2509"/>
        </w:tabs>
        <w:ind w:left="2506" w:hanging="357"/>
      </w:pPr>
      <w:rPr>
        <w:rFonts w:ascii="Symbol" w:hAnsi="Symbol" w:hint="default"/>
      </w:rPr>
    </w:lvl>
    <w:lvl w:ilvl="1" w:tplc="094643BA">
      <w:start w:val="1"/>
      <w:numFmt w:val="bullet"/>
      <w:lvlText w:val="o"/>
      <w:lvlJc w:val="left"/>
      <w:pPr>
        <w:tabs>
          <w:tab w:val="num" w:pos="1440"/>
        </w:tabs>
        <w:ind w:left="1440" w:hanging="360"/>
      </w:pPr>
      <w:rPr>
        <w:rFonts w:ascii="Courier New" w:hAnsi="Courier New" w:hint="default"/>
      </w:rPr>
    </w:lvl>
    <w:lvl w:ilvl="2" w:tplc="99968A72">
      <w:start w:val="1"/>
      <w:numFmt w:val="bullet"/>
      <w:lvlText w:val=""/>
      <w:lvlJc w:val="left"/>
      <w:pPr>
        <w:tabs>
          <w:tab w:val="num" w:pos="2160"/>
        </w:tabs>
        <w:ind w:left="2160" w:hanging="360"/>
      </w:pPr>
      <w:rPr>
        <w:rFonts w:ascii="Wingdings" w:hAnsi="Wingdings" w:hint="default"/>
      </w:rPr>
    </w:lvl>
    <w:lvl w:ilvl="3" w:tplc="B5C4CC80">
      <w:start w:val="1"/>
      <w:numFmt w:val="bullet"/>
      <w:lvlText w:val=""/>
      <w:lvlJc w:val="left"/>
      <w:pPr>
        <w:tabs>
          <w:tab w:val="num" w:pos="2880"/>
        </w:tabs>
        <w:ind w:left="2880" w:hanging="360"/>
      </w:pPr>
      <w:rPr>
        <w:rFonts w:ascii="Symbol" w:hAnsi="Symbol" w:hint="default"/>
      </w:rPr>
    </w:lvl>
    <w:lvl w:ilvl="4" w:tplc="E6305502">
      <w:start w:val="1"/>
      <w:numFmt w:val="bullet"/>
      <w:lvlText w:val="o"/>
      <w:lvlJc w:val="left"/>
      <w:pPr>
        <w:tabs>
          <w:tab w:val="num" w:pos="3600"/>
        </w:tabs>
        <w:ind w:left="3600" w:hanging="360"/>
      </w:pPr>
      <w:rPr>
        <w:rFonts w:ascii="Courier New" w:hAnsi="Courier New" w:hint="default"/>
      </w:rPr>
    </w:lvl>
    <w:lvl w:ilvl="5" w:tplc="881E872C">
      <w:start w:val="1"/>
      <w:numFmt w:val="bullet"/>
      <w:lvlText w:val=""/>
      <w:lvlJc w:val="left"/>
      <w:pPr>
        <w:tabs>
          <w:tab w:val="num" w:pos="4320"/>
        </w:tabs>
        <w:ind w:left="4320" w:hanging="360"/>
      </w:pPr>
      <w:rPr>
        <w:rFonts w:ascii="Wingdings" w:hAnsi="Wingdings" w:hint="default"/>
      </w:rPr>
    </w:lvl>
    <w:lvl w:ilvl="6" w:tplc="10CCBB5C">
      <w:start w:val="1"/>
      <w:numFmt w:val="bullet"/>
      <w:lvlText w:val=""/>
      <w:lvlJc w:val="left"/>
      <w:pPr>
        <w:tabs>
          <w:tab w:val="num" w:pos="5040"/>
        </w:tabs>
        <w:ind w:left="5040" w:hanging="360"/>
      </w:pPr>
      <w:rPr>
        <w:rFonts w:ascii="Symbol" w:hAnsi="Symbol" w:hint="default"/>
      </w:rPr>
    </w:lvl>
    <w:lvl w:ilvl="7" w:tplc="4E6254E8">
      <w:start w:val="1"/>
      <w:numFmt w:val="bullet"/>
      <w:lvlText w:val="o"/>
      <w:lvlJc w:val="left"/>
      <w:pPr>
        <w:tabs>
          <w:tab w:val="num" w:pos="5760"/>
        </w:tabs>
        <w:ind w:left="5760" w:hanging="360"/>
      </w:pPr>
      <w:rPr>
        <w:rFonts w:ascii="Courier New" w:hAnsi="Courier New" w:hint="default"/>
      </w:rPr>
    </w:lvl>
    <w:lvl w:ilvl="8" w:tplc="97F4E314">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4E22DD60">
      <w:start w:val="1"/>
      <w:numFmt w:val="bullet"/>
      <w:pStyle w:val="Bullet4"/>
      <w:lvlText w:val=""/>
      <w:lvlJc w:val="left"/>
      <w:pPr>
        <w:tabs>
          <w:tab w:val="num" w:pos="1437"/>
        </w:tabs>
        <w:ind w:left="1435" w:hanging="358"/>
      </w:pPr>
      <w:rPr>
        <w:rFonts w:ascii="Symbol" w:hAnsi="Symbol" w:hint="default"/>
        <w:color w:val="000000" w:themeColor="text1"/>
      </w:rPr>
    </w:lvl>
    <w:lvl w:ilvl="1" w:tplc="3B56DEB4">
      <w:start w:val="1"/>
      <w:numFmt w:val="bullet"/>
      <w:lvlText w:val="o"/>
      <w:lvlJc w:val="left"/>
      <w:pPr>
        <w:tabs>
          <w:tab w:val="num" w:pos="1440"/>
        </w:tabs>
        <w:ind w:left="1440" w:hanging="360"/>
      </w:pPr>
      <w:rPr>
        <w:rFonts w:ascii="Courier New" w:hAnsi="Courier New" w:hint="default"/>
      </w:rPr>
    </w:lvl>
    <w:lvl w:ilvl="2" w:tplc="21227280">
      <w:start w:val="1"/>
      <w:numFmt w:val="bullet"/>
      <w:lvlText w:val=""/>
      <w:lvlJc w:val="left"/>
      <w:pPr>
        <w:tabs>
          <w:tab w:val="num" w:pos="2160"/>
        </w:tabs>
        <w:ind w:left="2160" w:hanging="360"/>
      </w:pPr>
      <w:rPr>
        <w:rFonts w:ascii="Wingdings" w:hAnsi="Wingdings" w:hint="default"/>
      </w:rPr>
    </w:lvl>
    <w:lvl w:ilvl="3" w:tplc="1D106410">
      <w:start w:val="1"/>
      <w:numFmt w:val="bullet"/>
      <w:lvlText w:val=""/>
      <w:lvlJc w:val="left"/>
      <w:pPr>
        <w:tabs>
          <w:tab w:val="num" w:pos="2880"/>
        </w:tabs>
        <w:ind w:left="2880" w:hanging="360"/>
      </w:pPr>
      <w:rPr>
        <w:rFonts w:ascii="Symbol" w:hAnsi="Symbol" w:hint="default"/>
      </w:rPr>
    </w:lvl>
    <w:lvl w:ilvl="4" w:tplc="47DADF44">
      <w:start w:val="1"/>
      <w:numFmt w:val="bullet"/>
      <w:lvlText w:val="o"/>
      <w:lvlJc w:val="left"/>
      <w:pPr>
        <w:tabs>
          <w:tab w:val="num" w:pos="3600"/>
        </w:tabs>
        <w:ind w:left="3600" w:hanging="360"/>
      </w:pPr>
      <w:rPr>
        <w:rFonts w:ascii="Courier New" w:hAnsi="Courier New" w:hint="default"/>
      </w:rPr>
    </w:lvl>
    <w:lvl w:ilvl="5" w:tplc="DFC8A9D8">
      <w:start w:val="1"/>
      <w:numFmt w:val="bullet"/>
      <w:lvlText w:val=""/>
      <w:lvlJc w:val="left"/>
      <w:pPr>
        <w:tabs>
          <w:tab w:val="num" w:pos="4320"/>
        </w:tabs>
        <w:ind w:left="4320" w:hanging="360"/>
      </w:pPr>
      <w:rPr>
        <w:rFonts w:ascii="Wingdings" w:hAnsi="Wingdings" w:hint="default"/>
      </w:rPr>
    </w:lvl>
    <w:lvl w:ilvl="6" w:tplc="5BE6ECC4">
      <w:start w:val="1"/>
      <w:numFmt w:val="bullet"/>
      <w:lvlText w:val=""/>
      <w:lvlJc w:val="left"/>
      <w:pPr>
        <w:tabs>
          <w:tab w:val="num" w:pos="5040"/>
        </w:tabs>
        <w:ind w:left="5040" w:hanging="360"/>
      </w:pPr>
      <w:rPr>
        <w:rFonts w:ascii="Symbol" w:hAnsi="Symbol" w:hint="default"/>
      </w:rPr>
    </w:lvl>
    <w:lvl w:ilvl="7" w:tplc="A9CA58C8">
      <w:start w:val="1"/>
      <w:numFmt w:val="bullet"/>
      <w:lvlText w:val="o"/>
      <w:lvlJc w:val="left"/>
      <w:pPr>
        <w:tabs>
          <w:tab w:val="num" w:pos="5760"/>
        </w:tabs>
        <w:ind w:left="5760" w:hanging="360"/>
      </w:pPr>
      <w:rPr>
        <w:rFonts w:ascii="Courier New" w:hAnsi="Courier New" w:hint="default"/>
      </w:rPr>
    </w:lvl>
    <w:lvl w:ilvl="8" w:tplc="76146F9E">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A198AFFC">
      <w:start w:val="1"/>
      <w:numFmt w:val="bullet"/>
      <w:pStyle w:val="Bullet3"/>
      <w:lvlText w:val=""/>
      <w:lvlJc w:val="left"/>
      <w:pPr>
        <w:tabs>
          <w:tab w:val="num" w:pos="1080"/>
        </w:tabs>
        <w:ind w:left="1077" w:hanging="357"/>
      </w:pPr>
      <w:rPr>
        <w:rFonts w:ascii="Symbol" w:hAnsi="Symbol" w:hint="default"/>
      </w:rPr>
    </w:lvl>
    <w:lvl w:ilvl="1" w:tplc="F48A1B10">
      <w:start w:val="1"/>
      <w:numFmt w:val="bullet"/>
      <w:lvlText w:val="o"/>
      <w:lvlJc w:val="left"/>
      <w:pPr>
        <w:tabs>
          <w:tab w:val="num" w:pos="1440"/>
        </w:tabs>
        <w:ind w:left="1440" w:hanging="360"/>
      </w:pPr>
      <w:rPr>
        <w:rFonts w:ascii="Courier New" w:hAnsi="Courier New" w:hint="default"/>
      </w:rPr>
    </w:lvl>
    <w:lvl w:ilvl="2" w:tplc="765AF0AC">
      <w:start w:val="1"/>
      <w:numFmt w:val="bullet"/>
      <w:lvlText w:val=""/>
      <w:lvlJc w:val="left"/>
      <w:pPr>
        <w:tabs>
          <w:tab w:val="num" w:pos="2160"/>
        </w:tabs>
        <w:ind w:left="2160" w:hanging="360"/>
      </w:pPr>
      <w:rPr>
        <w:rFonts w:ascii="Wingdings" w:hAnsi="Wingdings" w:hint="default"/>
      </w:rPr>
    </w:lvl>
    <w:lvl w:ilvl="3" w:tplc="9410BF76">
      <w:start w:val="1"/>
      <w:numFmt w:val="bullet"/>
      <w:lvlText w:val=""/>
      <w:lvlJc w:val="left"/>
      <w:pPr>
        <w:tabs>
          <w:tab w:val="num" w:pos="2880"/>
        </w:tabs>
        <w:ind w:left="2880" w:hanging="360"/>
      </w:pPr>
      <w:rPr>
        <w:rFonts w:ascii="Symbol" w:hAnsi="Symbol" w:hint="default"/>
      </w:rPr>
    </w:lvl>
    <w:lvl w:ilvl="4" w:tplc="A0A2D24E">
      <w:start w:val="1"/>
      <w:numFmt w:val="bullet"/>
      <w:lvlText w:val="o"/>
      <w:lvlJc w:val="left"/>
      <w:pPr>
        <w:tabs>
          <w:tab w:val="num" w:pos="3600"/>
        </w:tabs>
        <w:ind w:left="3600" w:hanging="360"/>
      </w:pPr>
      <w:rPr>
        <w:rFonts w:ascii="Courier New" w:hAnsi="Courier New" w:hint="default"/>
      </w:rPr>
    </w:lvl>
    <w:lvl w:ilvl="5" w:tplc="B4222B86">
      <w:start w:val="1"/>
      <w:numFmt w:val="bullet"/>
      <w:lvlText w:val=""/>
      <w:lvlJc w:val="left"/>
      <w:pPr>
        <w:tabs>
          <w:tab w:val="num" w:pos="4320"/>
        </w:tabs>
        <w:ind w:left="4320" w:hanging="360"/>
      </w:pPr>
      <w:rPr>
        <w:rFonts w:ascii="Wingdings" w:hAnsi="Wingdings" w:hint="default"/>
      </w:rPr>
    </w:lvl>
    <w:lvl w:ilvl="6" w:tplc="42DE9052">
      <w:start w:val="1"/>
      <w:numFmt w:val="bullet"/>
      <w:lvlText w:val=""/>
      <w:lvlJc w:val="left"/>
      <w:pPr>
        <w:tabs>
          <w:tab w:val="num" w:pos="5040"/>
        </w:tabs>
        <w:ind w:left="5040" w:hanging="360"/>
      </w:pPr>
      <w:rPr>
        <w:rFonts w:ascii="Symbol" w:hAnsi="Symbol" w:hint="default"/>
      </w:rPr>
    </w:lvl>
    <w:lvl w:ilvl="7" w:tplc="FD600C3A">
      <w:start w:val="1"/>
      <w:numFmt w:val="bullet"/>
      <w:lvlText w:val="o"/>
      <w:lvlJc w:val="left"/>
      <w:pPr>
        <w:tabs>
          <w:tab w:val="num" w:pos="5760"/>
        </w:tabs>
        <w:ind w:left="5760" w:hanging="360"/>
      </w:pPr>
      <w:rPr>
        <w:rFonts w:ascii="Courier New" w:hAnsi="Courier New" w:hint="default"/>
      </w:rPr>
    </w:lvl>
    <w:lvl w:ilvl="8" w:tplc="73BC8DB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2BF2332E">
      <w:start w:val="1"/>
      <w:numFmt w:val="upperLetter"/>
      <w:pStyle w:val="HeadingFrenchWarranty"/>
      <w:lvlText w:val="%1."/>
      <w:lvlJc w:val="left"/>
      <w:pPr>
        <w:tabs>
          <w:tab w:val="num" w:pos="360"/>
        </w:tabs>
        <w:ind w:left="360" w:hanging="360"/>
      </w:pPr>
      <w:rPr>
        <w:rFonts w:cs="Times New Roman" w:hint="default"/>
        <w:b/>
        <w:bCs/>
        <w:i w:val="0"/>
        <w:iCs w:val="0"/>
      </w:rPr>
    </w:lvl>
    <w:lvl w:ilvl="1" w:tplc="C94E5DD4">
      <w:start w:val="1"/>
      <w:numFmt w:val="lowerLetter"/>
      <w:lvlText w:val="%2."/>
      <w:lvlJc w:val="left"/>
      <w:pPr>
        <w:tabs>
          <w:tab w:val="num" w:pos="1440"/>
        </w:tabs>
        <w:ind w:left="1440" w:hanging="360"/>
      </w:pPr>
      <w:rPr>
        <w:rFonts w:cs="Times New Roman"/>
      </w:rPr>
    </w:lvl>
    <w:lvl w:ilvl="2" w:tplc="E182F8A8">
      <w:start w:val="1"/>
      <w:numFmt w:val="lowerRoman"/>
      <w:lvlText w:val="%3."/>
      <w:lvlJc w:val="right"/>
      <w:pPr>
        <w:tabs>
          <w:tab w:val="num" w:pos="2160"/>
        </w:tabs>
        <w:ind w:left="2160" w:hanging="180"/>
      </w:pPr>
      <w:rPr>
        <w:rFonts w:cs="Times New Roman"/>
      </w:rPr>
    </w:lvl>
    <w:lvl w:ilvl="3" w:tplc="DF5EC320">
      <w:start w:val="1"/>
      <w:numFmt w:val="decimal"/>
      <w:lvlText w:val="%4."/>
      <w:lvlJc w:val="left"/>
      <w:pPr>
        <w:tabs>
          <w:tab w:val="num" w:pos="2880"/>
        </w:tabs>
        <w:ind w:left="2880" w:hanging="360"/>
      </w:pPr>
      <w:rPr>
        <w:rFonts w:cs="Times New Roman"/>
      </w:rPr>
    </w:lvl>
    <w:lvl w:ilvl="4" w:tplc="2468289E">
      <w:start w:val="1"/>
      <w:numFmt w:val="lowerLetter"/>
      <w:lvlText w:val="%5."/>
      <w:lvlJc w:val="left"/>
      <w:pPr>
        <w:tabs>
          <w:tab w:val="num" w:pos="3600"/>
        </w:tabs>
        <w:ind w:left="3600" w:hanging="360"/>
      </w:pPr>
      <w:rPr>
        <w:rFonts w:cs="Times New Roman"/>
      </w:rPr>
    </w:lvl>
    <w:lvl w:ilvl="5" w:tplc="A5CC2560">
      <w:start w:val="1"/>
      <w:numFmt w:val="lowerRoman"/>
      <w:lvlText w:val="%6."/>
      <w:lvlJc w:val="right"/>
      <w:pPr>
        <w:tabs>
          <w:tab w:val="num" w:pos="4320"/>
        </w:tabs>
        <w:ind w:left="4320" w:hanging="180"/>
      </w:pPr>
      <w:rPr>
        <w:rFonts w:cs="Times New Roman"/>
      </w:rPr>
    </w:lvl>
    <w:lvl w:ilvl="6" w:tplc="5AB8DC16">
      <w:start w:val="1"/>
      <w:numFmt w:val="decimal"/>
      <w:lvlText w:val="%7."/>
      <w:lvlJc w:val="left"/>
      <w:pPr>
        <w:tabs>
          <w:tab w:val="num" w:pos="5040"/>
        </w:tabs>
        <w:ind w:left="5040" w:hanging="360"/>
      </w:pPr>
      <w:rPr>
        <w:rFonts w:cs="Times New Roman"/>
      </w:rPr>
    </w:lvl>
    <w:lvl w:ilvl="7" w:tplc="CF36CF86">
      <w:start w:val="1"/>
      <w:numFmt w:val="lowerLetter"/>
      <w:lvlText w:val="%8."/>
      <w:lvlJc w:val="left"/>
      <w:pPr>
        <w:tabs>
          <w:tab w:val="num" w:pos="5760"/>
        </w:tabs>
        <w:ind w:left="5760" w:hanging="360"/>
      </w:pPr>
      <w:rPr>
        <w:rFonts w:cs="Times New Roman"/>
      </w:rPr>
    </w:lvl>
    <w:lvl w:ilvl="8" w:tplc="037634CE">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0114D778">
      <w:start w:val="1"/>
      <w:numFmt w:val="bullet"/>
      <w:pStyle w:val="Bullet5"/>
      <w:lvlText w:val=""/>
      <w:lvlJc w:val="left"/>
      <w:pPr>
        <w:tabs>
          <w:tab w:val="num" w:pos="1795"/>
        </w:tabs>
        <w:ind w:left="1792" w:hanging="357"/>
      </w:pPr>
      <w:rPr>
        <w:rFonts w:ascii="Symbol" w:hAnsi="Symbol" w:hint="default"/>
      </w:rPr>
    </w:lvl>
    <w:lvl w:ilvl="1" w:tplc="CFEAE23C">
      <w:start w:val="1"/>
      <w:numFmt w:val="bullet"/>
      <w:lvlText w:val="o"/>
      <w:lvlJc w:val="left"/>
      <w:pPr>
        <w:tabs>
          <w:tab w:val="num" w:pos="1440"/>
        </w:tabs>
        <w:ind w:left="1440" w:hanging="360"/>
      </w:pPr>
      <w:rPr>
        <w:rFonts w:ascii="Courier New" w:hAnsi="Courier New" w:hint="default"/>
      </w:rPr>
    </w:lvl>
    <w:lvl w:ilvl="2" w:tplc="D408BC02">
      <w:start w:val="1"/>
      <w:numFmt w:val="bullet"/>
      <w:lvlText w:val=""/>
      <w:lvlJc w:val="left"/>
      <w:pPr>
        <w:tabs>
          <w:tab w:val="num" w:pos="2160"/>
        </w:tabs>
        <w:ind w:left="2160" w:hanging="360"/>
      </w:pPr>
      <w:rPr>
        <w:rFonts w:ascii="Symbol" w:hAnsi="Symbol" w:hint="default"/>
      </w:rPr>
    </w:lvl>
    <w:lvl w:ilvl="3" w:tplc="36363A2A">
      <w:start w:val="1"/>
      <w:numFmt w:val="bullet"/>
      <w:lvlText w:val=""/>
      <w:lvlJc w:val="left"/>
      <w:pPr>
        <w:tabs>
          <w:tab w:val="num" w:pos="2880"/>
        </w:tabs>
        <w:ind w:left="2880" w:hanging="360"/>
      </w:pPr>
      <w:rPr>
        <w:rFonts w:ascii="Symbol" w:hAnsi="Symbol" w:hint="default"/>
      </w:rPr>
    </w:lvl>
    <w:lvl w:ilvl="4" w:tplc="B04A892A">
      <w:start w:val="1"/>
      <w:numFmt w:val="bullet"/>
      <w:lvlText w:val="o"/>
      <w:lvlJc w:val="left"/>
      <w:pPr>
        <w:tabs>
          <w:tab w:val="num" w:pos="3600"/>
        </w:tabs>
        <w:ind w:left="3600" w:hanging="360"/>
      </w:pPr>
      <w:rPr>
        <w:rFonts w:ascii="Courier New" w:hAnsi="Courier New" w:hint="default"/>
      </w:rPr>
    </w:lvl>
    <w:lvl w:ilvl="5" w:tplc="8C6EF618">
      <w:start w:val="1"/>
      <w:numFmt w:val="bullet"/>
      <w:lvlText w:val=""/>
      <w:lvlJc w:val="left"/>
      <w:pPr>
        <w:tabs>
          <w:tab w:val="num" w:pos="4320"/>
        </w:tabs>
        <w:ind w:left="4320" w:hanging="360"/>
      </w:pPr>
      <w:rPr>
        <w:rFonts w:ascii="Wingdings" w:hAnsi="Wingdings" w:hint="default"/>
      </w:rPr>
    </w:lvl>
    <w:lvl w:ilvl="6" w:tplc="C212BAFE">
      <w:start w:val="1"/>
      <w:numFmt w:val="bullet"/>
      <w:lvlText w:val=""/>
      <w:lvlJc w:val="left"/>
      <w:pPr>
        <w:tabs>
          <w:tab w:val="num" w:pos="5040"/>
        </w:tabs>
        <w:ind w:left="5040" w:hanging="360"/>
      </w:pPr>
      <w:rPr>
        <w:rFonts w:ascii="Symbol" w:hAnsi="Symbol" w:hint="default"/>
      </w:rPr>
    </w:lvl>
    <w:lvl w:ilvl="7" w:tplc="2BACBEB8">
      <w:start w:val="1"/>
      <w:numFmt w:val="bullet"/>
      <w:lvlText w:val="o"/>
      <w:lvlJc w:val="left"/>
      <w:pPr>
        <w:tabs>
          <w:tab w:val="num" w:pos="5760"/>
        </w:tabs>
        <w:ind w:left="5760" w:hanging="360"/>
      </w:pPr>
      <w:rPr>
        <w:rFonts w:ascii="Courier New" w:hAnsi="Courier New" w:hint="default"/>
      </w:rPr>
    </w:lvl>
    <w:lvl w:ilvl="8" w:tplc="12DE5412">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11121FB2">
      <w:start w:val="1"/>
      <w:numFmt w:val="bullet"/>
      <w:pStyle w:val="Bullet6"/>
      <w:lvlText w:val=""/>
      <w:lvlJc w:val="left"/>
      <w:pPr>
        <w:tabs>
          <w:tab w:val="num" w:pos="2152"/>
        </w:tabs>
        <w:ind w:left="2149" w:hanging="357"/>
      </w:pPr>
      <w:rPr>
        <w:rFonts w:ascii="Symbol" w:hAnsi="Symbol" w:hint="default"/>
      </w:rPr>
    </w:lvl>
    <w:lvl w:ilvl="1" w:tplc="5E4E5B72">
      <w:start w:val="1"/>
      <w:numFmt w:val="bullet"/>
      <w:lvlText w:val="o"/>
      <w:lvlJc w:val="left"/>
      <w:pPr>
        <w:tabs>
          <w:tab w:val="num" w:pos="1440"/>
        </w:tabs>
        <w:ind w:left="1440" w:hanging="360"/>
      </w:pPr>
      <w:rPr>
        <w:rFonts w:ascii="Courier New" w:hAnsi="Courier New" w:hint="default"/>
      </w:rPr>
    </w:lvl>
    <w:lvl w:ilvl="2" w:tplc="93A8224C">
      <w:start w:val="1"/>
      <w:numFmt w:val="bullet"/>
      <w:lvlText w:val=""/>
      <w:lvlJc w:val="left"/>
      <w:pPr>
        <w:tabs>
          <w:tab w:val="num" w:pos="2160"/>
        </w:tabs>
        <w:ind w:left="2160" w:hanging="360"/>
      </w:pPr>
      <w:rPr>
        <w:rFonts w:ascii="Wingdings" w:hAnsi="Wingdings" w:hint="default"/>
      </w:rPr>
    </w:lvl>
    <w:lvl w:ilvl="3" w:tplc="37C83FC8">
      <w:start w:val="1"/>
      <w:numFmt w:val="bullet"/>
      <w:lvlText w:val=""/>
      <w:lvlJc w:val="left"/>
      <w:pPr>
        <w:tabs>
          <w:tab w:val="num" w:pos="2880"/>
        </w:tabs>
        <w:ind w:left="2880" w:hanging="360"/>
      </w:pPr>
      <w:rPr>
        <w:rFonts w:ascii="Symbol" w:hAnsi="Symbol" w:hint="default"/>
      </w:rPr>
    </w:lvl>
    <w:lvl w:ilvl="4" w:tplc="3014C036">
      <w:start w:val="1"/>
      <w:numFmt w:val="bullet"/>
      <w:lvlText w:val="o"/>
      <w:lvlJc w:val="left"/>
      <w:pPr>
        <w:tabs>
          <w:tab w:val="num" w:pos="3600"/>
        </w:tabs>
        <w:ind w:left="3600" w:hanging="360"/>
      </w:pPr>
      <w:rPr>
        <w:rFonts w:ascii="Courier New" w:hAnsi="Courier New" w:hint="default"/>
      </w:rPr>
    </w:lvl>
    <w:lvl w:ilvl="5" w:tplc="5DF878CC">
      <w:start w:val="1"/>
      <w:numFmt w:val="bullet"/>
      <w:lvlText w:val=""/>
      <w:lvlJc w:val="left"/>
      <w:pPr>
        <w:tabs>
          <w:tab w:val="num" w:pos="4320"/>
        </w:tabs>
        <w:ind w:left="4320" w:hanging="360"/>
      </w:pPr>
      <w:rPr>
        <w:rFonts w:ascii="Wingdings" w:hAnsi="Wingdings" w:hint="default"/>
      </w:rPr>
    </w:lvl>
    <w:lvl w:ilvl="6" w:tplc="9B881578">
      <w:start w:val="1"/>
      <w:numFmt w:val="bullet"/>
      <w:lvlText w:val=""/>
      <w:lvlJc w:val="left"/>
      <w:pPr>
        <w:tabs>
          <w:tab w:val="num" w:pos="5040"/>
        </w:tabs>
        <w:ind w:left="5040" w:hanging="360"/>
      </w:pPr>
      <w:rPr>
        <w:rFonts w:ascii="Symbol" w:hAnsi="Symbol" w:hint="default"/>
      </w:rPr>
    </w:lvl>
    <w:lvl w:ilvl="7" w:tplc="E1F4FB8A">
      <w:start w:val="1"/>
      <w:numFmt w:val="bullet"/>
      <w:lvlText w:val="o"/>
      <w:lvlJc w:val="left"/>
      <w:pPr>
        <w:tabs>
          <w:tab w:val="num" w:pos="5760"/>
        </w:tabs>
        <w:ind w:left="5760" w:hanging="360"/>
      </w:pPr>
      <w:rPr>
        <w:rFonts w:ascii="Courier New" w:hAnsi="Courier New" w:hint="default"/>
      </w:rPr>
    </w:lvl>
    <w:lvl w:ilvl="8" w:tplc="A6D6D96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098EC938">
      <w:start w:val="1"/>
      <w:numFmt w:val="bullet"/>
      <w:pStyle w:val="Bullet1"/>
      <w:lvlText w:val=""/>
      <w:lvlJc w:val="left"/>
      <w:pPr>
        <w:tabs>
          <w:tab w:val="num" w:pos="360"/>
        </w:tabs>
        <w:ind w:left="357" w:hanging="357"/>
      </w:pPr>
      <w:rPr>
        <w:rFonts w:ascii="Symbol" w:hAnsi="Symbol" w:hint="default"/>
      </w:rPr>
    </w:lvl>
    <w:lvl w:ilvl="1" w:tplc="21146D06">
      <w:start w:val="1"/>
      <w:numFmt w:val="bullet"/>
      <w:lvlText w:val="o"/>
      <w:lvlJc w:val="left"/>
      <w:pPr>
        <w:tabs>
          <w:tab w:val="num" w:pos="1440"/>
        </w:tabs>
        <w:ind w:left="1440" w:hanging="360"/>
      </w:pPr>
      <w:rPr>
        <w:rFonts w:ascii="Courier New" w:hAnsi="Courier New" w:hint="default"/>
      </w:rPr>
    </w:lvl>
    <w:lvl w:ilvl="2" w:tplc="D9F2D66E">
      <w:start w:val="1"/>
      <w:numFmt w:val="bullet"/>
      <w:lvlText w:val=""/>
      <w:lvlJc w:val="left"/>
      <w:pPr>
        <w:tabs>
          <w:tab w:val="num" w:pos="2160"/>
        </w:tabs>
        <w:ind w:left="2160" w:hanging="360"/>
      </w:pPr>
      <w:rPr>
        <w:rFonts w:ascii="Wingdings" w:hAnsi="Wingdings" w:hint="default"/>
      </w:rPr>
    </w:lvl>
    <w:lvl w:ilvl="3" w:tplc="B0EE1B84">
      <w:start w:val="1"/>
      <w:numFmt w:val="bullet"/>
      <w:lvlText w:val=""/>
      <w:lvlJc w:val="left"/>
      <w:pPr>
        <w:tabs>
          <w:tab w:val="num" w:pos="2880"/>
        </w:tabs>
        <w:ind w:left="2880" w:hanging="360"/>
      </w:pPr>
      <w:rPr>
        <w:rFonts w:ascii="Symbol" w:hAnsi="Symbol" w:hint="default"/>
      </w:rPr>
    </w:lvl>
    <w:lvl w:ilvl="4" w:tplc="18D85C98">
      <w:start w:val="1"/>
      <w:numFmt w:val="bullet"/>
      <w:lvlText w:val="o"/>
      <w:lvlJc w:val="left"/>
      <w:pPr>
        <w:tabs>
          <w:tab w:val="num" w:pos="3600"/>
        </w:tabs>
        <w:ind w:left="3600" w:hanging="360"/>
      </w:pPr>
      <w:rPr>
        <w:rFonts w:ascii="Courier New" w:hAnsi="Courier New" w:hint="default"/>
      </w:rPr>
    </w:lvl>
    <w:lvl w:ilvl="5" w:tplc="8F6EF0F0">
      <w:start w:val="1"/>
      <w:numFmt w:val="bullet"/>
      <w:lvlText w:val=""/>
      <w:lvlJc w:val="left"/>
      <w:pPr>
        <w:tabs>
          <w:tab w:val="num" w:pos="4320"/>
        </w:tabs>
        <w:ind w:left="4320" w:hanging="360"/>
      </w:pPr>
      <w:rPr>
        <w:rFonts w:ascii="Wingdings" w:hAnsi="Wingdings" w:hint="default"/>
      </w:rPr>
    </w:lvl>
    <w:lvl w:ilvl="6" w:tplc="C6D45262">
      <w:start w:val="1"/>
      <w:numFmt w:val="bullet"/>
      <w:lvlText w:val=""/>
      <w:lvlJc w:val="left"/>
      <w:pPr>
        <w:tabs>
          <w:tab w:val="num" w:pos="5040"/>
        </w:tabs>
        <w:ind w:left="5040" w:hanging="360"/>
      </w:pPr>
      <w:rPr>
        <w:rFonts w:ascii="Symbol" w:hAnsi="Symbol" w:hint="default"/>
      </w:rPr>
    </w:lvl>
    <w:lvl w:ilvl="7" w:tplc="CE5C3E08">
      <w:start w:val="1"/>
      <w:numFmt w:val="bullet"/>
      <w:lvlText w:val="o"/>
      <w:lvlJc w:val="left"/>
      <w:pPr>
        <w:tabs>
          <w:tab w:val="num" w:pos="5760"/>
        </w:tabs>
        <w:ind w:left="5760" w:hanging="360"/>
      </w:pPr>
      <w:rPr>
        <w:rFonts w:ascii="Courier New" w:hAnsi="Courier New" w:hint="default"/>
      </w:rPr>
    </w:lvl>
    <w:lvl w:ilvl="8" w:tplc="1B9A29F2">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9400283">
    <w:abstractNumId w:val="17"/>
  </w:num>
  <w:num w:numId="2" w16cid:durableId="1341348046">
    <w:abstractNumId w:val="11"/>
  </w:num>
  <w:num w:numId="3" w16cid:durableId="170989604">
    <w:abstractNumId w:val="10"/>
  </w:num>
  <w:num w:numId="4" w16cid:durableId="1801801496">
    <w:abstractNumId w:val="15"/>
  </w:num>
  <w:num w:numId="5" w16cid:durableId="1763254805">
    <w:abstractNumId w:val="16"/>
  </w:num>
  <w:num w:numId="6" w16cid:durableId="1435636456">
    <w:abstractNumId w:val="8"/>
  </w:num>
  <w:num w:numId="7" w16cid:durableId="737938527">
    <w:abstractNumId w:val="5"/>
  </w:num>
  <w:num w:numId="8" w16cid:durableId="1473058167">
    <w:abstractNumId w:val="0"/>
  </w:num>
  <w:num w:numId="9" w16cid:durableId="368729320">
    <w:abstractNumId w:val="1"/>
  </w:num>
  <w:num w:numId="10" w16cid:durableId="521357650">
    <w:abstractNumId w:val="14"/>
  </w:num>
  <w:num w:numId="11" w16cid:durableId="704405349">
    <w:abstractNumId w:val="7"/>
  </w:num>
  <w:num w:numId="12" w16cid:durableId="367528568">
    <w:abstractNumId w:val="2"/>
  </w:num>
  <w:num w:numId="13" w16cid:durableId="1896886262">
    <w:abstractNumId w:val="13"/>
  </w:num>
  <w:num w:numId="14" w16cid:durableId="1020468317">
    <w:abstractNumId w:val="12"/>
  </w:num>
  <w:num w:numId="15" w16cid:durableId="32000345">
    <w:abstractNumId w:val="9"/>
  </w:num>
  <w:num w:numId="16" w16cid:durableId="2064716645">
    <w:abstractNumId w:val="6"/>
  </w:num>
  <w:num w:numId="17" w16cid:durableId="1714428303">
    <w:abstractNumId w:val="18"/>
  </w:num>
  <w:num w:numId="18" w16cid:durableId="545920665">
    <w:abstractNumId w:val="4"/>
  </w:num>
  <w:num w:numId="19" w16cid:durableId="501505362">
    <w:abstractNumId w:val="13"/>
  </w:num>
  <w:num w:numId="20" w16cid:durableId="84497283">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433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71AA8BA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CF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86690b6110d24f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143b0885b6a34fc9"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eafbe288-58a4-43af-8b16-d4543a9315fe"/>
    <ds:schemaRef ds:uri="033020df-a344-4a6d-a2ef-e7422a46123f"/>
    <ds:schemaRef ds:uri="http://purl.org/dc/terms/"/>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07906F7F-81DC-4F62-B188-C29FFA90C2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9FC1A6-90DB-431B-9776-7D1E78FBE702}">
  <ds:schemaRefs>
    <ds:schemaRef ds:uri="http://schemas.business-integrity.com/dealbuilder/2006/dictionary"/>
  </ds:schemaRefs>
</ds:datastoreItem>
</file>

<file path=customXml/itemProps5.xml><?xml version="1.0" encoding="utf-8"?>
<ds:datastoreItem xmlns:ds="http://schemas.openxmlformats.org/officeDocument/2006/customXml" ds:itemID="{72ED4315-20C9-4132-AA20-799FA773D216}">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Portuguese (Portugal)</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24333</vt:lpwstr>
  </property>
  <property name="db_contract_version" fmtid="{D5CDD505-2E9C-101B-9397-08002B2CF9AE}" pid="17">
    <vt:lpwstr>AAAAAAAF5Oo=</vt:lpwstr>
  </property>
</Properties>
</file>