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5.xml" ContentType="application/vnd.openxmlformats-officedocument.customXml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microsoft.com/office/2020/02/relationships/classificationlabels" Target="docMetadata/LabelInfo.xml" Id="rId5" /><Relationship Type="http://schemas.openxmlformats.org/officeDocument/2006/relationships/custom-properties" Target="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85D10" w14:textId="3A54B9C3" w:rsidR="00F15EA7" w:rsidRPr="00117D03" w:rsidRDefault="002671E4" w:rsidP="00AB0D38">
      <w:pPr>
        <w:pStyle w:val="HeadingEULA"/>
        <w:rPr>
          <w:lang w:val="pl-PL"/>
        </w:rPr>
      </w:pPr>
      <w:r w:rsidRPr="00117D03">
        <w:rPr>
          <w:rFonts w:eastAsia="Tahoma"/>
          <w:lang w:val="pl-PL"/>
        </w:rPr>
        <w:t>POSTANOWIENIA LICENCYJNE DOTYCZĄCE OPROGRAMOWANIA MICROSOFT</w:t>
      </w:r>
    </w:p>
    <w:p w14:paraId="66F38547" w14:textId="3D42DD43" w:rsidR="00AB0D38" w:rsidRPr="00850C08" w:rsidRDefault="002671E4" w:rsidP="00AB0D38">
      <w:pPr>
        <w:pStyle w:val="HeadingSoftwareTitle"/>
        <w:pBdr>
          <w:bottom w:val="none" w:sz="0" w:space="0" w:color="auto"/>
        </w:pBdr>
        <w:rPr>
          <w:lang w:val="pl-PL"/>
        </w:rPr>
      </w:pPr>
      <w:r>
        <w:rPr>
          <w:lang w:val="pl-PL"/>
        </w:rPr>
        <w:t xml:space="preserve">MICROSOFT WORK IQ CLI</w:t>
      </w:r>
    </w:p>
    <w:p w14:paraId="408E73E9" w14:textId="77777777" w:rsidR="00FB0EA3" w:rsidRPr="00117D03" w:rsidRDefault="000244BB" w:rsidP="00FB0EA3">
      <w:pPr>
        <w:pStyle w:val="HeadingSoftwareTitle"/>
        <w:pBdr>
          <w:bottom w:val="none" w:sz="0" w:space="0" w:color="auto"/>
        </w:pBdr>
        <w:spacing w:before="0"/>
      </w:pPr>
      <w:r>
        <w:pict w14:anchorId="3901E7F1">
          <v:rect id="_x0000_i1025" style="width:455.8pt;height:1pt" o:hrpct="0" o:hrstd="t" o:hrnoshade="t" o:hr="t" fillcolor="#7f7f7f" stroked="f"/>
        </w:pict>
      </w:r>
    </w:p>
    <w:p w14:paraId="3401820B" w14:textId="77777777" w:rsidR="00FB0EA3" w:rsidRPr="00117D03" w:rsidRDefault="002671E4" w:rsidP="00FB0EA3">
      <w:pPr>
        <w:pStyle w:val="Preamble"/>
        <w:rPr>
          <w:lang w:val="pl-PL"/>
        </w:rPr>
      </w:pPr>
      <w:r w:rsidRPr="00117D03">
        <w:rPr>
          <w:rStyle w:val="Strong"/>
          <w:rFonts w:eastAsia="Tahoma"/>
          <w:bCs/>
          <w:lang w:val="pl-PL"/>
        </w:rPr>
        <w:t>JEŚLI LICENCJOBIORCA MIESZKA (ALBO JEST PRZEDSIĘBIORSTWEM Z GŁÓWNYM MIEJSCEM PROWADZENIA DZIAŁALNOŚCI) W STANACH ZJEDNOCZONYCH, POWINIEN ZAPOZNAĆ SIĘ Z POSTANOWIENIAMI ZAMIESZCZONEGO PONIŻEJ PUNKTU ZATYTUŁOWANEGO „WIĄŻĄCE POSTĘPOWANIE POLUBOWNE I ZRZECZENIE SIĘ WYKONANIA PRAWA DO WYTOCZENIA POZWU ZBIOROWEGO DRUGIEJ STRONIE UMOWY”. TAKIE POSTANOWIENIA OKREŚLAJĄ SPOSÓB ROZWIĄZYWANIA SPORÓW.</w:t>
      </w:r>
      <w:r w:rsidR="000244BB">
        <w:pict w14:anchorId="30CA2CEF">
          <v:rect id="_x0000_i1026" style="width:460.8pt;height:1pt" o:hrpct="0" o:hrstd="t" o:hrnoshade="t" o:hr="t" fillcolor="#7f7f7f" stroked="f"/>
        </w:pict>
      </w:r>
    </w:p>
    <w:p w14:paraId="306FC705" w14:textId="4C2FED35" w:rsidR="00F15EA7" w:rsidRPr="00117D03" w:rsidRDefault="002671E4" w:rsidP="00EC276C">
      <w:pPr>
        <w:pStyle w:val="PreambleBorderAbove"/>
        <w:pBdr>
          <w:top w:val="none" w:sz="0" w:space="0" w:color="auto"/>
        </w:pBdr>
        <w:spacing w:before="0"/>
        <w:rPr>
          <w:lang w:val="pl-PL"/>
        </w:rPr>
      </w:pPr>
      <w:r w:rsidRPr="00117D03">
        <w:rPr>
          <w:rFonts w:eastAsia="Tahoma"/>
          <w:lang w:val="pl-PL"/>
        </w:rPr>
        <w:t xml:space="preserve">Niniejsze postanowienia licencyjne stanowią umowę między Licencjobiorcą a Microsoft Corporation (albo jednym z podmiotów stowarzyszonych Microsoft Corporation). Mają one zastosowanie do wyżej wymienionego oprogramowania oraz usług i aktualizacji oprogramowania Microsoft (jeśli jednak usługom lub aktualizacjom tym towarzyszą nowe lub dodatkowe postanowienia, to te inne postanowienia </w:t>
      </w:r>
      <w:bookmarkStart w:id="0" w:name="OLE_LINK84"/>
      <w:bookmarkStart w:id="1" w:name="OLE_LINK85"/>
      <w:r w:rsidRPr="00117D03">
        <w:rPr>
          <w:rFonts w:eastAsia="Tahoma"/>
          <w:lang w:val="pl-PL"/>
        </w:rPr>
        <w:t xml:space="preserve">stosuje się prospektywnie </w:t>
      </w:r>
      <w:bookmarkEnd w:id="0"/>
      <w:bookmarkEnd w:id="1"/>
      <w:r w:rsidRPr="00117D03">
        <w:rPr>
          <w:rFonts w:eastAsia="Tahoma"/>
          <w:lang w:val="pl-PL"/>
        </w:rPr>
        <w:t>i nie zmieniają one praw Licencjobiorcy ani Microsoft dotyczących oprogramowania ani usług przed aktualizacją). JEŚLI LICENCJOBIORCA PRZESTRZEGA NINIEJSZYCH POSTANOWIEŃ LICENCYJNYCH, UZYSKUJE OPISANE PONIŻEJ PRAWA. KORZYSTANIE PRZEZ LICENCJOBIORCĘ Z OPROGRAMOWANIA OZNACZA ZGODĘ NA TE POSTANOWIENIA.</w:t>
      </w:r>
    </w:p>
    <w:p w14:paraId="4B32D79E" w14:textId="671035A9" w:rsidR="00B406AF" w:rsidRPr="00117D03" w:rsidRDefault="002671E4" w:rsidP="00791E1C">
      <w:pPr>
        <w:pStyle w:val="Heading1"/>
        <w:numPr>
          <w:ilvl w:val="0"/>
          <w:numId w:val="13"/>
        </w:numPr>
        <w:rPr>
          <w:b/>
          <w:lang w:val="pt-PT"/>
        </w:rPr>
      </w:pPr>
      <w:r w:rsidRPr="00117D03">
        <w:rPr>
          <w:rFonts w:eastAsia="Tahoma"/>
          <w:b/>
          <w:lang w:val="pl-PL"/>
        </w:rPr>
        <w:t>PRAWA DO INSTALACJI I UŻYWANIA.</w:t>
      </w:r>
    </w:p>
    <w:p w14:paraId="7A50C291" w14:textId="7CC294A9" w:rsidR="00F81DAE" w:rsidRPr="00117D03" w:rsidRDefault="00F81DAE" w:rsidP="00F81DAE">
      <w:pPr>
        <w:pStyle w:val="Heading2"/>
        <w:numPr>
          <w:ilvl w:val="0"/>
          <w:numId w:val="14"/>
        </w:numPr>
        <w:rPr>
          <w:lang w:val="pl-PL"/>
        </w:rPr>
      </w:pPr>
      <w:bookmarkStart w:id="2" w:name="OLE_LINK124"/>
      <w:bookmarkStart w:id="3" w:name="OLE_LINK125"/>
      <w:r w:rsidRPr="00117D03">
        <w:rPr>
          <w:rFonts w:eastAsia="Tahoma"/>
          <w:b/>
          <w:lang w:val="pl-PL"/>
        </w:rPr>
        <w:t>Postanowienia ogólne</w:t>
      </w:r>
      <w:r w:rsidRPr="00117D03">
        <w:rPr>
          <w:b/>
          <w:lang w:val="pl-PL"/>
        </w:rPr>
        <w:t>.</w:t>
      </w:r>
      <w:r w:rsidRPr="00117D03">
        <w:rPr>
          <w:vanish/>
          <w:color w:val="FF0000"/>
          <w:lang w:val="pl-PL"/>
        </w:rPr>
        <w:t xml:space="preserve"> </w:t>
      </w:r>
      <w:r w:rsidRPr="00117D03">
        <w:rPr>
          <w:lang w:val="pl-PL"/>
        </w:rPr>
        <w:t xml:space="preserve">Licencjobiorca może zainstalować na swoich urządzeniach </w:t>
      </w:r>
      <w:r w:rsidRPr="00117D03">
        <w:rPr>
          <w:lang w:val="pl-PL"/>
        </w:rPr>
        <w:t>dowolną liczbę</w:t>
      </w:r>
      <w:r w:rsidRPr="00117D03">
        <w:rPr>
          <w:vanish/>
          <w:lang w:val="pl-PL"/>
        </w:rPr>
        <w:t xml:space="preserve"> </w:t>
      </w:r>
      <w:r w:rsidRPr="00117D03">
        <w:rPr>
          <w:lang w:val="pl-PL"/>
        </w:rPr>
        <w:t>kopii</w:t>
      </w:r>
      <w:r w:rsidRPr="00117D03">
        <w:rPr>
          <w:lang w:val="pl-PL"/>
        </w:rPr>
        <w:t xml:space="preserve"> </w:t>
      </w:r>
      <w:r w:rsidR="00864B23" w:rsidRPr="00117D03">
        <w:rPr>
          <w:lang w:val="pl-PL"/>
        </w:rPr>
        <w:t xml:space="preserve">oprogramowania i korzystać z niej </w:t>
      </w:r>
      <w:r w:rsidRPr="00117D03">
        <w:rPr>
          <w:lang w:val="pl-PL"/>
        </w:rPr>
        <w:t>.</w:t>
      </w:r>
      <w:r w:rsidRPr="00117D03">
        <w:rPr>
          <w:vanish/>
          <w:lang w:val="pl-PL"/>
        </w:rPr>
        <w:t xml:space="preserve"> </w:t>
      </w:r>
      <w:r w:rsidR="00D070CB" w:rsidRPr="00117D03">
        <w:rPr>
          <w:lang w:val="pl-PL"/>
        </w:rPr>
        <w:t>Licencjobiorca nie może używać oprogramowania w rzeczywistym środowisku operacyjnym, o ile firma Microsoft nie zezwoli na to na mocy odrębnej umowy</w:t>
      </w:r>
      <w:r w:rsidRPr="00117D03">
        <w:rPr>
          <w:lang w:val="pl-PL"/>
        </w:rPr>
        <w:t>.</w:t>
      </w:r>
    </w:p>
    <w:p w14:paraId="434BE0BC" w14:textId="55FB28FF" w:rsidR="00BF3A5C" w:rsidRPr="00117D03" w:rsidRDefault="002671E4" w:rsidP="00791E1C">
      <w:pPr>
        <w:pStyle w:val="Heading2"/>
        <w:numPr>
          <w:ilvl w:val="0"/>
          <w:numId w:val="14"/>
        </w:numPr>
        <w:rPr>
          <w:lang w:val="pl-PL"/>
        </w:rPr>
      </w:pPr>
      <w:r>
        <w:rPr>
          <w:rFonts w:eastAsia="Tahoma"/>
          <w:b/>
          <w:color w:val="DC143C"/>
          <w:lang w:val="pl-PL"/>
        </w:rPr>
        <w:lastRenderedPageBreak/>
      </w:r>
      <w:r w:rsidRPr="00117D03">
        <w:rPr>
          <w:rFonts w:eastAsia="Tahoma"/>
          <w:b/>
          <w:lang w:val="pl-PL"/>
        </w:rPr>
        <w:t>Konta służbowe i szkolne</w:t>
      </w:r>
      <w:r w:rsidRPr="00117D03">
        <w:rPr>
          <w:rFonts w:eastAsia="Tahoma"/>
          <w:bCs w:val="0"/>
          <w:lang w:val="pl-PL"/>
        </w:rPr>
        <w:t>. W oprogramowaniu Licencjobiorca może się zarejestrować za pomocą adresu konta służbowego albo szkolnego. Jeśli Użytkownik loguje się za pomocą takiego adresu e-mail, zgadza się, że właściciel domeny powiązanej z tym adresem może kontrolować konto Użytkownika i nim zarządzać, a także uzyskiwać dostęp do danych i je przetwarzać, w tym zawartość komunikacji oraz plików Użytkownika. Ponadto Licencjobiorca zgadza się, że używanie przez niego oprogramowania może podlegać: i) wytycznym i zasadom Licencjobiorcy odnośnie do używania oprogramowania i ii) umowom zawartym przez Microsoft z Licencjobiorcą lub organizacją Licencjobiorcy, i w takim przypadku niniejsze postanowienia mogą nie mieć zastosowania.  Jeśli Użytkownik ma już konto Microsoft i uzyskuje dostęp do oprogramowania przez oddzielny służbowy lub szkolny adres e-mail, może zostać poproszony o zaktualizowanie adresu e-mail powiązanego z kontem Microsoft Użytkownika, aby móc nadal używać tych Usług.</w:t>
      </w:r>
    </w:p>
    <w:p w14:paraId="29686FAD" w14:textId="3906851D" w:rsidR="005B381B" w:rsidRPr="00117D03" w:rsidRDefault="002671E4" w:rsidP="00791E1C">
      <w:pPr>
        <w:pStyle w:val="Heading2"/>
        <w:numPr>
          <w:ilvl w:val="0"/>
          <w:numId w:val="14"/>
        </w:numPr>
        <w:rPr>
          <w:b/>
          <w:lang w:val="pl-PL"/>
        </w:rPr>
      </w:pPr>
      <w:bookmarkStart w:id="4" w:name="_Hlk525135722"/>
      <w:bookmarkEnd w:id="2"/>
      <w:bookmarkEnd w:id="3"/>
      <w:r w:rsidRPr="00117D03">
        <w:rPr>
          <w:rFonts w:eastAsia="Tahoma"/>
          <w:b/>
          <w:lang w:val="pl-PL"/>
        </w:rPr>
        <w:t>Dołączone aplikacje Microsoft</w:t>
      </w:r>
      <w:r w:rsidRPr="00117D03">
        <w:rPr>
          <w:rFonts w:eastAsia="Tahoma"/>
          <w:bCs w:val="0"/>
          <w:lang w:val="pl-PL"/>
        </w:rPr>
        <w:t xml:space="preserve">. Oprogramowanie może obejmować także inne aplikacje Microsoft. Niniejsze postanowienia licencyjne mają zastosowanie do takich ewentualnych aplikacji, </w:t>
      </w:r>
      <w:bookmarkStart w:id="5" w:name="OLE_LINK80"/>
      <w:bookmarkStart w:id="6" w:name="OLE_LINK81"/>
      <w:r w:rsidRPr="00117D03">
        <w:rPr>
          <w:rFonts w:eastAsia="Tahoma"/>
          <w:bCs w:val="0"/>
          <w:lang w:val="pl-PL"/>
        </w:rPr>
        <w:t>o ile tym aplikacjom Microsoft nie towarzyszą inne postanowienia licencyjne</w:t>
      </w:r>
      <w:bookmarkEnd w:id="5"/>
      <w:bookmarkEnd w:id="6"/>
      <w:r w:rsidRPr="00117D03">
        <w:rPr>
          <w:rFonts w:eastAsia="Tahoma"/>
          <w:bCs w:val="0"/>
          <w:lang w:val="pl-PL"/>
        </w:rPr>
        <w:t>.</w:t>
      </w:r>
      <w:bookmarkEnd w:id="4"/>
    </w:p>
    <w:p w14:paraId="025B8040" w14:textId="7B9C3A0B" w:rsidR="00260073" w:rsidRPr="00117D03" w:rsidRDefault="002671E4" w:rsidP="00791E1C">
      <w:pPr>
        <w:pStyle w:val="Heading2"/>
        <w:numPr>
          <w:ilvl w:val="0"/>
          <w:numId w:val="14"/>
        </w:numPr>
        <w:rPr>
          <w:b/>
          <w:lang w:val="pl-PL"/>
        </w:rPr>
      </w:pPr>
      <w:r w:rsidRPr="00117D03">
        <w:rPr>
          <w:rFonts w:eastAsia="Tahoma"/>
          <w:b/>
          <w:lang w:val="pl-PL"/>
        </w:rPr>
        <w:t>Składniki pochodzące od osób trzecich</w:t>
      </w:r>
      <w:r w:rsidRPr="00117D03">
        <w:rPr>
          <w:rFonts w:eastAsia="Tahoma"/>
          <w:bCs w:val="0"/>
          <w:lang w:val="pl-PL"/>
        </w:rPr>
        <w:t>. Oprogramowanie może zawierać składniki pochodzące od osób trzecich, objęte odrębnymi informacjami prawnymi lub podlegające innym umowom, zgodnie z ewentualnym opisem w plikach ThirdPartyNotices dołączonych do oprogramowania.</w:t>
      </w:r>
    </w:p>
    <w:p w14:paraId="6203297D" w14:textId="2845BFD8" w:rsidR="00F62419" w:rsidRPr="00117D03" w:rsidRDefault="00C94859" w:rsidP="00791E1C">
      <w:pPr>
        <w:pStyle w:val="Heading2"/>
        <w:numPr>
          <w:ilvl w:val="0"/>
          <w:numId w:val="14"/>
        </w:numPr>
        <w:rPr>
          <w:b/>
          <w:lang w:val="pl-PL"/>
        </w:rPr>
      </w:pPr>
      <w:r w:rsidR="002671E4" w:rsidRPr="00117D03">
        <w:rPr>
          <w:rFonts w:eastAsia="Tahoma"/>
          <w:b/>
          <w:lang w:val="pl-PL"/>
        </w:rPr>
        <w:t>Testy porównawcze z produktami konkurencyjnymi.</w:t>
      </w:r>
      <w:r w:rsidR="002671E4" w:rsidRPr="00117D03">
        <w:rPr>
          <w:rFonts w:eastAsia="Tahoma"/>
          <w:bCs w:val="0"/>
          <w:lang w:val="pl-PL"/>
        </w:rPr>
        <w:t xml:space="preserve"> Jeśli Licencjobiorca jest konkurentem bezpośrednim i uzyskuje dostęp do oprogramowania lub używa go w celu przeprowadzenia testów porównawczych, wykonania analiz lub uzyskania informacji, to zrzeka się w stosunku do Microsoft, podmiotów zależnych Microsoft oraz podmiotów stowarzyszonych Microsoft (w tym w przyszłości) określonych w postanowieniach dotyczących oprogramowania ograniczeń związanych z używaniem, dostępem i testowaniem porównawczym do celów konkurencyjnych w zakresie, w jakim te postanowienia są lub mogłyby być bardziej restrykcyjne niż postanowienia Microsoft. Jeśli Licencjobiorca nie zrzecze się takich domniemanych ograniczeń w postanowieniach dotyczących oprogramowania, nie wolno mu uzyskiwać dostępu do oprogramowania ani go używać.</w:t>
      </w:r>
    </w:p>
    <w:p w14:paraId="1D87CCD0" w14:textId="77777777" w:rsidR="00BF3A5C" w:rsidRPr="00117D03" w:rsidRDefault="002671E4" w:rsidP="00791E1C">
      <w:pPr>
        <w:pStyle w:val="Heading1"/>
        <w:numPr>
          <w:ilvl w:val="0"/>
          <w:numId w:val="13"/>
        </w:numPr>
        <w:rPr>
          <w:b/>
          <w:lang w:val="pl-PL"/>
        </w:rPr>
      </w:pPr>
      <w:r w:rsidRPr="00117D03">
        <w:rPr>
          <w:rFonts w:eastAsia="Tahoma"/>
          <w:b/>
          <w:lang w:val="pl-PL"/>
        </w:rPr>
        <w:t>ZAKRES LICENCJI.</w:t>
      </w:r>
      <w:r w:rsidRPr="00117D03">
        <w:rPr>
          <w:rFonts w:eastAsia="Tahoma"/>
          <w:bCs w:val="0"/>
          <w:lang w:val="pl-PL"/>
        </w:rPr>
        <w:t xml:space="preserve"> Oprogramowanie jest licencjonowane, a nie sprzedawane. Microsoft zastrzega sobie wszystkie pozostałe prawa. Jeśli na mocy prawa właściwego i pomimo niniejszego ograniczenia nie przysługują Licencjobiorcy dodatkowe uprawnienia, nie może on:</w:t>
      </w:r>
    </w:p>
    <w:p w14:paraId="7DC91AA8" w14:textId="77777777" w:rsidR="00BF3A5C" w:rsidRPr="00117D03" w:rsidRDefault="002671E4" w:rsidP="00791E1C">
      <w:pPr>
        <w:pStyle w:val="Heading2"/>
        <w:numPr>
          <w:ilvl w:val="0"/>
          <w:numId w:val="16"/>
        </w:numPr>
        <w:rPr>
          <w:lang w:val="pl-PL"/>
        </w:rPr>
      </w:pPr>
      <w:r w:rsidRPr="00117D03">
        <w:rPr>
          <w:rFonts w:eastAsia="Tahoma"/>
          <w:lang w:val="pl-PL"/>
        </w:rPr>
        <w:t>omijać ograniczeń technicznych oprogramowania dopuszczających użytkowanie oprogramowania wyłącznie w określony sposób;</w:t>
      </w:r>
    </w:p>
    <w:p w14:paraId="271089BB" w14:textId="704C4CB7" w:rsidR="00BF3A5C" w:rsidRPr="00117D03" w:rsidRDefault="002671E4" w:rsidP="00791E1C">
      <w:pPr>
        <w:pStyle w:val="Heading2"/>
        <w:numPr>
          <w:ilvl w:val="0"/>
          <w:numId w:val="16"/>
        </w:numPr>
        <w:rPr>
          <w:lang w:val="pl-PL"/>
        </w:rPr>
      </w:pPr>
      <w:bookmarkStart w:id="8" w:name="_Hlk525204575"/>
      <w:r w:rsidRPr="00117D03">
        <w:rPr>
          <w:rFonts w:eastAsia="Tahoma"/>
          <w:lang w:val="pl-PL"/>
        </w:rPr>
        <w:t>odtwarzać, dekompilować ani deasemblować oprogramowania, ani w inny sposób podejmować prób pozyskania kodu źródłowego z oprogramowania, chyba że w przypadku i tylko w takim zakresie, w jakim jest to wymagane na mocy określonych przez osoby trzecie postanowień licencyjnych mających zastosowanie do używania określonych składników podlegających licencji open source, które mogą być dołączone do oprogramowania;</w:t>
      </w:r>
      <w:bookmarkEnd w:id="8"/>
    </w:p>
    <w:p w14:paraId="40809796" w14:textId="77777777" w:rsidR="00BF3A5C" w:rsidRPr="00117D03" w:rsidRDefault="002671E4" w:rsidP="00791E1C">
      <w:pPr>
        <w:pStyle w:val="Heading2"/>
        <w:numPr>
          <w:ilvl w:val="0"/>
          <w:numId w:val="16"/>
        </w:numPr>
        <w:rPr>
          <w:lang w:val="pl-PL"/>
        </w:rPr>
      </w:pPr>
      <w:r w:rsidRPr="00117D03">
        <w:rPr>
          <w:rFonts w:eastAsia="Tahoma"/>
          <w:lang w:val="pl-PL"/>
        </w:rPr>
        <w:t>usuwać, minimalizować, blokować ani modyfikować żadnych umieszczonych w oprogramowaniu powiadomień Microsoft ani dostawców Microsoft;</w:t>
      </w:r>
    </w:p>
    <w:p w14:paraId="2044285D" w14:textId="77777777" w:rsidR="00BF3A5C" w:rsidRPr="00117D03" w:rsidRDefault="002671E4" w:rsidP="00791E1C">
      <w:pPr>
        <w:pStyle w:val="Heading2"/>
        <w:numPr>
          <w:ilvl w:val="0"/>
          <w:numId w:val="16"/>
        </w:numPr>
        <w:rPr>
          <w:lang w:val="pl-PL"/>
        </w:rPr>
      </w:pPr>
      <w:r w:rsidRPr="00117D03">
        <w:rPr>
          <w:rFonts w:eastAsia="Tahoma"/>
          <w:lang w:val="pl-PL"/>
        </w:rPr>
        <w:t>bez uprzedniej pisemnej zgody Microsoft ujawniać osobom trzecim wyników testów porównawczych dotyczących oprogramowania;</w:t>
      </w:r>
    </w:p>
    <w:p w14:paraId="6C25FFC7" w14:textId="77777777" w:rsidR="00BF3A5C" w:rsidRPr="00117D03" w:rsidRDefault="002671E4" w:rsidP="00791E1C">
      <w:pPr>
        <w:pStyle w:val="Heading2"/>
        <w:numPr>
          <w:ilvl w:val="0"/>
          <w:numId w:val="16"/>
        </w:numPr>
        <w:rPr>
          <w:lang w:val="pl-PL"/>
        </w:rPr>
      </w:pPr>
      <w:r w:rsidRPr="00117D03">
        <w:rPr>
          <w:rFonts w:eastAsia="Tahoma"/>
          <w:lang w:val="pl-PL"/>
        </w:rPr>
        <w:t>używać oprogramowania w sposób niezgodny z prawem lub do tworzenia lub rozpowszechniania złośliwego oprogramowania; ani</w:t>
      </w:r>
    </w:p>
    <w:p w14:paraId="08D26D68" w14:textId="29A997A0" w:rsidR="00BF3A5C" w:rsidRPr="00117D03" w:rsidRDefault="002671E4" w:rsidP="00791E1C">
      <w:pPr>
        <w:pStyle w:val="Heading2"/>
        <w:numPr>
          <w:ilvl w:val="0"/>
          <w:numId w:val="16"/>
        </w:numPr>
        <w:rPr>
          <w:lang w:val="pl-PL"/>
        </w:rPr>
      </w:pPr>
      <w:r w:rsidRPr="00117D03">
        <w:rPr>
          <w:rFonts w:eastAsia="Tahoma"/>
          <w:lang w:val="pl-PL"/>
        </w:rPr>
        <w:t>udostępniać, publikować, rozpowszechniać ani wynajmować oprogramowania, dostarczać go w postaci samodzielnego rozwiązania w celu używania go przez inne osoby ani przenosić tego oprogramowania lub niniejszej umowy na osobę trzecią.</w:t>
      </w:r>
    </w:p>
    <w:p w14:paraId="610B11C1" w14:textId="34BCBD76" w:rsidR="00366D34" w:rsidRPr="00117D03" w:rsidRDefault="002671E4" w:rsidP="00791E1C">
      <w:pPr>
        <w:pStyle w:val="Heading1"/>
        <w:numPr>
          <w:ilvl w:val="0"/>
          <w:numId w:val="13"/>
        </w:numPr>
        <w:rPr>
          <w:b/>
          <w:lang w:val="pl-PL"/>
        </w:rPr>
      </w:pPr>
      <w:r>
        <w:rPr>
          <w:rFonts w:eastAsia="Tahoma"/>
          <w:b/>
          <w:color w:val="DC143C"/>
          <w:lang w:val="pl-PL"/>
        </w:rPr>
        <w:lastRenderedPageBreak/>
      </w:r>
      <w:r w:rsidRPr="00117D03">
        <w:rPr>
          <w:rFonts w:eastAsia="Tahoma"/>
          <w:b/>
          <w:lang w:val="pl-PL"/>
        </w:rPr>
        <w:t>OPROGRAMOWANIE W WERSJI WSTĘPNEJ</w:t>
      </w:r>
      <w:r w:rsidRPr="00117D03">
        <w:rPr>
          <w:rFonts w:eastAsia="Tahoma"/>
          <w:bCs w:val="0"/>
          <w:lang w:val="pl-PL"/>
        </w:rPr>
        <w:t>. Oprogramowanie jest w wersji wstępnej. Może nie działać prawidłowo i różnić się od wersji komercyjnej.</w:t>
      </w:r>
    </w:p>
    <w:p w14:paraId="49433DE2" w14:textId="6BC741CD" w:rsidR="00C169CC" w:rsidRPr="00117D03" w:rsidRDefault="002671E4" w:rsidP="00791E1C">
      <w:pPr>
        <w:pStyle w:val="Heading1"/>
        <w:numPr>
          <w:ilvl w:val="0"/>
          <w:numId w:val="13"/>
        </w:numPr>
        <w:rPr>
          <w:b/>
        </w:rPr>
      </w:pPr>
      <w:r w:rsidRPr="00117D03">
        <w:rPr>
          <w:rFonts w:eastAsia="Tahoma"/>
          <w:b/>
          <w:lang w:val="pl-PL"/>
        </w:rPr>
        <w:t>UWAGI NA TEMAT PRODUKTU.</w:t>
      </w:r>
      <w:r w:rsidRPr="00117D03">
        <w:rPr>
          <w:rFonts w:eastAsia="Tahoma"/>
          <w:bCs w:val="0"/>
          <w:lang w:val="pl-PL"/>
        </w:rPr>
        <w:t xml:space="preserve"> Podzielenie się z Microsoft uwagami na temat oprogramowania jest równoznaczne z nieodpłatnym udzieleniem Microsoft prawa do używania, udostępniania oraz komercjalizacji tych uwag w dowolny sposób oraz w dowolnym celu. Nie będą Państwo przekazywać opinii, które byłyby objęte licencją, na mocy której Microsoft zmuszony byłby do udzielania osobom trzecim licencji na swoje oprogramowanie lub dokumentację z powodu włączenia do nich Państwa opinii. Prawa te pozostają w mocy po wygaśnięciu niniejszej umowy.</w:t>
      </w:r>
    </w:p>
    <w:p w14:paraId="38797652" w14:textId="7D6B2424" w:rsidR="00C1618F" w:rsidRPr="00117D03" w:rsidRDefault="002671E4" w:rsidP="00791E1C">
      <w:pPr>
        <w:pStyle w:val="Heading1"/>
        <w:numPr>
          <w:ilvl w:val="0"/>
          <w:numId w:val="13"/>
        </w:numPr>
        <w:rPr>
          <w:b/>
          <w:lang w:val="pl-PL"/>
        </w:rPr>
      </w:pPr>
      <w:bookmarkStart w:id="9" w:name="_Hlk525136947"/>
      <w:r w:rsidRPr="00117D03">
        <w:rPr>
          <w:rFonts w:eastAsia="Tahoma"/>
          <w:b/>
          <w:lang w:val="pl-PL"/>
        </w:rPr>
        <w:t>DANE</w:t>
      </w:r>
      <w:r w:rsidRPr="00117D03">
        <w:rPr>
          <w:rFonts w:eastAsia="Tahoma"/>
          <w:bCs w:val="0"/>
          <w:lang w:val="pl-PL"/>
        </w:rPr>
        <w:t xml:space="preserve">. </w:t>
      </w:r>
      <w:r w:rsidRPr="00117D03">
        <w:rPr>
          <w:rFonts w:eastAsia="Tahoma"/>
          <w:bCs w:val="0"/>
          <w:lang w:val="pl-PL"/>
        </w:rPr>
        <w:t xml:space="preserve">Oprogramowanie to może wchodzić w interakcję z innymi produktami firmy Microsoft, które zbierają dane przesyłane do Microsoft. Więcej informacji na temat sposobu zbierania i przetwarzania danych osobowych przez Microsoft można znaleźć w Oświadczeniu o Ochronie Prywatności firmy Microsoft pod adresem </w:t>
      </w:r>
      <w:hyperlink r:id="rId12" w:history="1">
        <w:r w:rsidRPr="00117D03">
          <w:rPr>
            <w:rFonts w:eastAsia="Tahoma"/>
            <w:bCs w:val="0"/>
            <w:color w:val="0000FF"/>
            <w:u w:val="single"/>
            <w:lang w:val="pl-PL"/>
          </w:rPr>
          <w:t>https://go.microsoft.com/fwlink/?LinkId=248681</w:t>
        </w:r>
      </w:hyperlink>
      <w:r w:rsidRPr="00117D03">
        <w:rPr>
          <w:rFonts w:eastAsia="Tahoma"/>
          <w:bCs w:val="0"/>
          <w:lang w:val="pl-PL"/>
        </w:rPr>
        <w:t>.</w:t>
      </w:r>
      <w:bookmarkEnd w:id="9"/>
    </w:p>
    <w:p w14:paraId="3707960C" w14:textId="21495AA5" w:rsidR="00BF3A5C" w:rsidRPr="00117D03" w:rsidRDefault="002671E4" w:rsidP="00791E1C">
      <w:pPr>
        <w:pStyle w:val="ListParagraph"/>
        <w:numPr>
          <w:ilvl w:val="0"/>
          <w:numId w:val="13"/>
        </w:numPr>
        <w:rPr>
          <w:b w:val="0"/>
          <w:lang w:val="pl-PL"/>
        </w:rPr>
      </w:pPr>
      <w:r w:rsidRPr="00117D03">
        <w:rPr>
          <w:rFonts w:eastAsia="Tahoma"/>
          <w:bCs/>
          <w:lang w:val="pl-PL"/>
        </w:rPr>
        <w:t xml:space="preserve">KODEKS POSTĘPOWANIA.  </w:t>
      </w:r>
      <w:r w:rsidRPr="00117D03">
        <w:rPr>
          <w:rFonts w:eastAsia="Tahoma"/>
          <w:b w:val="0"/>
          <w:lang w:val="pl-PL"/>
        </w:rPr>
        <w:t>Jeśli Licencjobiorca wyraża zgodę na niniejsze postanowienia licencyjne, zgadza się, że w toku używania oprogramowania będzie przestrzegać następujących reguł:</w:t>
      </w:r>
    </w:p>
    <w:p w14:paraId="39140D92" w14:textId="77777777" w:rsidR="00BF3A5C" w:rsidRPr="00117D03" w:rsidRDefault="002671E4" w:rsidP="00791E1C">
      <w:pPr>
        <w:pStyle w:val="Heading3"/>
        <w:numPr>
          <w:ilvl w:val="0"/>
          <w:numId w:val="20"/>
        </w:numPr>
        <w:rPr>
          <w:b w:val="0"/>
          <w:lang w:val="pl-PL"/>
        </w:rPr>
      </w:pPr>
      <w:r w:rsidRPr="00117D03">
        <w:rPr>
          <w:rFonts w:eastAsia="Tahoma"/>
          <w:b w:val="0"/>
          <w:lang w:val="pl-PL"/>
        </w:rPr>
        <w:t xml:space="preserve">Nie wolno podejmować żadnych nielegalnych działań.   </w:t>
      </w:r>
    </w:p>
    <w:p w14:paraId="51597141" w14:textId="77777777" w:rsidR="00BF3A5C" w:rsidRPr="00117D03" w:rsidRDefault="002671E4" w:rsidP="00791E1C">
      <w:pPr>
        <w:pStyle w:val="Heading3"/>
        <w:numPr>
          <w:ilvl w:val="0"/>
          <w:numId w:val="20"/>
        </w:numPr>
        <w:rPr>
          <w:b w:val="0"/>
          <w:lang w:val="pl-PL"/>
        </w:rPr>
      </w:pPr>
      <w:r w:rsidRPr="00117D03">
        <w:rPr>
          <w:rFonts w:eastAsia="Tahoma"/>
          <w:b w:val="0"/>
          <w:lang w:val="pl-PL"/>
        </w:rPr>
        <w:t xml:space="preserve">Nie wolno angażować się w działania związane z wykorzystywaniem, krzywdzeniem lub kierowaniem gróźb skrzywdzenia dzieci. </w:t>
      </w:r>
    </w:p>
    <w:p w14:paraId="6F5AB4EF" w14:textId="77777777" w:rsidR="00BF3A5C" w:rsidRPr="00117D03" w:rsidRDefault="002671E4" w:rsidP="00791E1C">
      <w:pPr>
        <w:pStyle w:val="Heading3"/>
        <w:numPr>
          <w:ilvl w:val="0"/>
          <w:numId w:val="20"/>
        </w:numPr>
        <w:rPr>
          <w:b w:val="0"/>
          <w:lang w:val="pl-PL"/>
        </w:rPr>
      </w:pPr>
      <w:r w:rsidRPr="00117D03">
        <w:rPr>
          <w:rFonts w:eastAsia="Tahoma"/>
          <w:b w:val="0"/>
          <w:lang w:val="pl-PL"/>
        </w:rPr>
        <w:t xml:space="preserve">Nie wolno rozsyłać spamu. Spam to niechciane wysyłane masowo wiadomości e-mail, wypowiedzi, prośby o nawiązanie kontaktu, wiadomości SMS (wiadomości tekstowe) lub wiadomości błyskawiczne.  </w:t>
      </w:r>
    </w:p>
    <w:p w14:paraId="05DC2B5D" w14:textId="77777777" w:rsidR="00BF3A5C" w:rsidRPr="00117D03" w:rsidRDefault="002671E4" w:rsidP="00791E1C">
      <w:pPr>
        <w:pStyle w:val="Heading3"/>
        <w:numPr>
          <w:ilvl w:val="0"/>
          <w:numId w:val="20"/>
        </w:numPr>
        <w:rPr>
          <w:b w:val="0"/>
          <w:lang w:val="pl-PL"/>
        </w:rPr>
      </w:pPr>
      <w:r w:rsidRPr="00117D03">
        <w:rPr>
          <w:rFonts w:eastAsia="Tahoma"/>
          <w:b w:val="0"/>
          <w:lang w:val="pl-PL"/>
        </w:rPr>
        <w:t xml:space="preserve">Nie wolno używać oprogramowania do publicznego wyświetlania lub udostępniania niestosownych treści lub materiałów (przedstawiających m.in. nagość, bestialstwo, pornografię, wulgarny języka, przemoc lub działalność przestępczą). </w:t>
      </w:r>
    </w:p>
    <w:p w14:paraId="6A78500C" w14:textId="77777777" w:rsidR="00BF3A5C" w:rsidRPr="00117D03" w:rsidRDefault="002671E4" w:rsidP="00791E1C">
      <w:pPr>
        <w:pStyle w:val="Heading3"/>
        <w:numPr>
          <w:ilvl w:val="0"/>
          <w:numId w:val="20"/>
        </w:numPr>
        <w:rPr>
          <w:b w:val="0"/>
          <w:lang w:val="pl-PL"/>
        </w:rPr>
      </w:pPr>
      <w:r w:rsidRPr="00117D03">
        <w:rPr>
          <w:rFonts w:eastAsia="Tahoma"/>
          <w:b w:val="0"/>
          <w:lang w:val="pl-PL"/>
        </w:rPr>
        <w:t>Nie wolno prowadzić działań, które są oszukańcze, fałszywe lub wprowadzające w błąd (np. wyłudzanie pieniędzy, podawanie się za kogoś innego, manipulowanie oprogramowaniem w celu zwiększenia liczby odtworzeń lub wpływania na rankingi, oceny lub komentarze).</w:t>
      </w:r>
    </w:p>
    <w:p w14:paraId="24A3BE38" w14:textId="77777777" w:rsidR="00BF3A5C" w:rsidRPr="00117D03" w:rsidRDefault="002671E4" w:rsidP="00791E1C">
      <w:pPr>
        <w:pStyle w:val="Heading3"/>
        <w:numPr>
          <w:ilvl w:val="0"/>
          <w:numId w:val="20"/>
        </w:numPr>
        <w:rPr>
          <w:b w:val="0"/>
          <w:lang w:val="pl-PL"/>
        </w:rPr>
      </w:pPr>
      <w:r w:rsidRPr="00117D03">
        <w:rPr>
          <w:rFonts w:eastAsia="Tahoma"/>
          <w:b w:val="0"/>
          <w:lang w:val="pl-PL"/>
        </w:rPr>
        <w:lastRenderedPageBreak/>
        <w:t>Nie wolno omijać jakichkolwiek ograniczeń dostępności oprogramowania.</w:t>
      </w:r>
    </w:p>
    <w:p w14:paraId="38C5265D" w14:textId="77777777" w:rsidR="00BF3A5C" w:rsidRPr="00117D03" w:rsidRDefault="002671E4" w:rsidP="00791E1C">
      <w:pPr>
        <w:pStyle w:val="Heading3"/>
        <w:numPr>
          <w:ilvl w:val="0"/>
          <w:numId w:val="20"/>
        </w:numPr>
        <w:rPr>
          <w:b w:val="0"/>
          <w:lang w:val="pl-PL"/>
        </w:rPr>
      </w:pPr>
      <w:r w:rsidRPr="00117D03">
        <w:rPr>
          <w:rFonts w:eastAsia="Tahoma"/>
          <w:b w:val="0"/>
          <w:lang w:val="pl-PL"/>
        </w:rPr>
        <w:t>Nie wolno prowadzić działań szkodliwych dla Licencjobiorcy, oprogramowania lub innych osób (na przykład rozsyłać wirusów, nękać, publikować treści o charakterze terrorystycznym, stosować mowy nienawiści lub nawoływać do przemocy wobec innych osób).</w:t>
      </w:r>
    </w:p>
    <w:p w14:paraId="7E5D8437" w14:textId="77777777" w:rsidR="00BF3A5C" w:rsidRPr="00117D03" w:rsidRDefault="002671E4" w:rsidP="00791E1C">
      <w:pPr>
        <w:pStyle w:val="Heading3"/>
        <w:numPr>
          <w:ilvl w:val="0"/>
          <w:numId w:val="20"/>
        </w:numPr>
        <w:rPr>
          <w:b w:val="0"/>
          <w:lang w:val="pl-PL"/>
        </w:rPr>
      </w:pPr>
      <w:r w:rsidRPr="00117D03">
        <w:rPr>
          <w:rFonts w:eastAsia="Tahoma"/>
          <w:b w:val="0"/>
          <w:lang w:val="pl-PL"/>
        </w:rPr>
        <w:t>Nie wolno naruszać praw innych osób (np. w sposób nieautoryzowany udostępniać utworów muzycznych lub innych materiałów chronionych prawem autorskim, odsprzedawać lub w inny sposób rozpowszechniać map Bing lub zdjęć).</w:t>
      </w:r>
    </w:p>
    <w:p w14:paraId="64A6284A" w14:textId="77777777" w:rsidR="00BF3A5C" w:rsidRPr="00117D03" w:rsidRDefault="002671E4" w:rsidP="00791E1C">
      <w:pPr>
        <w:pStyle w:val="Heading3"/>
        <w:numPr>
          <w:ilvl w:val="0"/>
          <w:numId w:val="20"/>
        </w:numPr>
        <w:rPr>
          <w:b w:val="0"/>
          <w:lang w:val="pl-PL"/>
        </w:rPr>
      </w:pPr>
      <w:r w:rsidRPr="00117D03">
        <w:rPr>
          <w:rFonts w:eastAsia="Tahoma"/>
          <w:b w:val="0"/>
          <w:lang w:val="pl-PL"/>
        </w:rPr>
        <w:t>Nie wolno prowadzić działań naruszających prywatność innych osób.</w:t>
      </w:r>
    </w:p>
    <w:p w14:paraId="556497E4" w14:textId="77777777" w:rsidR="00BF3A5C" w:rsidRPr="00117D03" w:rsidRDefault="002671E4" w:rsidP="00791E1C">
      <w:pPr>
        <w:pStyle w:val="Heading3"/>
        <w:numPr>
          <w:ilvl w:val="0"/>
          <w:numId w:val="20"/>
        </w:numPr>
        <w:rPr>
          <w:b w:val="0"/>
          <w:lang w:val="pl-PL"/>
        </w:rPr>
      </w:pPr>
      <w:r w:rsidRPr="00117D03">
        <w:rPr>
          <w:rFonts w:eastAsia="Tahoma"/>
          <w:b w:val="0"/>
          <w:lang w:val="pl-PL"/>
        </w:rPr>
        <w:t>Nie wolno pomagać innym osobom w naruszaniu powyższych zasad.</w:t>
      </w:r>
    </w:p>
    <w:p w14:paraId="5249D2B1" w14:textId="19B6BA25" w:rsidR="00F15EA7" w:rsidRPr="00117D03" w:rsidRDefault="002671E4" w:rsidP="00791E1C">
      <w:pPr>
        <w:pStyle w:val="Heading1"/>
        <w:numPr>
          <w:ilvl w:val="0"/>
          <w:numId w:val="13"/>
        </w:numPr>
        <w:rPr>
          <w:b/>
          <w:lang w:val="pl-PL"/>
        </w:rPr>
      </w:pPr>
      <w:r w:rsidRPr="00117D03">
        <w:rPr>
          <w:rFonts w:eastAsia="Tahoma"/>
          <w:b/>
          <w:lang w:val="pl-PL"/>
        </w:rPr>
        <w:t>OGRANICZENIA EKSPORTOWE.</w:t>
      </w:r>
      <w:r w:rsidRPr="00117D03">
        <w:rPr>
          <w:rFonts w:eastAsia="Tahoma"/>
          <w:bCs w:val="0"/>
          <w:lang w:val="pl-PL"/>
        </w:rPr>
        <w:t xml:space="preserve"> Licencjobiorca musi przestrzegać wszelkich krajowych i międzynarodowych przepisów eksportowych mających zastosowanie do oprogramowania, które obejmują ograniczenia w zakresie końcowego użytkownika, końcowego przeznaczenia i kraju przeznaczenia. Więcej informacji na temat ograniczeń eksportowych można znaleźć na stronie </w:t>
      </w:r>
      <w:hyperlink r:id="rId16" w:history="1">
        <w:r w:rsidRPr="00117D03">
          <w:rPr>
            <w:rFonts w:eastAsia="Tahoma"/>
            <w:bCs w:val="0"/>
            <w:color w:val="0000FF"/>
            <w:u w:val="single"/>
            <w:lang w:val="pl-PL"/>
          </w:rPr>
          <w:t>https://aka.ms/exporting</w:t>
        </w:r>
      </w:hyperlink>
      <w:r w:rsidRPr="00117D03">
        <w:rPr>
          <w:rFonts w:eastAsia="Tahoma"/>
          <w:bCs w:val="0"/>
          <w:lang w:val="pl-PL"/>
        </w:rPr>
        <w:t>.</w:t>
      </w:r>
    </w:p>
    <w:p w14:paraId="7524A14C" w14:textId="1BDB78CD" w:rsidR="00F15EA7" w:rsidRPr="00117D03" w:rsidRDefault="002671E4" w:rsidP="00791E1C">
      <w:pPr>
        <w:pStyle w:val="Heading1"/>
        <w:numPr>
          <w:ilvl w:val="0"/>
          <w:numId w:val="13"/>
        </w:numPr>
        <w:rPr>
          <w:b/>
          <w:lang w:val="pl-PL"/>
        </w:rPr>
      </w:pPr>
      <w:r w:rsidRPr="00117D03">
        <w:rPr>
          <w:rFonts w:eastAsia="Tahoma"/>
          <w:b/>
          <w:lang w:val="pl-PL"/>
        </w:rPr>
        <w:t>USŁUGI POMOCY TECHNICZNEJ.</w:t>
      </w:r>
      <w:r w:rsidRPr="00117D03">
        <w:rPr>
          <w:rFonts w:eastAsia="Tahoma"/>
          <w:bCs w:val="0"/>
          <w:lang w:val="pl-PL"/>
        </w:rPr>
        <w:t xml:space="preserve"> Niniejsza umowa nie zobowiązuje Microsoft do świadczenia jakichkolwiek usług pomocy technicznej dla oprogramowania. Ewentualna pomoc jest dostarczana w stanie „takim, w jakim jest”, „ze wszystkimi wadami” i bez jakichkolwiek rękojmi czy gwarancji.</w:t>
      </w:r>
    </w:p>
    <w:p w14:paraId="37EAD75A" w14:textId="1C4DF08C" w:rsidR="007277D6" w:rsidRPr="00117D03" w:rsidRDefault="002671E4" w:rsidP="00791E1C">
      <w:pPr>
        <w:pStyle w:val="Heading1"/>
        <w:numPr>
          <w:ilvl w:val="0"/>
          <w:numId w:val="13"/>
        </w:numPr>
        <w:rPr>
          <w:rFonts w:eastAsia="Times New Roman"/>
        </w:rPr>
      </w:pPr>
      <w:bookmarkStart w:id="10" w:name="OLE_LINK5"/>
      <w:bookmarkStart w:id="11" w:name="OLE_LINK6"/>
      <w:r w:rsidRPr="00117D03">
        <w:rPr>
          <w:rFonts w:eastAsia="Tahoma"/>
          <w:b/>
          <w:lang w:val="pl-PL"/>
        </w:rPr>
        <w:t xml:space="preserve">WIĄŻĄCE POSTĘPOWANIE POLUBOWNE I ZRZECZENIE SIĘ WYKONANIA PRAWA DO WYTOCZENIA POZWU ZBIOROWEGO DRUGIEJ STRONIE UMOWY. Ten punkt ma zastosowanie do Licencjobiorcy, który mieszka (albo jest przedsiębiorstwem z głównym miejscem prowadzenia działalności) w Stanach Zjednoczonych. </w:t>
      </w:r>
      <w:r w:rsidRPr="00117D03">
        <w:rPr>
          <w:rFonts w:eastAsia="Tahoma"/>
          <w:bCs w:val="0"/>
          <w:lang w:val="pl-PL"/>
        </w:rPr>
        <w:t xml:space="preserve">W przypadku wystąpienia sporu między Licencjobiorcą a Microsoft obie strony wyrażają zgodę na podjęcie próby jego rozwiązania w drodze nieformalnych negocjacji w ciągu 60 dni. Jeśli okaże się to niemożliwe, Licencjobiorca i Microsoft </w:t>
      </w:r>
      <w:r w:rsidRPr="00117D03">
        <w:rPr>
          <w:rFonts w:eastAsia="Tahoma"/>
          <w:b/>
          <w:lang w:val="pl-PL"/>
        </w:rPr>
        <w:t>wyrażają zgodę na indywidualne wiążące postępowanie polubowne prowadzone przez American Arbitration Association zgodnie z federalną ustawą o arbitrażu (ang. Federal Arbitration Act, FAA)</w:t>
      </w:r>
      <w:r w:rsidRPr="00117D03">
        <w:rPr>
          <w:rFonts w:eastAsia="Tahoma"/>
          <w:bCs w:val="0"/>
          <w:lang w:val="pl-PL"/>
        </w:rPr>
        <w:t xml:space="preserve"> </w:t>
      </w:r>
      <w:r w:rsidRPr="00117D03">
        <w:rPr>
          <w:rFonts w:eastAsia="Tahoma"/>
          <w:b/>
          <w:lang w:val="pl-PL"/>
        </w:rPr>
        <w:t>i zrzekają się prawa do składania pozwów z udziałem lub bez udziału ławy przysięgłych</w:t>
      </w:r>
      <w:r w:rsidRPr="001B0731">
        <w:rPr>
          <w:rFonts w:eastAsia="Tahoma"/>
          <w:b/>
          <w:lang w:val="pl-PL"/>
        </w:rPr>
        <w:t>. Spór zostanie rozstrzygnięty przez bezstronnego arbitra. Występowanie z pozwami zbiorowymi, w ramach powództwa prywatnego wnoszonego w interesie publicznym (ang. private attorney general action) lub z innymi postępowaniami, w których dowolna ze stron występuje lub zamierza wystąpić w charakterze przedstawiciela, jest zabronione. Nie zezwala się również na łączenie indywidualnych postępowań bez uzyskania na to zgody wszystkich stron.</w:t>
      </w:r>
      <w:r w:rsidRPr="00117D03">
        <w:rPr>
          <w:rFonts w:eastAsia="Tahoma"/>
          <w:bCs w:val="0"/>
          <w:lang w:val="pl-PL"/>
        </w:rPr>
        <w:t xml:space="preserve"> Więcej postanowień zawiera pełna umowa dotycząca postępowania polubownego, która jest dostępna na stronie </w:t>
      </w:r>
      <w:hyperlink r:id="rId17" w:history="1">
        <w:r w:rsidR="002B38EF">
          <w:rPr>
            <w:rFonts w:eastAsia="Tahoma"/>
            <w:bCs w:val="0"/>
            <w:color w:val="0000FF"/>
            <w:u w:val="single"/>
            <w:lang w:val="pl-PL"/>
          </w:rPr>
          <w:t>https://aka.ms/arb-agreement-4</w:t>
        </w:r>
      </w:hyperlink>
      <w:r w:rsidRPr="00117D03">
        <w:rPr>
          <w:rFonts w:eastAsia="Tahoma"/>
          <w:bCs w:val="0"/>
          <w:lang w:val="pl-PL"/>
        </w:rPr>
        <w:t>. Licencjobiorca i Microsoft zgadzają się przestrzegać tych postanowień.</w:t>
      </w:r>
    </w:p>
    <w:bookmarkEnd w:id="10"/>
    <w:bookmarkEnd w:id="11"/>
    <w:p w14:paraId="194CC803" w14:textId="35D3774D" w:rsidR="00F15EA7" w:rsidRPr="00117D03" w:rsidRDefault="002671E4" w:rsidP="00791E1C">
      <w:pPr>
        <w:pStyle w:val="Heading1"/>
        <w:numPr>
          <w:ilvl w:val="0"/>
          <w:numId w:val="13"/>
        </w:numPr>
        <w:rPr>
          <w:lang w:val="pl-PL"/>
        </w:rPr>
      </w:pPr>
      <w:r w:rsidRPr="00117D03">
        <w:rPr>
          <w:rFonts w:eastAsia="Tahoma"/>
          <w:b/>
          <w:lang w:val="pl-PL"/>
        </w:rPr>
        <w:t>CAŁOŚĆ UMOWY</w:t>
      </w:r>
      <w:r w:rsidRPr="00117D03">
        <w:rPr>
          <w:rFonts w:eastAsia="Tahoma"/>
          <w:bCs w:val="0"/>
          <w:lang w:val="pl-PL"/>
        </w:rPr>
        <w:t>. Niniejsza umowa oraz wszelkie postanowienia, które Microsoft może przedstawić w odniesieniu do uzupełnień, aktualizacji lub aplikacji innych firm, stanowią całość umowy dotyczącej oprogramowania.</w:t>
      </w:r>
    </w:p>
    <w:p w14:paraId="31A1E80B" w14:textId="0001B427" w:rsidR="00F15EA7" w:rsidRPr="00117D03" w:rsidRDefault="002671E4" w:rsidP="00E44B65">
      <w:pPr>
        <w:pStyle w:val="Heading1"/>
        <w:numPr>
          <w:ilvl w:val="0"/>
          <w:numId w:val="13"/>
        </w:numPr>
        <w:rPr>
          <w:b/>
          <w:lang w:val="pl-PL"/>
        </w:rPr>
      </w:pPr>
      <w:bookmarkStart w:id="12" w:name="OLE_LINK170"/>
      <w:bookmarkStart w:id="13" w:name="OLE_LINK171"/>
      <w:r w:rsidRPr="00117D03">
        <w:rPr>
          <w:rFonts w:eastAsia="Tahoma"/>
          <w:b/>
          <w:lang w:val="pl-PL"/>
        </w:rPr>
        <w:t>PRAWO WŁAŚCIWE I MIEJSCE ROZSTRZYGANIA SPORÓW.</w:t>
      </w:r>
      <w:r w:rsidR="00612588">
        <w:rPr>
          <w:rFonts w:eastAsia="Tahoma"/>
          <w:b/>
          <w:lang w:val="pl-PL"/>
        </w:rPr>
        <w:t xml:space="preserve"> </w:t>
      </w:r>
      <w:r w:rsidRPr="00117D03">
        <w:rPr>
          <w:rFonts w:eastAsia="Tahoma"/>
          <w:bCs w:val="0"/>
          <w:lang w:val="pl-PL"/>
        </w:rPr>
        <w:t>Jeśli Licencjobiorca nabył oprogramowanie w Stanach Zjednoczonych albo Kanadzie, prawem właściwym dla wykładni postanowień niniejszej umowy, rozpatrywania roszczeń z tytułu ich naruszenia oraz wszelkich innych roszczeń (w tym roszczeń z tytułu ochrony konsumenta, nieuczciwej konkurencji i czynów niedozwolonych) jest prawo stanu albo prowincji, w których znajduje się miejsce zamieszkania Licencjobiorcy (albo, jeśli Licencjobiorca jest przedsiębiorstwem, główne miejsce prowadzenia działalności), bez względu na przyjęte w tym prawie normy prawa kolizyjnego. Wyjątek stanowi postępowanie polubowne, które jest regulowane ustawą FAA. Jeśli Licencjobiorca nabył oprogramowanie w innym kraju, prawem właściwym dla umowy jest prawo obowiązujące w tym kraju.</w:t>
      </w:r>
      <w:bookmarkStart w:id="14" w:name="OLE_LINK172"/>
      <w:bookmarkStart w:id="15" w:name="OLE_LINK173"/>
      <w:r w:rsidRPr="00117D03">
        <w:rPr>
          <w:rFonts w:eastAsia="Tahoma"/>
          <w:bCs w:val="0"/>
          <w:lang w:val="pl-PL"/>
        </w:rPr>
        <w:t xml:space="preserve"> Wyjątek stanowi postępowanie polubowne, które jest regulowane ustawą FAA</w:t>
      </w:r>
      <w:bookmarkEnd w:id="14"/>
      <w:bookmarkEnd w:id="15"/>
      <w:r w:rsidRPr="00117D03">
        <w:rPr>
          <w:rFonts w:eastAsia="Tahoma"/>
          <w:bCs w:val="0"/>
          <w:lang w:val="pl-PL"/>
        </w:rPr>
        <w:t>. Jeśli ma zastosowanie jurysdykcja federalna w Stanach Zjednoczonych, Licencjobiorca i Microsoft zgadzają się, aby w przypadku wszelkich sporów rozstrzyganych przez sąd (z wyłączeniem postępowania polubownego) sądem właściwym rzeczowo i miejscowo był sąd federalny w King County w stanie Waszyngton. W przeciwnym razie Licencjobiorca i Microsoft zgadzają się, aby w przypadku wszelkich sporów rozstrzyganych przez sąd sądem właściwym rzeczowo i miejscowo był wyłącznie Sąd Najwyższy King County w stanie Waszyngton (z wyłączeniem arbitrażu).</w:t>
      </w:r>
    </w:p>
    <w:p w14:paraId="70F3046E" w14:textId="4242DEC5" w:rsidR="006E477F" w:rsidRPr="00117D03" w:rsidRDefault="002671E4" w:rsidP="00791E1C">
      <w:pPr>
        <w:pStyle w:val="Heading1"/>
        <w:numPr>
          <w:ilvl w:val="0"/>
          <w:numId w:val="13"/>
        </w:numPr>
        <w:rPr>
          <w:b/>
          <w:lang w:val="pl-PL"/>
        </w:rPr>
      </w:pPr>
      <w:r w:rsidRPr="00117D03">
        <w:rPr>
          <w:rFonts w:eastAsia="Tahoma"/>
          <w:b/>
          <w:lang w:val="pl-PL"/>
        </w:rPr>
        <w:t>PRAWA KONSUMENTA — RÓŻNICE REGIONALNE.</w:t>
      </w:r>
      <w:r w:rsidRPr="00117D03">
        <w:rPr>
          <w:rFonts w:eastAsia="Tahoma"/>
          <w:bCs w:val="0"/>
          <w:lang w:val="pl-PL"/>
        </w:rPr>
        <w:t xml:space="preserve"> W niniejszej umowie zostały przedstawione niektóre z praw przysługujących stronom. Licencjobiorcy mogą przysługiwać inne uprawnienia, w tym uprawnienia konsumenta, na mocy przepisów prawa obowiązujących w stanie, prowincji lub kraju Licencjobiorcy. Niezależnie od charakteru relacji Licencjobiorcy z Microsoft, Licencjobiorcy mogą też przysługiwać określone uprawnienia względem strony, od której nabył oprogramowanie. Niniejsza umowa nie zmienia tych uprawnień, jeśli przepisy prawa obowiązujące w stanie, prowincji, lub kraju Licencjobiorcy nie zezwalają na takie zmiany. Na przykład jeśli Licencjobiorca nabył oprogramowanie w jednym z poniższych regionów lub w przypadku, gdy zastosowanie ma obowiązkowe prawo krajowe, wówczas Licencjobiorca podlega poniższym postanowieniom:</w:t>
      </w:r>
    </w:p>
    <w:p w14:paraId="35FDEA05" w14:textId="49CE7CAF" w:rsidR="006E477F" w:rsidRPr="00117D03" w:rsidRDefault="002671E4" w:rsidP="00791E1C">
      <w:pPr>
        <w:pStyle w:val="Heading2"/>
        <w:numPr>
          <w:ilvl w:val="0"/>
          <w:numId w:val="17"/>
        </w:numPr>
        <w:rPr>
          <w:lang w:val="pl-PL"/>
        </w:rPr>
      </w:pPr>
      <w:r w:rsidRPr="00117D03">
        <w:rPr>
          <w:rFonts w:eastAsia="Tahoma"/>
          <w:b/>
          <w:lang w:val="pl-PL"/>
        </w:rPr>
        <w:t>Australia.</w:t>
      </w:r>
      <w:r w:rsidRPr="00117D03">
        <w:rPr>
          <w:rFonts w:eastAsia="Tahoma"/>
          <w:bCs w:val="0"/>
          <w:lang w:val="pl-PL"/>
        </w:rPr>
        <w:t xml:space="preserve"> Australijska ustawa o ochronie konsumentów (Australian Consumer Law) przyznaje Licencjobiorcy określone gwarancje i żadne z zawartych w niniejszej umowie postanowień nie ma na celu ograniczenia tych uprawnień.</w:t>
      </w:r>
    </w:p>
    <w:p w14:paraId="6907979B" w14:textId="2C0A0A05" w:rsidR="006E477F" w:rsidRPr="00117D03" w:rsidRDefault="002671E4" w:rsidP="00791E1C">
      <w:pPr>
        <w:pStyle w:val="Heading2"/>
        <w:numPr>
          <w:ilvl w:val="0"/>
          <w:numId w:val="17"/>
        </w:numPr>
        <w:rPr>
          <w:lang w:val="pl-PL"/>
        </w:rPr>
      </w:pPr>
      <w:r w:rsidRPr="00117D03">
        <w:rPr>
          <w:rFonts w:eastAsia="Tahoma"/>
          <w:b/>
          <w:lang w:val="pl-PL"/>
        </w:rPr>
        <w:t>Kanada.</w:t>
      </w:r>
      <w:r w:rsidRPr="00117D03">
        <w:rPr>
          <w:rFonts w:eastAsia="Tahoma"/>
          <w:bCs w:val="0"/>
          <w:lang w:val="pl-PL"/>
        </w:rPr>
        <w:t xml:space="preserve"> Jeśli Licencjobiorca nabył oprogramowanie w Kanadzie i nie chce już otrzymywać aktualizacji, może wyłączyć funkcję automatycznej aktualizacji, odłączyć swoje urządzenie od Internetu (w takim jednak przypadku po ponownym podłączeniu urządzenia do Internetu oprogramowanie wznowi wyszukiwanie i instalowanie aktualizacji) albo odinstalować oprogramowanie. Ewentualna dokumentacja produktu może także zawierać informacje na temat sposobu wyłączania funkcji aktualizacji w danym urządzeniu Licencjobiorcy lub w oprogramowaniu.</w:t>
      </w:r>
    </w:p>
    <w:p w14:paraId="635014AF" w14:textId="182F1E96" w:rsidR="006E477F" w:rsidRPr="00117D03" w:rsidRDefault="002671E4" w:rsidP="00791E1C">
      <w:pPr>
        <w:pStyle w:val="Heading2"/>
        <w:numPr>
          <w:ilvl w:val="0"/>
          <w:numId w:val="17"/>
        </w:numPr>
      </w:pPr>
      <w:r w:rsidRPr="00117D03">
        <w:rPr>
          <w:rFonts w:eastAsia="Tahoma"/>
          <w:b/>
          <w:lang w:val="pl-PL"/>
        </w:rPr>
        <w:t>Niemcy i Austria</w:t>
      </w:r>
      <w:r w:rsidRPr="00117D03">
        <w:rPr>
          <w:rFonts w:eastAsia="Tahoma"/>
          <w:bCs w:val="0"/>
          <w:lang w:val="pl-PL"/>
        </w:rPr>
        <w:t>.</w:t>
      </w:r>
    </w:p>
    <w:p w14:paraId="123675B0" w14:textId="7D4437A6" w:rsidR="006E477F" w:rsidRPr="00117D03" w:rsidRDefault="002671E4" w:rsidP="002D6D1E">
      <w:pPr>
        <w:ind w:left="1080" w:hanging="363"/>
        <w:rPr>
          <w:b w:val="0"/>
          <w:lang w:val="pl-PL"/>
        </w:rPr>
      </w:pPr>
      <w:r w:rsidRPr="00117D03">
        <w:rPr>
          <w:rFonts w:eastAsia="Tahoma"/>
          <w:bCs/>
          <w:lang w:val="pl-PL"/>
        </w:rPr>
        <w:t>i.</w:t>
      </w:r>
      <w:r w:rsidRPr="00117D03">
        <w:rPr>
          <w:rFonts w:eastAsia="Tahoma"/>
          <w:bCs/>
          <w:lang w:val="pl-PL"/>
        </w:rPr>
        <w:tab/>
        <w:t>Rękojmia</w:t>
      </w:r>
      <w:r w:rsidRPr="00117D03">
        <w:rPr>
          <w:rFonts w:eastAsia="Tahoma"/>
          <w:b w:val="0"/>
          <w:lang w:val="pl-PL"/>
        </w:rPr>
        <w:t>. Oprogramowanie objęte właściwą licencją będzie działać zasadniczo zgodnie z opisem znajdującym się we wszelkich materiałach Microsoft towarzyszących oprogramowaniu. Jednakże Microsoft nie udziela żadnych innych umownych gwarancji ani zapewnień dotyczących licencjonowanego oprogramowania.</w:t>
      </w:r>
    </w:p>
    <w:p w14:paraId="4E4D9AEE" w14:textId="5539FE47" w:rsidR="006E477F" w:rsidRPr="00117D03" w:rsidRDefault="002671E4" w:rsidP="002D6D1E">
      <w:pPr>
        <w:ind w:left="1080" w:hanging="363"/>
        <w:rPr>
          <w:b w:val="0"/>
          <w:lang w:val="pl-PL"/>
        </w:rPr>
      </w:pPr>
      <w:r w:rsidRPr="00117D03">
        <w:rPr>
          <w:rFonts w:eastAsia="Tahoma"/>
          <w:bCs/>
          <w:lang w:val="pl-PL"/>
        </w:rPr>
        <w:t xml:space="preserve">ii. </w:t>
      </w:r>
      <w:r w:rsidRPr="00117D03">
        <w:rPr>
          <w:rFonts w:eastAsia="Tahoma"/>
          <w:bCs/>
          <w:lang w:val="pl-PL"/>
        </w:rPr>
        <w:tab/>
        <w:t xml:space="preserve">Ograniczenie odpowiedzialności. </w:t>
      </w:r>
      <w:r w:rsidRPr="00117D03">
        <w:rPr>
          <w:rFonts w:eastAsia="Tahoma"/>
          <w:b w:val="0"/>
          <w:lang w:val="pl-PL"/>
        </w:rPr>
        <w:t>W przypadku umyślnego działania, rażącego niedbalstwa, roszczeń opartych na Ustawie o odpowiedzialności za produkt oraz w przypadku śmierci lub uszczerbku na zdrowiu Microsoft ponosi odpowiedzialność zgodnie z przepisami bezwzględnie obowiązującymi.</w:t>
      </w:r>
    </w:p>
    <w:p w14:paraId="2B4FB661" w14:textId="5752AAAC" w:rsidR="00F15EA7" w:rsidRPr="00117D03" w:rsidRDefault="002671E4" w:rsidP="002D6D1E">
      <w:pPr>
        <w:pStyle w:val="Heading1"/>
        <w:ind w:left="720"/>
        <w:rPr>
          <w:lang w:val="pl-PL"/>
        </w:rPr>
      </w:pPr>
      <w:r w:rsidRPr="00117D03">
        <w:rPr>
          <w:rFonts w:eastAsia="Tahoma"/>
          <w:lang w:val="pl-PL"/>
        </w:rPr>
        <w:t xml:space="preserve">Z zastrzeżeniem postanowień zawartych w powyższym podpunkcie ii., Microsoft ponosi odpowiedzialność jedynie z tytułu nieznacznego zaniedbania w przypadku niewywiązania się ze swoich istotnych zobowiązań umownych, których naruszenie mogłoby stanowić zagrożenie dla realizacji celu </w:t>
      </w:r>
      <w:r w:rsidRPr="00117D03">
        <w:rPr>
          <w:rFonts w:eastAsia="Tahoma"/>
          <w:lang w:val="pl-PL"/>
        </w:rPr>
        <w:lastRenderedPageBreak/>
        <w:t>niniejszej umowy, a co do wypełnienia których strona może mieć bezwzględne zaufanie (tzw. podstawowe zobowiązania umowne). W innych przypadkach niewielkiego zaniedbania Microsoft nie ponosi za nie odpowiedzialności.</w:t>
      </w:r>
    </w:p>
    <w:p w14:paraId="2C146C8C" w14:textId="11986461" w:rsidR="00F15EA7" w:rsidRPr="00117D03" w:rsidRDefault="002671E4" w:rsidP="00A11479">
      <w:pPr>
        <w:pStyle w:val="Heading1"/>
        <w:numPr>
          <w:ilvl w:val="0"/>
          <w:numId w:val="13"/>
        </w:numPr>
        <w:rPr>
          <w:lang w:val="pl-PL"/>
        </w:rPr>
      </w:pPr>
      <w:r w:rsidRPr="00117D03">
        <w:rPr>
          <w:rFonts w:eastAsia="Tahoma"/>
          <w:b/>
          <w:lang w:val="pl-PL"/>
        </w:rPr>
        <w:t>ODRZUCENIE ODPOWIEDZIALNOŚCI Z TYTUŁU RĘKOJMI I GWARANCJI</w:t>
      </w:r>
      <w:r w:rsidRPr="00117D03">
        <w:rPr>
          <w:rFonts w:eastAsia="Tahoma"/>
          <w:bCs w:val="0"/>
          <w:lang w:val="pl-PL"/>
        </w:rPr>
        <w:t xml:space="preserve">. </w:t>
      </w:r>
      <w:r w:rsidRPr="00117D03">
        <w:rPr>
          <w:rFonts w:eastAsia="Tahoma"/>
          <w:b/>
          <w:lang w:val="pl-PL"/>
        </w:rPr>
        <w:t>LICENCJI UDZIELA SIĘ NA OPROGRAMOWANIE W STANIE „TAKIM, W JAKIM ONO JEST”. LICENCJOBIORCA PONOSI RYZYKO ZWIĄZANE Z UŻYWANIEM OPROGRAMOWANIA. MICROSOFT NIE UDZIELA ŻADNYCH WYRAŹNYCH RĘKOJMI, GWARANCJI ANI ZAPEWNIEŃ DOTYCZĄCYCH OPROGRAMOWANIA. W ZAKRESIE DOZWOLONYM PRZEZ PRAWO WŁAŚCIWE MICROSOFT NINIEJSZYM WYŁĄCZA SWOJĄ ODPOWIEDZIALNOŚĆ Z TYTUŁU WSZELKICH DOROZUMIANYCH RĘKOJMI I GWARANCJI, W TYM RĘKOJMI CO DO WARTOŚCI HANDLOWEJ, PRZYDATNOŚCI DO OKREŚLONEGO CELU ORAZ BRAKU NARUSZEŃ PRAW WŁASNOŚCI INTELEKTUALNEJ</w:t>
      </w:r>
      <w:r w:rsidR="00A11479" w:rsidRPr="00117D03">
        <w:rPr>
          <w:b/>
          <w:lang w:val="pl-PL"/>
        </w:rPr>
        <w:t>.</w:t>
      </w:r>
    </w:p>
    <w:p w14:paraId="26951160" w14:textId="1999CD56" w:rsidR="00F15EA7" w:rsidRPr="00117D03" w:rsidRDefault="002172DE" w:rsidP="002172DE">
      <w:pPr>
        <w:pStyle w:val="Heading1"/>
        <w:numPr>
          <w:ilvl w:val="0"/>
          <w:numId w:val="13"/>
        </w:numPr>
        <w:rPr>
          <w:lang w:val="pl-PL"/>
        </w:rPr>
      </w:pPr>
      <w:r w:rsidR="002671E4" w:rsidRPr="00117D03">
        <w:rPr>
          <w:rFonts w:eastAsia="Tahoma"/>
          <w:b/>
          <w:lang w:val="pl-PL"/>
        </w:rPr>
        <w:t>OGRANICZENIE I WYŁĄCZENIE ODPOWIEDZIALNOŚCI ZA SZKODY.</w:t>
      </w:r>
      <w:r w:rsidR="002671E4" w:rsidRPr="00117D03">
        <w:rPr>
          <w:rFonts w:eastAsia="Tahoma"/>
          <w:bCs w:val="0"/>
          <w:lang w:val="pl-PL"/>
        </w:rPr>
        <w:t xml:space="preserve"> </w:t>
      </w:r>
      <w:r w:rsidR="002671E4" w:rsidRPr="00117D03">
        <w:rPr>
          <w:rFonts w:eastAsia="Tahoma"/>
          <w:b/>
          <w:lang w:val="pl-PL"/>
        </w:rPr>
        <w:t>JEŚLI POMIMO POWYŻSZEGO ODRZUCENIA ODPOWIEDZIALNOŚCI Z TYTUŁU RĘKOJMI I GWARANCJI LICENCJOBIORCA MA PODSTAWĘ PRAWNĄ DO DOCHODZENIA ROSZCZEŃ O ODSZKODOWANIE OD MICROSOFT LUB DOSTAWCÓW MICROSOFT, MOŻE DOCHODZIĆ TAKICH ROSZCZEŃ O ODSZKODOWANIE WYŁĄCZNIE Z TYTUŁU SZKÓD BEZPOŚREDNICH I DO WYSOKOŚCI KWOTY 5,00 USD. LICENCJOBIORCA NIE MOŻE DOCHODZIĆ ROSZCZEŃ Z TYTUŁU ŻADNYCH INNYCH SZKÓD I ODSZKODOWAŃ, W TYM ODSZKODOWAŃ NASTĘPCZYCH, SPECJALNYCH ORAZ SZKÓD WYNIKAJĄCYCH Z UTRATY ZYSKÓW, SZCZEGÓLNYCH, POŚREDNICH ANI UBOCZNYCH.</w:t>
      </w:r>
    </w:p>
    <w:p w14:paraId="3FC85389" w14:textId="1DB7B223" w:rsidR="00F15EA7" w:rsidRPr="00117D03" w:rsidRDefault="002671E4" w:rsidP="00AF3435">
      <w:pPr>
        <w:pStyle w:val="Body1"/>
        <w:ind w:left="360"/>
        <w:rPr>
          <w:lang w:val="pl-PL"/>
        </w:rPr>
      </w:pPr>
      <w:r w:rsidRPr="00117D03">
        <w:rPr>
          <w:rFonts w:eastAsia="Tahoma"/>
          <w:bCs/>
          <w:lang w:val="pl-PL"/>
        </w:rPr>
        <w:t xml:space="preserve">Ograniczenie to ma zastosowanie w przypadku (a) wszelkich kwestii dotyczących oprogramowania, usług, treści (w tym kodu) udostępnianych na stronach internetowych osób trzecich lub aplikacji osób trzecich, a także w przypadku </w:t>
      </w:r>
      <w:bookmarkStart w:id="17" w:name="OLE_LINK76"/>
      <w:bookmarkStart w:id="18" w:name="OLE_LINK77"/>
      <w:r w:rsidRPr="00117D03">
        <w:rPr>
          <w:rFonts w:eastAsia="Tahoma"/>
          <w:bCs/>
          <w:lang w:val="pl-PL"/>
        </w:rPr>
        <w:t xml:space="preserve">(b) </w:t>
      </w:r>
      <w:bookmarkEnd w:id="17"/>
      <w:bookmarkEnd w:id="18"/>
      <w:r w:rsidRPr="00117D03">
        <w:rPr>
          <w:rFonts w:eastAsia="Tahoma"/>
          <w:bCs/>
          <w:lang w:val="pl-PL"/>
        </w:rPr>
        <w:t>roszczeń z tytułu naruszenia umowy, rękojmi, gwarancji, zapewnień, odpowiedzialności obiektywnej, niedbalstwa lub czynu niedozwolonego oraz wszelkich innych roszczeń (w każdym przypadku w zakresie dozwolonym przez prawo właściwe).</w:t>
      </w:r>
    </w:p>
    <w:p w14:paraId="2A48DA17" w14:textId="0AC9E1AE" w:rsidR="009416BA" w:rsidRPr="00117D03" w:rsidRDefault="002671E4" w:rsidP="00AF3435">
      <w:pPr>
        <w:pStyle w:val="Body1"/>
        <w:ind w:left="360"/>
        <w:rPr>
          <w:lang w:val="pl-PL"/>
        </w:rPr>
      </w:pPr>
      <w:r w:rsidRPr="00117D03">
        <w:rPr>
          <w:rFonts w:eastAsia="Tahoma"/>
          <w:bCs/>
          <w:lang w:val="pl-PL"/>
        </w:rPr>
        <w:t>Ograniczenie to ma zastosowanie także w przypadku, gdy spółka Microsoft wiedziała lub powinna była wiedzieć o możliwości powstania takich szkód. Powyższe ograniczenie lub wyłączenie może nie dotyczyć Licencjobiorcy w przypadku, gdy na mocy przepisów prawa obowiązującego w stanie, prowincji lub kraju Licencjobiorcy nie jest dozwolone wyłączenie lub ograniczenie odpowiedzialności za szkody uboczne, wtórne itp.</w:t>
      </w:r>
    </w:p>
    <w:p w14:paraId="153A11F3" w14:textId="77777777" w:rsidR="00FF37C7" w:rsidRPr="00117D03" w:rsidRDefault="00FF37C7" w:rsidP="005F3AE8">
      <w:pPr>
        <w:pStyle w:val="Heading2"/>
      </w:pPr>
    </w:p>
    <w:sectPr w:rsidR="00FF37C7" w:rsidRPr="00117D03" w:rsidSect="00FA1A32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 w:code="1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71E740" w14:textId="77777777" w:rsidR="00D953F8" w:rsidRDefault="00D953F8">
      <w:pPr>
        <w:spacing w:before="0" w:after="0"/>
      </w:pPr>
      <w:r>
        <w:separator/>
      </w:r>
    </w:p>
  </w:endnote>
  <w:endnote w:type="continuationSeparator" w:id="0">
    <w:p w14:paraId="3C089D4B" w14:textId="77777777" w:rsidR="00D953F8" w:rsidRDefault="00D953F8">
      <w:pPr>
        <w:spacing w:before="0" w:after="0"/>
      </w:pPr>
      <w:r>
        <w:continuationSeparator/>
      </w:r>
    </w:p>
  </w:endnote>
  <w:endnote w:type="continuationNotice" w:id="1">
    <w:p w14:paraId="29CDD0E8" w14:textId="77777777" w:rsidR="00A950A0" w:rsidRDefault="00A950A0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altName w:val="Univer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altName w:val="?? ??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23FF01" w14:textId="77777777" w:rsidR="00E77A6E" w:rsidRDefault="002671E4" w:rsidP="005F3AE8">
    <w:pPr>
      <w:pStyle w:val="Footer"/>
    </w:pPr>
    <w:r>
      <w:rPr>
        <w:rStyle w:val="DocID"/>
        <w:rFonts w:eastAsia="Times New Roman"/>
        <w:bCs/>
        <w:szCs w:val="16"/>
        <w:lang w:val="pl-PL"/>
      </w:rPr>
      <w:t>DWT 28909257v1 0085000-001126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3B7A3F" w14:textId="77777777" w:rsidR="00761150" w:rsidRDefault="0076115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C3899" w14:textId="77777777" w:rsidR="00E77A6E" w:rsidRDefault="002671E4" w:rsidP="005F3AE8">
    <w:pPr>
      <w:pStyle w:val="Footer"/>
    </w:pPr>
    <w:r>
      <w:rPr>
        <w:rStyle w:val="DocID"/>
        <w:rFonts w:eastAsia="Times New Roman"/>
        <w:bCs/>
        <w:szCs w:val="16"/>
        <w:lang w:val="pl-PL"/>
      </w:rPr>
      <w:t>DWT 28909257v1 0085000-001126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41BCAA" w14:textId="77777777" w:rsidR="00D953F8" w:rsidRDefault="00D953F8">
      <w:pPr>
        <w:spacing w:before="0" w:after="0"/>
      </w:pPr>
      <w:r>
        <w:separator/>
      </w:r>
    </w:p>
  </w:footnote>
  <w:footnote w:type="continuationSeparator" w:id="0">
    <w:p w14:paraId="5437E8D9" w14:textId="77777777" w:rsidR="00D953F8" w:rsidRDefault="00D953F8">
      <w:pPr>
        <w:spacing w:before="0" w:after="0"/>
      </w:pPr>
      <w:r>
        <w:continuationSeparator/>
      </w:r>
    </w:p>
  </w:footnote>
  <w:footnote w:type="continuationNotice" w:id="1">
    <w:p w14:paraId="4CCA6D4E" w14:textId="77777777" w:rsidR="00A950A0" w:rsidRDefault="00A950A0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93E749" w14:textId="77777777" w:rsidR="00761150" w:rsidRDefault="0076115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A7CB15" w14:textId="77777777" w:rsidR="00761150" w:rsidRDefault="0076115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7D7539" w14:textId="77777777" w:rsidR="00761150" w:rsidRDefault="007611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B2B7A"/>
    <w:multiLevelType w:val="hybridMultilevel"/>
    <w:tmpl w:val="0A84B212"/>
    <w:lvl w:ilvl="0" w:tplc="A64C2712">
      <w:start w:val="1"/>
      <w:numFmt w:val="bullet"/>
      <w:pStyle w:val="Bullet9"/>
      <w:lvlText w:val=""/>
      <w:lvlJc w:val="left"/>
      <w:pPr>
        <w:tabs>
          <w:tab w:val="num" w:pos="3223"/>
        </w:tabs>
        <w:ind w:left="3221" w:hanging="358"/>
      </w:pPr>
      <w:rPr>
        <w:rFonts w:ascii="Symbol" w:hAnsi="Symbol" w:hint="default"/>
      </w:rPr>
    </w:lvl>
    <w:lvl w:ilvl="1" w:tplc="536E244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0E607E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A5A43F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A4243F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30CC40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0525F8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CE2C88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0569DD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82190B"/>
    <w:multiLevelType w:val="multilevel"/>
    <w:tmpl w:val="9516D96C"/>
    <w:lvl w:ilvl="0">
      <w:start w:val="1"/>
      <w:numFmt w:val="upperLetter"/>
      <w:pStyle w:val="Heading1Warranty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bCs/>
        <w:i w:val="0"/>
        <w:iCs w:val="0"/>
      </w:rPr>
    </w:lvl>
    <w:lvl w:ilvl="1">
      <w:start w:val="1"/>
      <w:numFmt w:val="decimal"/>
      <w:pStyle w:val="Heading2Warranty"/>
      <w:lvlText w:val="%2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bCs/>
        <w:i w:val="0"/>
        <w:iCs w:val="0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2" w15:restartNumberingAfterBreak="0">
    <w:nsid w:val="17C52789"/>
    <w:multiLevelType w:val="multilevel"/>
    <w:tmpl w:val="536CB714"/>
    <w:lvl w:ilvl="0">
      <w:start w:val="1"/>
      <w:numFmt w:val="bullet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  <w:b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3"/>
      </w:pPr>
      <w:rPr>
        <w:rFonts w:ascii="Trebuchet MS" w:hAnsi="Trebuchet MS" w:cs="Trebuchet MS" w:hint="default"/>
        <w:b/>
        <w:bCs/>
        <w:i w:val="0"/>
        <w:iCs w:val="0"/>
        <w:sz w:val="20"/>
        <w:szCs w:val="20"/>
      </w:rPr>
    </w:lvl>
    <w:lvl w:ilvl="2">
      <w:start w:val="1"/>
      <w:numFmt w:val="lowerRoman"/>
      <w:pStyle w:val="Heading3Bold"/>
      <w:lvlText w:val="%3."/>
      <w:lvlJc w:val="left"/>
      <w:pPr>
        <w:tabs>
          <w:tab w:val="num" w:pos="1440"/>
        </w:tabs>
        <w:ind w:left="1077" w:hanging="357"/>
      </w:pPr>
      <w:rPr>
        <w:rFonts w:ascii="Tahoma" w:hAnsi="Tahoma" w:cs="Tahoma" w:hint="default"/>
        <w:b/>
        <w:bCs/>
        <w:i w:val="0"/>
        <w:iCs w:val="0"/>
        <w:color w:val="auto"/>
        <w:sz w:val="20"/>
        <w:szCs w:val="20"/>
      </w:rPr>
    </w:lvl>
    <w:lvl w:ilvl="3">
      <w:start w:val="1"/>
      <w:numFmt w:val="bullet"/>
      <w:lvlText w:val=""/>
      <w:lvlJc w:val="left"/>
      <w:pPr>
        <w:tabs>
          <w:tab w:val="num" w:pos="1437"/>
        </w:tabs>
        <w:ind w:left="1435" w:hanging="358"/>
      </w:pPr>
      <w:rPr>
        <w:rFonts w:ascii="Symbol" w:hAnsi="Symbol" w:hint="default"/>
        <w:b w:val="0"/>
        <w:i w:val="0"/>
        <w:strike w:val="0"/>
        <w:sz w:val="20"/>
        <w:u w:val="none"/>
      </w:rPr>
    </w:lvl>
    <w:lvl w:ilvl="4">
      <w:start w:val="1"/>
      <w:numFmt w:val="upperRoman"/>
      <w:lvlText w:val="%5."/>
      <w:lvlJc w:val="left"/>
      <w:pPr>
        <w:tabs>
          <w:tab w:val="num" w:pos="2155"/>
        </w:tabs>
        <w:ind w:left="1792" w:hanging="357"/>
      </w:pPr>
      <w:rPr>
        <w:rFonts w:ascii="Trebuchet MS" w:hAnsi="Trebuchet MS" w:cs="Trebuchet MS" w:hint="default"/>
        <w:b w:val="0"/>
        <w:bCs w:val="0"/>
        <w:i w:val="0"/>
        <w:iCs w:val="0"/>
        <w:strike w:val="0"/>
        <w:sz w:val="20"/>
        <w:szCs w:val="20"/>
        <w:u w:val="none"/>
      </w:rPr>
    </w:lvl>
    <w:lvl w:ilvl="5">
      <w:start w:val="1"/>
      <w:numFmt w:val="decimal"/>
      <w:lvlText w:val="%6."/>
      <w:lvlJc w:val="left"/>
      <w:pPr>
        <w:tabs>
          <w:tab w:val="num" w:pos="2152"/>
        </w:tabs>
        <w:ind w:left="2149" w:hanging="357"/>
      </w:pPr>
      <w:rPr>
        <w:rFonts w:ascii="Trebuchet MS" w:hAnsi="Trebuchet MS" w:cs="Trebuchet MS" w:hint="default"/>
        <w:b w:val="0"/>
        <w:bCs w:val="0"/>
        <w:i w:val="0"/>
        <w:iCs w:val="0"/>
        <w:sz w:val="20"/>
        <w:szCs w:val="20"/>
      </w:rPr>
    </w:lvl>
    <w:lvl w:ilvl="6">
      <w:start w:val="1"/>
      <w:numFmt w:val="lowerLetter"/>
      <w:lvlText w:val="%7."/>
      <w:lvlJc w:val="left"/>
      <w:pPr>
        <w:tabs>
          <w:tab w:val="num" w:pos="2509"/>
        </w:tabs>
        <w:ind w:left="2506" w:hanging="357"/>
      </w:pPr>
      <w:rPr>
        <w:rFonts w:ascii="Trebuchet MS" w:hAnsi="Trebuchet MS" w:cs="Trebuchet MS" w:hint="default"/>
        <w:b w:val="0"/>
        <w:bCs w:val="0"/>
        <w:i w:val="0"/>
        <w:iCs w:val="0"/>
        <w:sz w:val="20"/>
        <w:szCs w:val="20"/>
      </w:rPr>
    </w:lvl>
    <w:lvl w:ilvl="7">
      <w:start w:val="1"/>
      <w:numFmt w:val="none"/>
      <w:lvlText w:val="i."/>
      <w:lvlJc w:val="left"/>
      <w:pPr>
        <w:tabs>
          <w:tab w:val="num" w:pos="2866"/>
        </w:tabs>
        <w:ind w:left="2863" w:hanging="357"/>
      </w:pPr>
      <w:rPr>
        <w:rFonts w:ascii="Trebuchet MS" w:hAnsi="Trebuchet MS" w:cs="Trebuchet MS" w:hint="default"/>
        <w:b w:val="0"/>
        <w:bCs w:val="0"/>
        <w:i w:val="0"/>
        <w:iCs w:val="0"/>
        <w:sz w:val="20"/>
        <w:szCs w:val="20"/>
      </w:rPr>
    </w:lvl>
    <w:lvl w:ilvl="8">
      <w:start w:val="1"/>
      <w:numFmt w:val="none"/>
      <w:lvlText w:val="A."/>
      <w:lvlJc w:val="left"/>
      <w:pPr>
        <w:tabs>
          <w:tab w:val="num" w:pos="3223"/>
        </w:tabs>
        <w:ind w:left="3221" w:hanging="358"/>
      </w:pPr>
      <w:rPr>
        <w:rFonts w:ascii="Trebuchet MS" w:hAnsi="Trebuchet MS" w:cs="Trebuchet MS" w:hint="default"/>
        <w:b w:val="0"/>
        <w:bCs w:val="0"/>
        <w:i w:val="0"/>
        <w:iCs w:val="0"/>
        <w:sz w:val="20"/>
        <w:szCs w:val="20"/>
      </w:rPr>
    </w:lvl>
  </w:abstractNum>
  <w:abstractNum w:abstractNumId="3" w15:restartNumberingAfterBreak="0">
    <w:nsid w:val="1C62018D"/>
    <w:multiLevelType w:val="hybridMultilevel"/>
    <w:tmpl w:val="246A3D02"/>
    <w:lvl w:ilvl="0" w:tplc="5586614A">
      <w:start w:val="1"/>
      <w:numFmt w:val="lowerLetter"/>
      <w:lvlText w:val="%1)"/>
      <w:lvlJc w:val="left"/>
      <w:pPr>
        <w:ind w:left="717" w:hanging="360"/>
      </w:pPr>
      <w:rPr>
        <w:b/>
      </w:rPr>
    </w:lvl>
    <w:lvl w:ilvl="1" w:tplc="CF743184">
      <w:start w:val="1"/>
      <w:numFmt w:val="lowerLetter"/>
      <w:lvlText w:val="%2."/>
      <w:lvlJc w:val="left"/>
      <w:pPr>
        <w:ind w:left="1437" w:hanging="360"/>
      </w:pPr>
    </w:lvl>
    <w:lvl w:ilvl="2" w:tplc="F250718C">
      <w:start w:val="1"/>
      <w:numFmt w:val="lowerRoman"/>
      <w:lvlText w:val="%3."/>
      <w:lvlJc w:val="right"/>
      <w:pPr>
        <w:ind w:left="2157" w:hanging="180"/>
      </w:pPr>
    </w:lvl>
    <w:lvl w:ilvl="3" w:tplc="916EC954" w:tentative="1">
      <w:start w:val="1"/>
      <w:numFmt w:val="decimal"/>
      <w:lvlText w:val="%4."/>
      <w:lvlJc w:val="left"/>
      <w:pPr>
        <w:ind w:left="2877" w:hanging="360"/>
      </w:pPr>
    </w:lvl>
    <w:lvl w:ilvl="4" w:tplc="5324DBF0" w:tentative="1">
      <w:start w:val="1"/>
      <w:numFmt w:val="lowerLetter"/>
      <w:lvlText w:val="%5."/>
      <w:lvlJc w:val="left"/>
      <w:pPr>
        <w:ind w:left="3597" w:hanging="360"/>
      </w:pPr>
    </w:lvl>
    <w:lvl w:ilvl="5" w:tplc="2FE6FC88" w:tentative="1">
      <w:start w:val="1"/>
      <w:numFmt w:val="lowerRoman"/>
      <w:lvlText w:val="%6."/>
      <w:lvlJc w:val="right"/>
      <w:pPr>
        <w:ind w:left="4317" w:hanging="180"/>
      </w:pPr>
    </w:lvl>
    <w:lvl w:ilvl="6" w:tplc="959E5294" w:tentative="1">
      <w:start w:val="1"/>
      <w:numFmt w:val="decimal"/>
      <w:lvlText w:val="%7."/>
      <w:lvlJc w:val="left"/>
      <w:pPr>
        <w:ind w:left="5037" w:hanging="360"/>
      </w:pPr>
    </w:lvl>
    <w:lvl w:ilvl="7" w:tplc="5B786644" w:tentative="1">
      <w:start w:val="1"/>
      <w:numFmt w:val="lowerLetter"/>
      <w:lvlText w:val="%8."/>
      <w:lvlJc w:val="left"/>
      <w:pPr>
        <w:ind w:left="5757" w:hanging="360"/>
      </w:pPr>
    </w:lvl>
    <w:lvl w:ilvl="8" w:tplc="D54EB156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4" w15:restartNumberingAfterBreak="0">
    <w:nsid w:val="2B657ECE"/>
    <w:multiLevelType w:val="multilevel"/>
    <w:tmpl w:val="33D031DC"/>
    <w:lvl w:ilvl="0">
      <w:start w:val="1"/>
      <w:numFmt w:val="lowerLetter"/>
      <w:lvlText w:val="%1)"/>
      <w:lvlJc w:val="left"/>
      <w:pPr>
        <w:ind w:left="717" w:hanging="36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ind w:left="1077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437" w:hanging="360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797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57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17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7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37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97" w:hanging="360"/>
      </w:pPr>
      <w:rPr>
        <w:rFonts w:hint="default"/>
      </w:rPr>
    </w:lvl>
  </w:abstractNum>
  <w:abstractNum w:abstractNumId="5" w15:restartNumberingAfterBreak="0">
    <w:nsid w:val="30561481"/>
    <w:multiLevelType w:val="hybridMultilevel"/>
    <w:tmpl w:val="EE525D8A"/>
    <w:lvl w:ilvl="0" w:tplc="EED64114">
      <w:start w:val="1"/>
      <w:numFmt w:val="bullet"/>
      <w:pStyle w:val="Bullet8"/>
      <w:lvlText w:val=""/>
      <w:lvlJc w:val="left"/>
      <w:pPr>
        <w:tabs>
          <w:tab w:val="num" w:pos="2866"/>
        </w:tabs>
        <w:ind w:left="2863" w:hanging="357"/>
      </w:pPr>
      <w:rPr>
        <w:rFonts w:ascii="Symbol" w:hAnsi="Symbol" w:hint="default"/>
      </w:rPr>
    </w:lvl>
    <w:lvl w:ilvl="1" w:tplc="2E5E474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774CE9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0902FC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2A2B23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E7C762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FD2E44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7EA060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89BC5C2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EF7CD3"/>
    <w:multiLevelType w:val="multilevel"/>
    <w:tmpl w:val="306AABD6"/>
    <w:lvl w:ilvl="0">
      <w:start w:val="1"/>
      <w:numFmt w:val="lowerLetter"/>
      <w:lvlText w:val="%1)"/>
      <w:lvlJc w:val="left"/>
      <w:pPr>
        <w:ind w:left="717" w:hanging="360"/>
      </w:pPr>
      <w:rPr>
        <w:b/>
      </w:rPr>
    </w:lvl>
    <w:lvl w:ilvl="1">
      <w:start w:val="1"/>
      <w:numFmt w:val="lowerLetter"/>
      <w:lvlText w:val="%2)"/>
      <w:lvlJc w:val="left"/>
      <w:pPr>
        <w:ind w:left="1077" w:hanging="360"/>
      </w:pPr>
    </w:lvl>
    <w:lvl w:ilvl="2">
      <w:start w:val="1"/>
      <w:numFmt w:val="lowerRoman"/>
      <w:lvlText w:val="%3)"/>
      <w:lvlJc w:val="left"/>
      <w:pPr>
        <w:ind w:left="1437" w:hanging="360"/>
      </w:pPr>
    </w:lvl>
    <w:lvl w:ilvl="3">
      <w:start w:val="1"/>
      <w:numFmt w:val="decimal"/>
      <w:lvlText w:val="(%4)"/>
      <w:lvlJc w:val="left"/>
      <w:pPr>
        <w:ind w:left="1797" w:hanging="360"/>
      </w:pPr>
    </w:lvl>
    <w:lvl w:ilvl="4">
      <w:start w:val="1"/>
      <w:numFmt w:val="lowerLetter"/>
      <w:lvlText w:val="(%5)"/>
      <w:lvlJc w:val="left"/>
      <w:pPr>
        <w:ind w:left="2157" w:hanging="360"/>
      </w:pPr>
    </w:lvl>
    <w:lvl w:ilvl="5">
      <w:start w:val="1"/>
      <w:numFmt w:val="lowerRoman"/>
      <w:lvlText w:val="(%6)"/>
      <w:lvlJc w:val="left"/>
      <w:pPr>
        <w:ind w:left="2517" w:hanging="360"/>
      </w:pPr>
    </w:lvl>
    <w:lvl w:ilvl="6">
      <w:start w:val="1"/>
      <w:numFmt w:val="decimal"/>
      <w:lvlText w:val="%7."/>
      <w:lvlJc w:val="left"/>
      <w:pPr>
        <w:ind w:left="2877" w:hanging="360"/>
      </w:pPr>
    </w:lvl>
    <w:lvl w:ilvl="7">
      <w:start w:val="1"/>
      <w:numFmt w:val="lowerLetter"/>
      <w:lvlText w:val="%8."/>
      <w:lvlJc w:val="left"/>
      <w:pPr>
        <w:ind w:left="3237" w:hanging="360"/>
      </w:pPr>
    </w:lvl>
    <w:lvl w:ilvl="8">
      <w:start w:val="1"/>
      <w:numFmt w:val="lowerRoman"/>
      <w:lvlText w:val="%9."/>
      <w:lvlJc w:val="left"/>
      <w:pPr>
        <w:ind w:left="3597" w:hanging="360"/>
      </w:pPr>
    </w:lvl>
  </w:abstractNum>
  <w:abstractNum w:abstractNumId="7" w15:restartNumberingAfterBreak="0">
    <w:nsid w:val="47664814"/>
    <w:multiLevelType w:val="hybridMultilevel"/>
    <w:tmpl w:val="CE6EF494"/>
    <w:lvl w:ilvl="0" w:tplc="CDACB6C0">
      <w:start w:val="1"/>
      <w:numFmt w:val="decimal"/>
      <w:pStyle w:val="Heading2FrenchWarranty"/>
      <w:lvlText w:val="%1."/>
      <w:lvlJc w:val="left"/>
      <w:pPr>
        <w:tabs>
          <w:tab w:val="num" w:pos="360"/>
        </w:tabs>
        <w:ind w:left="720" w:hanging="360"/>
      </w:pPr>
      <w:rPr>
        <w:rFonts w:cs="Times New Roman" w:hint="default"/>
        <w:b/>
        <w:bCs/>
        <w:i w:val="0"/>
        <w:iCs w:val="0"/>
      </w:rPr>
    </w:lvl>
    <w:lvl w:ilvl="1" w:tplc="5F54A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491E6CB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81FAB1F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A0CB2E6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C486D6F4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22481F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49107E18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030AAC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48AF20BF"/>
    <w:multiLevelType w:val="hybridMultilevel"/>
    <w:tmpl w:val="93E2E814"/>
    <w:lvl w:ilvl="0" w:tplc="86C84D1C">
      <w:start w:val="1"/>
      <w:numFmt w:val="bullet"/>
      <w:pStyle w:val="Bullet7"/>
      <w:lvlText w:val=""/>
      <w:lvlJc w:val="left"/>
      <w:pPr>
        <w:tabs>
          <w:tab w:val="num" w:pos="2509"/>
        </w:tabs>
        <w:ind w:left="2506" w:hanging="357"/>
      </w:pPr>
      <w:rPr>
        <w:rFonts w:ascii="Symbol" w:hAnsi="Symbol" w:hint="default"/>
      </w:rPr>
    </w:lvl>
    <w:lvl w:ilvl="1" w:tplc="AFC6E2F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0CAF9F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AF4E07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286EB6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2F44A9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026499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868766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B7C62C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773620"/>
    <w:multiLevelType w:val="multilevel"/>
    <w:tmpl w:val="306AABD6"/>
    <w:lvl w:ilvl="0">
      <w:start w:val="1"/>
      <w:numFmt w:val="lowerLetter"/>
      <w:lvlText w:val="%1)"/>
      <w:lvlJc w:val="left"/>
      <w:pPr>
        <w:ind w:left="717" w:hanging="360"/>
      </w:pPr>
      <w:rPr>
        <w:b/>
      </w:rPr>
    </w:lvl>
    <w:lvl w:ilvl="1">
      <w:start w:val="1"/>
      <w:numFmt w:val="lowerLetter"/>
      <w:lvlText w:val="%2)"/>
      <w:lvlJc w:val="left"/>
      <w:pPr>
        <w:ind w:left="1077" w:hanging="360"/>
      </w:pPr>
    </w:lvl>
    <w:lvl w:ilvl="2">
      <w:start w:val="1"/>
      <w:numFmt w:val="lowerRoman"/>
      <w:lvlText w:val="%3)"/>
      <w:lvlJc w:val="left"/>
      <w:pPr>
        <w:ind w:left="1437" w:hanging="360"/>
      </w:pPr>
    </w:lvl>
    <w:lvl w:ilvl="3">
      <w:start w:val="1"/>
      <w:numFmt w:val="decimal"/>
      <w:lvlText w:val="(%4)"/>
      <w:lvlJc w:val="left"/>
      <w:pPr>
        <w:ind w:left="1797" w:hanging="360"/>
      </w:pPr>
    </w:lvl>
    <w:lvl w:ilvl="4">
      <w:start w:val="1"/>
      <w:numFmt w:val="lowerLetter"/>
      <w:lvlText w:val="(%5)"/>
      <w:lvlJc w:val="left"/>
      <w:pPr>
        <w:ind w:left="2157" w:hanging="360"/>
      </w:pPr>
    </w:lvl>
    <w:lvl w:ilvl="5">
      <w:start w:val="1"/>
      <w:numFmt w:val="lowerRoman"/>
      <w:lvlText w:val="(%6)"/>
      <w:lvlJc w:val="left"/>
      <w:pPr>
        <w:ind w:left="2517" w:hanging="360"/>
      </w:pPr>
    </w:lvl>
    <w:lvl w:ilvl="6">
      <w:start w:val="1"/>
      <w:numFmt w:val="decimal"/>
      <w:lvlText w:val="%7."/>
      <w:lvlJc w:val="left"/>
      <w:pPr>
        <w:ind w:left="2877" w:hanging="360"/>
      </w:pPr>
    </w:lvl>
    <w:lvl w:ilvl="7">
      <w:start w:val="1"/>
      <w:numFmt w:val="lowerLetter"/>
      <w:lvlText w:val="%8."/>
      <w:lvlJc w:val="left"/>
      <w:pPr>
        <w:ind w:left="3237" w:hanging="360"/>
      </w:pPr>
    </w:lvl>
    <w:lvl w:ilvl="8">
      <w:start w:val="1"/>
      <w:numFmt w:val="lowerRoman"/>
      <w:lvlText w:val="%9."/>
      <w:lvlJc w:val="left"/>
      <w:pPr>
        <w:ind w:left="3597" w:hanging="360"/>
      </w:pPr>
    </w:lvl>
  </w:abstractNum>
  <w:abstractNum w:abstractNumId="10" w15:restartNumberingAfterBreak="0">
    <w:nsid w:val="5CF4435A"/>
    <w:multiLevelType w:val="hybridMultilevel"/>
    <w:tmpl w:val="1212BE60"/>
    <w:lvl w:ilvl="0" w:tplc="89AE6224">
      <w:start w:val="1"/>
      <w:numFmt w:val="bullet"/>
      <w:pStyle w:val="Bullet4"/>
      <w:lvlText w:val=""/>
      <w:lvlJc w:val="left"/>
      <w:pPr>
        <w:tabs>
          <w:tab w:val="num" w:pos="1437"/>
        </w:tabs>
        <w:ind w:left="1435" w:hanging="358"/>
      </w:pPr>
      <w:rPr>
        <w:rFonts w:ascii="Symbol" w:hAnsi="Symbol" w:hint="default"/>
        <w:color w:val="000000" w:themeColor="text1"/>
      </w:rPr>
    </w:lvl>
    <w:lvl w:ilvl="1" w:tplc="8C9E133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C4A8D1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2869AD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9B26C4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FA4569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9D0F00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0402CB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03CFB1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706D6A"/>
    <w:multiLevelType w:val="hybridMultilevel"/>
    <w:tmpl w:val="D3AA996A"/>
    <w:lvl w:ilvl="0" w:tplc="8EF4B762">
      <w:start w:val="1"/>
      <w:numFmt w:val="bullet"/>
      <w:pStyle w:val="Bullet3"/>
      <w:lvlText w:val=""/>
      <w:lvlJc w:val="left"/>
      <w:pPr>
        <w:tabs>
          <w:tab w:val="num" w:pos="1080"/>
        </w:tabs>
        <w:ind w:left="1077" w:hanging="357"/>
      </w:pPr>
      <w:rPr>
        <w:rFonts w:ascii="Symbol" w:hAnsi="Symbol" w:hint="default"/>
      </w:rPr>
    </w:lvl>
    <w:lvl w:ilvl="1" w:tplc="9B1E417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8BC2E8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16029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E80FCF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30AA63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23CEE1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F023BB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3D8057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8B1BB9"/>
    <w:multiLevelType w:val="multilevel"/>
    <w:tmpl w:val="306AABD6"/>
    <w:lvl w:ilvl="0">
      <w:start w:val="1"/>
      <w:numFmt w:val="lowerLetter"/>
      <w:lvlText w:val="%1)"/>
      <w:lvlJc w:val="left"/>
      <w:pPr>
        <w:ind w:left="717" w:hanging="360"/>
      </w:pPr>
      <w:rPr>
        <w:b/>
      </w:rPr>
    </w:lvl>
    <w:lvl w:ilvl="1">
      <w:start w:val="1"/>
      <w:numFmt w:val="lowerLetter"/>
      <w:lvlText w:val="%2)"/>
      <w:lvlJc w:val="left"/>
      <w:pPr>
        <w:ind w:left="1077" w:hanging="360"/>
      </w:pPr>
    </w:lvl>
    <w:lvl w:ilvl="2">
      <w:start w:val="1"/>
      <w:numFmt w:val="lowerRoman"/>
      <w:lvlText w:val="%3)"/>
      <w:lvlJc w:val="left"/>
      <w:pPr>
        <w:ind w:left="1437" w:hanging="360"/>
      </w:pPr>
    </w:lvl>
    <w:lvl w:ilvl="3">
      <w:start w:val="1"/>
      <w:numFmt w:val="decimal"/>
      <w:lvlText w:val="(%4)"/>
      <w:lvlJc w:val="left"/>
      <w:pPr>
        <w:ind w:left="1797" w:hanging="360"/>
      </w:pPr>
    </w:lvl>
    <w:lvl w:ilvl="4">
      <w:start w:val="1"/>
      <w:numFmt w:val="lowerLetter"/>
      <w:lvlText w:val="(%5)"/>
      <w:lvlJc w:val="left"/>
      <w:pPr>
        <w:ind w:left="2157" w:hanging="360"/>
      </w:pPr>
    </w:lvl>
    <w:lvl w:ilvl="5">
      <w:start w:val="1"/>
      <w:numFmt w:val="lowerRoman"/>
      <w:lvlText w:val="(%6)"/>
      <w:lvlJc w:val="left"/>
      <w:pPr>
        <w:ind w:left="2517" w:hanging="360"/>
      </w:pPr>
    </w:lvl>
    <w:lvl w:ilvl="6">
      <w:start w:val="1"/>
      <w:numFmt w:val="decimal"/>
      <w:lvlText w:val="%7."/>
      <w:lvlJc w:val="left"/>
      <w:pPr>
        <w:ind w:left="2877" w:hanging="360"/>
      </w:pPr>
    </w:lvl>
    <w:lvl w:ilvl="7">
      <w:start w:val="1"/>
      <w:numFmt w:val="lowerLetter"/>
      <w:lvlText w:val="%8."/>
      <w:lvlJc w:val="left"/>
      <w:pPr>
        <w:ind w:left="3237" w:hanging="360"/>
      </w:pPr>
    </w:lvl>
    <w:lvl w:ilvl="8">
      <w:start w:val="1"/>
      <w:numFmt w:val="lowerRoman"/>
      <w:lvlText w:val="%9."/>
      <w:lvlJc w:val="left"/>
      <w:pPr>
        <w:ind w:left="3597" w:hanging="360"/>
      </w:pPr>
    </w:lvl>
  </w:abstractNum>
  <w:abstractNum w:abstractNumId="13" w15:restartNumberingAfterBreak="0">
    <w:nsid w:val="67EF11A2"/>
    <w:multiLevelType w:val="multilevel"/>
    <w:tmpl w:val="A6047122"/>
    <w:lvl w:ilvl="0">
      <w:start w:val="1"/>
      <w:numFmt w:val="decimal"/>
      <w:lvlText w:val="%1."/>
      <w:lvlJc w:val="left"/>
      <w:pPr>
        <w:tabs>
          <w:tab w:val="num" w:pos="360"/>
        </w:tabs>
        <w:ind w:left="357" w:hanging="357"/>
      </w:pPr>
      <w:rPr>
        <w:rFonts w:ascii="Tahoma" w:hAnsi="Tahoma" w:cs="Tahoma" w:hint="default"/>
        <w:b/>
        <w:bCs/>
        <w:i w:val="0"/>
        <w:iCs w:val="0"/>
        <w:sz w:val="20"/>
        <w:szCs w:val="2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3"/>
      </w:pPr>
      <w:rPr>
        <w:rFonts w:hint="default"/>
        <w:b/>
        <w:bCs/>
        <w:i w:val="0"/>
        <w:iCs w:val="0"/>
        <w:sz w:val="20"/>
        <w:szCs w:val="20"/>
      </w:rPr>
    </w:lvl>
    <w:lvl w:ilvl="2">
      <w:start w:val="1"/>
      <w:numFmt w:val="lowerRoman"/>
      <w:pStyle w:val="Heading3"/>
      <w:lvlText w:val="%3."/>
      <w:lvlJc w:val="left"/>
      <w:pPr>
        <w:tabs>
          <w:tab w:val="num" w:pos="1440"/>
        </w:tabs>
        <w:ind w:left="1077" w:hanging="357"/>
      </w:pPr>
      <w:rPr>
        <w:rFonts w:ascii="Tahoma" w:hAnsi="Tahoma" w:cs="Tahoma" w:hint="default"/>
        <w:b/>
        <w:bCs/>
        <w:i w:val="0"/>
        <w:iCs w:val="0"/>
        <w:sz w:val="20"/>
        <w:szCs w:val="20"/>
      </w:rPr>
    </w:lvl>
    <w:lvl w:ilvl="3">
      <w:start w:val="1"/>
      <w:numFmt w:val="upperLetter"/>
      <w:pStyle w:val="Heading4"/>
      <w:lvlText w:val="%4."/>
      <w:lvlJc w:val="left"/>
      <w:pPr>
        <w:tabs>
          <w:tab w:val="num" w:pos="1437"/>
        </w:tabs>
        <w:ind w:left="1435" w:hanging="358"/>
      </w:pPr>
      <w:rPr>
        <w:rFonts w:ascii="Trebuchet MS" w:hAnsi="Trebuchet MS" w:cs="Trebuchet MS" w:hint="default"/>
        <w:b w:val="0"/>
        <w:bCs w:val="0"/>
        <w:i w:val="0"/>
        <w:iCs w:val="0"/>
        <w:strike w:val="0"/>
        <w:sz w:val="20"/>
        <w:szCs w:val="20"/>
        <w:u w:val="none"/>
      </w:rPr>
    </w:lvl>
    <w:lvl w:ilvl="4">
      <w:start w:val="1"/>
      <w:numFmt w:val="upperRoman"/>
      <w:pStyle w:val="Heading5"/>
      <w:lvlText w:val="%5."/>
      <w:lvlJc w:val="left"/>
      <w:pPr>
        <w:tabs>
          <w:tab w:val="num" w:pos="2155"/>
        </w:tabs>
        <w:ind w:left="1792" w:hanging="357"/>
      </w:pPr>
      <w:rPr>
        <w:rFonts w:ascii="Trebuchet MS" w:hAnsi="Trebuchet MS" w:cs="Trebuchet MS" w:hint="default"/>
        <w:b w:val="0"/>
        <w:bCs w:val="0"/>
        <w:i w:val="0"/>
        <w:iCs w:val="0"/>
        <w:strike w:val="0"/>
        <w:sz w:val="20"/>
        <w:szCs w:val="20"/>
        <w:u w:val="none"/>
      </w:rPr>
    </w:lvl>
    <w:lvl w:ilvl="5">
      <w:start w:val="1"/>
      <w:numFmt w:val="decimal"/>
      <w:pStyle w:val="Heading6"/>
      <w:lvlText w:val="%6."/>
      <w:lvlJc w:val="left"/>
      <w:pPr>
        <w:tabs>
          <w:tab w:val="num" w:pos="2152"/>
        </w:tabs>
        <w:ind w:left="2149" w:hanging="357"/>
      </w:pPr>
      <w:rPr>
        <w:rFonts w:ascii="Trebuchet MS" w:hAnsi="Trebuchet MS" w:cs="Trebuchet MS" w:hint="default"/>
        <w:b w:val="0"/>
        <w:bCs w:val="0"/>
        <w:i w:val="0"/>
        <w:iCs w:val="0"/>
        <w:sz w:val="20"/>
        <w:szCs w:val="20"/>
      </w:rPr>
    </w:lvl>
    <w:lvl w:ilvl="6">
      <w:start w:val="1"/>
      <w:numFmt w:val="lowerLetter"/>
      <w:pStyle w:val="Heading7"/>
      <w:lvlText w:val="%7."/>
      <w:lvlJc w:val="left"/>
      <w:pPr>
        <w:tabs>
          <w:tab w:val="num" w:pos="2509"/>
        </w:tabs>
        <w:ind w:left="2506" w:hanging="357"/>
      </w:pPr>
      <w:rPr>
        <w:rFonts w:ascii="Trebuchet MS" w:hAnsi="Trebuchet MS" w:cs="Trebuchet MS" w:hint="default"/>
        <w:b w:val="0"/>
        <w:bCs w:val="0"/>
        <w:i w:val="0"/>
        <w:iCs w:val="0"/>
        <w:sz w:val="20"/>
        <w:szCs w:val="20"/>
      </w:rPr>
    </w:lvl>
    <w:lvl w:ilvl="7">
      <w:start w:val="1"/>
      <w:numFmt w:val="none"/>
      <w:pStyle w:val="Heading8"/>
      <w:lvlText w:val="i."/>
      <w:lvlJc w:val="left"/>
      <w:pPr>
        <w:tabs>
          <w:tab w:val="num" w:pos="2866"/>
        </w:tabs>
        <w:ind w:left="2863" w:hanging="357"/>
      </w:pPr>
      <w:rPr>
        <w:rFonts w:ascii="Trebuchet MS" w:hAnsi="Trebuchet MS" w:cs="Trebuchet MS" w:hint="default"/>
        <w:b w:val="0"/>
        <w:bCs w:val="0"/>
        <w:i w:val="0"/>
        <w:iCs w:val="0"/>
        <w:sz w:val="20"/>
        <w:szCs w:val="20"/>
      </w:rPr>
    </w:lvl>
    <w:lvl w:ilvl="8">
      <w:start w:val="1"/>
      <w:numFmt w:val="none"/>
      <w:pStyle w:val="Heading9"/>
      <w:lvlText w:val="A."/>
      <w:lvlJc w:val="left"/>
      <w:pPr>
        <w:tabs>
          <w:tab w:val="num" w:pos="3223"/>
        </w:tabs>
        <w:ind w:left="3221" w:hanging="358"/>
      </w:pPr>
      <w:rPr>
        <w:rFonts w:ascii="Trebuchet MS" w:hAnsi="Trebuchet MS" w:cs="Trebuchet MS" w:hint="default"/>
        <w:b w:val="0"/>
        <w:bCs w:val="0"/>
        <w:i w:val="0"/>
        <w:iCs w:val="0"/>
        <w:sz w:val="20"/>
        <w:szCs w:val="20"/>
      </w:rPr>
    </w:lvl>
  </w:abstractNum>
  <w:abstractNum w:abstractNumId="14" w15:restartNumberingAfterBreak="0">
    <w:nsid w:val="6AFE66A8"/>
    <w:multiLevelType w:val="hybridMultilevel"/>
    <w:tmpl w:val="F6C449C2"/>
    <w:lvl w:ilvl="0" w:tplc="5204DB9E">
      <w:start w:val="1"/>
      <w:numFmt w:val="upperLetter"/>
      <w:pStyle w:val="HeadingFrenchWarranty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bCs/>
        <w:i w:val="0"/>
        <w:iCs w:val="0"/>
      </w:rPr>
    </w:lvl>
    <w:lvl w:ilvl="1" w:tplc="F4D431F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6A0E1A2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1DCC653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D600484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50DEAFE4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3E34BB8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EAB823A4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C2BC5196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6E2C692F"/>
    <w:multiLevelType w:val="hybridMultilevel"/>
    <w:tmpl w:val="C6AAF6BE"/>
    <w:lvl w:ilvl="0" w:tplc="6E761C9A">
      <w:start w:val="1"/>
      <w:numFmt w:val="bullet"/>
      <w:pStyle w:val="Bullet5"/>
      <w:lvlText w:val=""/>
      <w:lvlJc w:val="left"/>
      <w:pPr>
        <w:tabs>
          <w:tab w:val="num" w:pos="1795"/>
        </w:tabs>
        <w:ind w:left="1792" w:hanging="357"/>
      </w:pPr>
      <w:rPr>
        <w:rFonts w:ascii="Symbol" w:hAnsi="Symbol" w:hint="default"/>
      </w:rPr>
    </w:lvl>
    <w:lvl w:ilvl="1" w:tplc="BBF8C8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A14113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46E9C8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C4EDE8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642851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174491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A880EE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AB0ED8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EB5D14"/>
    <w:multiLevelType w:val="hybridMultilevel"/>
    <w:tmpl w:val="948EA042"/>
    <w:lvl w:ilvl="0" w:tplc="B2EA463E">
      <w:start w:val="1"/>
      <w:numFmt w:val="bullet"/>
      <w:pStyle w:val="Bullet6"/>
      <w:lvlText w:val=""/>
      <w:lvlJc w:val="left"/>
      <w:pPr>
        <w:tabs>
          <w:tab w:val="num" w:pos="2152"/>
        </w:tabs>
        <w:ind w:left="2149" w:hanging="357"/>
      </w:pPr>
      <w:rPr>
        <w:rFonts w:ascii="Symbol" w:hAnsi="Symbol" w:hint="default"/>
      </w:rPr>
    </w:lvl>
    <w:lvl w:ilvl="1" w:tplc="2EACDDD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842934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78E623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B18AC4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573AD8B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47671F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98C81F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05093F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770037"/>
    <w:multiLevelType w:val="hybridMultilevel"/>
    <w:tmpl w:val="46B4BC74"/>
    <w:lvl w:ilvl="0" w:tplc="59128BB8">
      <w:start w:val="1"/>
      <w:numFmt w:val="bullet"/>
      <w:pStyle w:val="Bullet1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  <w:lvl w:ilvl="1" w:tplc="7C484C9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DDE5CB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7F667A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A42B96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094BD3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3DE6D3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C642B9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826CCAD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870403"/>
    <w:multiLevelType w:val="multilevel"/>
    <w:tmpl w:val="306AABD6"/>
    <w:lvl w:ilvl="0">
      <w:start w:val="1"/>
      <w:numFmt w:val="lowerLetter"/>
      <w:lvlText w:val="%1)"/>
      <w:lvlJc w:val="left"/>
      <w:pPr>
        <w:ind w:left="717" w:hanging="360"/>
      </w:pPr>
      <w:rPr>
        <w:b/>
      </w:rPr>
    </w:lvl>
    <w:lvl w:ilvl="1">
      <w:start w:val="1"/>
      <w:numFmt w:val="lowerLetter"/>
      <w:lvlText w:val="%2)"/>
      <w:lvlJc w:val="left"/>
      <w:pPr>
        <w:ind w:left="1077" w:hanging="360"/>
      </w:pPr>
    </w:lvl>
    <w:lvl w:ilvl="2">
      <w:start w:val="1"/>
      <w:numFmt w:val="lowerRoman"/>
      <w:lvlText w:val="%3)"/>
      <w:lvlJc w:val="left"/>
      <w:pPr>
        <w:ind w:left="1437" w:hanging="360"/>
      </w:pPr>
    </w:lvl>
    <w:lvl w:ilvl="3">
      <w:start w:val="1"/>
      <w:numFmt w:val="decimal"/>
      <w:lvlText w:val="(%4)"/>
      <w:lvlJc w:val="left"/>
      <w:pPr>
        <w:ind w:left="1797" w:hanging="360"/>
      </w:pPr>
    </w:lvl>
    <w:lvl w:ilvl="4">
      <w:start w:val="1"/>
      <w:numFmt w:val="lowerLetter"/>
      <w:lvlText w:val="(%5)"/>
      <w:lvlJc w:val="left"/>
      <w:pPr>
        <w:ind w:left="2157" w:hanging="360"/>
      </w:pPr>
    </w:lvl>
    <w:lvl w:ilvl="5">
      <w:start w:val="1"/>
      <w:numFmt w:val="lowerRoman"/>
      <w:lvlText w:val="(%6)"/>
      <w:lvlJc w:val="left"/>
      <w:pPr>
        <w:ind w:left="2517" w:hanging="360"/>
      </w:pPr>
    </w:lvl>
    <w:lvl w:ilvl="6">
      <w:start w:val="1"/>
      <w:numFmt w:val="decimal"/>
      <w:lvlText w:val="%7."/>
      <w:lvlJc w:val="left"/>
      <w:pPr>
        <w:ind w:left="2877" w:hanging="360"/>
      </w:pPr>
    </w:lvl>
    <w:lvl w:ilvl="7">
      <w:start w:val="1"/>
      <w:numFmt w:val="lowerLetter"/>
      <w:lvlText w:val="%8."/>
      <w:lvlJc w:val="left"/>
      <w:pPr>
        <w:ind w:left="3237" w:hanging="360"/>
      </w:pPr>
    </w:lvl>
    <w:lvl w:ilvl="8">
      <w:start w:val="1"/>
      <w:numFmt w:val="lowerRoman"/>
      <w:lvlText w:val="%9."/>
      <w:lvlJc w:val="left"/>
      <w:pPr>
        <w:ind w:left="3597" w:hanging="360"/>
      </w:pPr>
    </w:lvl>
  </w:abstractNum>
  <w:num w:numId="1" w16cid:durableId="524710847">
    <w:abstractNumId w:val="17"/>
  </w:num>
  <w:num w:numId="2" w16cid:durableId="189757598">
    <w:abstractNumId w:val="11"/>
  </w:num>
  <w:num w:numId="3" w16cid:durableId="1869024547">
    <w:abstractNumId w:val="10"/>
  </w:num>
  <w:num w:numId="4" w16cid:durableId="110100802">
    <w:abstractNumId w:val="15"/>
  </w:num>
  <w:num w:numId="5" w16cid:durableId="499464440">
    <w:abstractNumId w:val="16"/>
  </w:num>
  <w:num w:numId="6" w16cid:durableId="1568564306">
    <w:abstractNumId w:val="8"/>
  </w:num>
  <w:num w:numId="7" w16cid:durableId="641884343">
    <w:abstractNumId w:val="5"/>
  </w:num>
  <w:num w:numId="8" w16cid:durableId="1041831280">
    <w:abstractNumId w:val="0"/>
  </w:num>
  <w:num w:numId="9" w16cid:durableId="943610655">
    <w:abstractNumId w:val="1"/>
  </w:num>
  <w:num w:numId="10" w16cid:durableId="1492020518">
    <w:abstractNumId w:val="14"/>
  </w:num>
  <w:num w:numId="11" w16cid:durableId="1799297085">
    <w:abstractNumId w:val="7"/>
  </w:num>
  <w:num w:numId="12" w16cid:durableId="69472346">
    <w:abstractNumId w:val="2"/>
  </w:num>
  <w:num w:numId="13" w16cid:durableId="422528442">
    <w:abstractNumId w:val="13"/>
  </w:num>
  <w:num w:numId="14" w16cid:durableId="1828209852">
    <w:abstractNumId w:val="12"/>
  </w:num>
  <w:num w:numId="15" w16cid:durableId="602222309">
    <w:abstractNumId w:val="9"/>
  </w:num>
  <w:num w:numId="16" w16cid:durableId="1779568998">
    <w:abstractNumId w:val="6"/>
  </w:num>
  <w:num w:numId="17" w16cid:durableId="1626233475">
    <w:abstractNumId w:val="18"/>
  </w:num>
  <w:num w:numId="18" w16cid:durableId="2030637057">
    <w:abstractNumId w:val="4"/>
  </w:num>
  <w:num w:numId="19" w16cid:durableId="491682278">
    <w:abstractNumId w:val="13"/>
  </w:num>
  <w:num w:numId="20" w16cid:durableId="1686714988">
    <w:abstractNumId w:val="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20"/>
  <w:hyphenationZone w:val="425"/>
  <w:doNotHyphenateCaps/>
  <w:drawingGridHorizontalSpacing w:val="95"/>
  <w:displayHorizontalDrawingGridEvery w:val="2"/>
  <w:characterSpacingControl w:val="doNotCompress"/>
  <w:hdrShapeDefaults>
    <o:shapedefaults v:ext="edit" spidmax="10241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41"/>
    <o:shapelayout v:ext="edit">
      <o:idmap v:ext="edit" data="1"/>
    </o:shapelayout>
  </w:shapeDefaults>
  <w:decimalSymbol w:val="."/>
  <w:listSeparator w:val=","/>
  <w14:docId w14:val="1C192070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MS Mincho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rsid w:val="005F3AE8"/>
    <w:pPr>
      <w:spacing w:before="120" w:after="120" w:line="240" w:lineRule="auto"/>
    </w:pPr>
    <w:rPr>
      <w:rFonts w:ascii="Tahoma" w:hAnsi="Tahoma" w:cs="Tahoma"/>
      <w:b/>
      <w:sz w:val="19"/>
      <w:szCs w:val="19"/>
    </w:rPr>
  </w:style>
  <w:style w:type="paragraph" w:styleId="Heading1">
    <w:name w:val="heading 1"/>
    <w:basedOn w:val="Normal"/>
    <w:link w:val="Heading1Char"/>
    <w:uiPriority w:val="99"/>
    <w:qFormat/>
    <w:pPr>
      <w:outlineLvl w:val="0"/>
    </w:pPr>
    <w:rPr>
      <w:b w:val="0"/>
      <w:bCs/>
    </w:rPr>
  </w:style>
  <w:style w:type="paragraph" w:styleId="Heading2">
    <w:name w:val="heading 2"/>
    <w:basedOn w:val="Normal"/>
    <w:link w:val="Heading2Char"/>
    <w:uiPriority w:val="99"/>
    <w:qFormat/>
    <w:pPr>
      <w:outlineLvl w:val="1"/>
    </w:pPr>
    <w:rPr>
      <w:b w:val="0"/>
      <w:bCs/>
    </w:rPr>
  </w:style>
  <w:style w:type="paragraph" w:styleId="Heading3">
    <w:name w:val="heading 3"/>
    <w:basedOn w:val="Normal"/>
    <w:link w:val="Heading3Char"/>
    <w:uiPriority w:val="99"/>
    <w:qFormat/>
    <w:pPr>
      <w:numPr>
        <w:ilvl w:val="2"/>
        <w:numId w:val="13"/>
      </w:numPr>
      <w:tabs>
        <w:tab w:val="left" w:pos="1077"/>
      </w:tabs>
      <w:outlineLvl w:val="2"/>
    </w:pPr>
  </w:style>
  <w:style w:type="paragraph" w:styleId="Heading4">
    <w:name w:val="heading 4"/>
    <w:basedOn w:val="Normal"/>
    <w:link w:val="Heading4Char"/>
    <w:uiPriority w:val="99"/>
    <w:qFormat/>
    <w:pPr>
      <w:numPr>
        <w:ilvl w:val="3"/>
        <w:numId w:val="13"/>
      </w:numPr>
      <w:outlineLvl w:val="3"/>
    </w:pPr>
  </w:style>
  <w:style w:type="paragraph" w:styleId="Heading5">
    <w:name w:val="heading 5"/>
    <w:basedOn w:val="Normal"/>
    <w:link w:val="Heading5Char"/>
    <w:uiPriority w:val="99"/>
    <w:qFormat/>
    <w:pPr>
      <w:numPr>
        <w:ilvl w:val="4"/>
        <w:numId w:val="13"/>
      </w:numPr>
      <w:tabs>
        <w:tab w:val="left" w:pos="1792"/>
      </w:tabs>
      <w:outlineLvl w:val="4"/>
    </w:pPr>
  </w:style>
  <w:style w:type="paragraph" w:styleId="Heading6">
    <w:name w:val="heading 6"/>
    <w:basedOn w:val="Normal"/>
    <w:link w:val="Heading6Char"/>
    <w:uiPriority w:val="99"/>
    <w:qFormat/>
    <w:pPr>
      <w:numPr>
        <w:ilvl w:val="5"/>
        <w:numId w:val="13"/>
      </w:numPr>
      <w:outlineLvl w:val="5"/>
    </w:pPr>
  </w:style>
  <w:style w:type="paragraph" w:styleId="Heading7">
    <w:name w:val="heading 7"/>
    <w:basedOn w:val="Normal"/>
    <w:link w:val="Heading7Char"/>
    <w:uiPriority w:val="99"/>
    <w:qFormat/>
    <w:pPr>
      <w:numPr>
        <w:ilvl w:val="6"/>
        <w:numId w:val="13"/>
      </w:numPr>
      <w:outlineLvl w:val="6"/>
    </w:pPr>
  </w:style>
  <w:style w:type="paragraph" w:styleId="Heading8">
    <w:name w:val="heading 8"/>
    <w:basedOn w:val="Normal"/>
    <w:link w:val="Heading8Char"/>
    <w:uiPriority w:val="99"/>
    <w:qFormat/>
    <w:pPr>
      <w:numPr>
        <w:ilvl w:val="7"/>
        <w:numId w:val="13"/>
      </w:numPr>
      <w:outlineLvl w:val="7"/>
    </w:pPr>
  </w:style>
  <w:style w:type="paragraph" w:styleId="Heading9">
    <w:name w:val="heading 9"/>
    <w:basedOn w:val="Normal"/>
    <w:link w:val="Heading9Char"/>
    <w:uiPriority w:val="99"/>
    <w:qFormat/>
    <w:pPr>
      <w:numPr>
        <w:ilvl w:val="8"/>
        <w:numId w:val="13"/>
      </w:num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Tahoma" w:hAnsi="Tahoma" w:cs="Tahoma"/>
      <w:bCs/>
      <w:sz w:val="19"/>
      <w:szCs w:val="19"/>
    </w:rPr>
  </w:style>
  <w:style w:type="character" w:customStyle="1" w:styleId="Heading2Char">
    <w:name w:val="Heading 2 Char"/>
    <w:basedOn w:val="DefaultParagraphFont"/>
    <w:link w:val="Heading2"/>
    <w:uiPriority w:val="99"/>
    <w:locked/>
    <w:rPr>
      <w:rFonts w:ascii="Tahoma" w:hAnsi="Tahoma" w:cs="Tahoma"/>
      <w:b/>
      <w:bCs/>
      <w:sz w:val="19"/>
      <w:szCs w:val="19"/>
    </w:rPr>
  </w:style>
  <w:style w:type="character" w:customStyle="1" w:styleId="Heading3Char">
    <w:name w:val="Heading 3 Char"/>
    <w:basedOn w:val="DefaultParagraphFont"/>
    <w:link w:val="Heading3"/>
    <w:uiPriority w:val="99"/>
    <w:locked/>
    <w:rPr>
      <w:rFonts w:ascii="Tahoma" w:hAnsi="Tahoma" w:cs="Tahoma"/>
      <w:b/>
      <w:sz w:val="19"/>
      <w:szCs w:val="19"/>
    </w:rPr>
  </w:style>
  <w:style w:type="character" w:customStyle="1" w:styleId="Heading4Char">
    <w:name w:val="Heading 4 Char"/>
    <w:basedOn w:val="DefaultParagraphFont"/>
    <w:link w:val="Heading4"/>
    <w:uiPriority w:val="99"/>
    <w:locked/>
    <w:rPr>
      <w:rFonts w:ascii="Tahoma" w:hAnsi="Tahoma" w:cs="Tahoma"/>
      <w:b/>
      <w:sz w:val="19"/>
      <w:szCs w:val="19"/>
    </w:rPr>
  </w:style>
  <w:style w:type="character" w:customStyle="1" w:styleId="Heading5Char">
    <w:name w:val="Heading 5 Char"/>
    <w:basedOn w:val="DefaultParagraphFont"/>
    <w:link w:val="Heading5"/>
    <w:uiPriority w:val="99"/>
    <w:locked/>
    <w:rPr>
      <w:rFonts w:ascii="Tahoma" w:hAnsi="Tahoma" w:cs="Tahoma"/>
      <w:b/>
      <w:sz w:val="19"/>
      <w:szCs w:val="19"/>
    </w:rPr>
  </w:style>
  <w:style w:type="character" w:customStyle="1" w:styleId="Heading6Char">
    <w:name w:val="Heading 6 Char"/>
    <w:basedOn w:val="DefaultParagraphFont"/>
    <w:link w:val="Heading6"/>
    <w:uiPriority w:val="99"/>
    <w:locked/>
    <w:rPr>
      <w:rFonts w:ascii="Tahoma" w:hAnsi="Tahoma" w:cs="Tahoma"/>
      <w:b/>
      <w:sz w:val="19"/>
      <w:szCs w:val="19"/>
    </w:rPr>
  </w:style>
  <w:style w:type="character" w:customStyle="1" w:styleId="Heading7Char">
    <w:name w:val="Heading 7 Char"/>
    <w:basedOn w:val="DefaultParagraphFont"/>
    <w:link w:val="Heading7"/>
    <w:uiPriority w:val="99"/>
    <w:locked/>
    <w:rPr>
      <w:rFonts w:ascii="Tahoma" w:hAnsi="Tahoma" w:cs="Tahoma"/>
      <w:b/>
      <w:sz w:val="19"/>
      <w:szCs w:val="19"/>
    </w:rPr>
  </w:style>
  <w:style w:type="character" w:customStyle="1" w:styleId="Heading8Char">
    <w:name w:val="Heading 8 Char"/>
    <w:basedOn w:val="DefaultParagraphFont"/>
    <w:link w:val="Heading8"/>
    <w:uiPriority w:val="99"/>
    <w:locked/>
    <w:rPr>
      <w:rFonts w:ascii="Tahoma" w:hAnsi="Tahoma" w:cs="Tahoma"/>
      <w:b/>
      <w:sz w:val="19"/>
      <w:szCs w:val="19"/>
    </w:rPr>
  </w:style>
  <w:style w:type="character" w:customStyle="1" w:styleId="Heading9Char">
    <w:name w:val="Heading 9 Char"/>
    <w:basedOn w:val="DefaultParagraphFont"/>
    <w:link w:val="Heading9"/>
    <w:uiPriority w:val="99"/>
    <w:locked/>
    <w:rPr>
      <w:rFonts w:ascii="Tahoma" w:hAnsi="Tahoma" w:cs="Tahoma"/>
      <w:b/>
      <w:sz w:val="19"/>
      <w:szCs w:val="19"/>
    </w:rPr>
  </w:style>
  <w:style w:type="paragraph" w:customStyle="1" w:styleId="Body1">
    <w:name w:val="Body 1"/>
    <w:basedOn w:val="Normal"/>
    <w:uiPriority w:val="99"/>
  </w:style>
  <w:style w:type="paragraph" w:customStyle="1" w:styleId="Body2">
    <w:name w:val="Body 2"/>
    <w:basedOn w:val="Normal"/>
    <w:uiPriority w:val="99"/>
    <w:pPr>
      <w:ind w:left="720"/>
    </w:pPr>
  </w:style>
  <w:style w:type="paragraph" w:customStyle="1" w:styleId="Body3">
    <w:name w:val="Body 3"/>
    <w:basedOn w:val="Normal"/>
    <w:uiPriority w:val="99"/>
    <w:pPr>
      <w:ind w:left="1077"/>
    </w:pPr>
  </w:style>
  <w:style w:type="paragraph" w:customStyle="1" w:styleId="Body4">
    <w:name w:val="Body 4"/>
    <w:basedOn w:val="Normal"/>
    <w:uiPriority w:val="99"/>
    <w:pPr>
      <w:ind w:left="1435"/>
    </w:pPr>
  </w:style>
  <w:style w:type="paragraph" w:customStyle="1" w:styleId="Body5">
    <w:name w:val="Body 5"/>
    <w:basedOn w:val="Normal"/>
    <w:uiPriority w:val="99"/>
    <w:pPr>
      <w:ind w:left="1803"/>
    </w:pPr>
  </w:style>
  <w:style w:type="paragraph" w:customStyle="1" w:styleId="Body6">
    <w:name w:val="Body 6"/>
    <w:basedOn w:val="Normal"/>
    <w:uiPriority w:val="99"/>
    <w:pPr>
      <w:ind w:left="2160"/>
    </w:pPr>
  </w:style>
  <w:style w:type="paragraph" w:customStyle="1" w:styleId="Body7">
    <w:name w:val="Body 7"/>
    <w:basedOn w:val="Normal"/>
    <w:uiPriority w:val="99"/>
    <w:pPr>
      <w:ind w:left="2506"/>
    </w:pPr>
  </w:style>
  <w:style w:type="paragraph" w:customStyle="1" w:styleId="Body8">
    <w:name w:val="Body 8"/>
    <w:basedOn w:val="Normal"/>
    <w:uiPriority w:val="99"/>
    <w:pPr>
      <w:ind w:left="2863"/>
    </w:pPr>
  </w:style>
  <w:style w:type="paragraph" w:customStyle="1" w:styleId="Body9">
    <w:name w:val="Body 9"/>
    <w:basedOn w:val="Normal"/>
    <w:uiPriority w:val="99"/>
    <w:pPr>
      <w:ind w:left="3221"/>
    </w:pPr>
  </w:style>
  <w:style w:type="paragraph" w:customStyle="1" w:styleId="Bullet1">
    <w:name w:val="Bullet 1"/>
    <w:basedOn w:val="Normal"/>
    <w:uiPriority w:val="99"/>
    <w:pPr>
      <w:numPr>
        <w:numId w:val="1"/>
      </w:numPr>
    </w:pPr>
  </w:style>
  <w:style w:type="paragraph" w:customStyle="1" w:styleId="Bullet2">
    <w:name w:val="Bullet 2"/>
    <w:basedOn w:val="Normal"/>
    <w:uiPriority w:val="99"/>
  </w:style>
  <w:style w:type="paragraph" w:customStyle="1" w:styleId="Bullet3">
    <w:name w:val="Bullet 3"/>
    <w:basedOn w:val="Normal"/>
    <w:link w:val="Bullet3Char1"/>
    <w:uiPriority w:val="99"/>
    <w:pPr>
      <w:numPr>
        <w:numId w:val="2"/>
      </w:numPr>
    </w:pPr>
  </w:style>
  <w:style w:type="paragraph" w:customStyle="1" w:styleId="Bullet4">
    <w:name w:val="Bullet 4"/>
    <w:basedOn w:val="Normal"/>
    <w:uiPriority w:val="99"/>
    <w:pPr>
      <w:numPr>
        <w:numId w:val="3"/>
      </w:numPr>
    </w:pPr>
  </w:style>
  <w:style w:type="paragraph" w:customStyle="1" w:styleId="Bullet5">
    <w:name w:val="Bullet 5"/>
    <w:basedOn w:val="Normal"/>
    <w:uiPriority w:val="99"/>
    <w:pPr>
      <w:numPr>
        <w:numId w:val="4"/>
      </w:numPr>
    </w:pPr>
  </w:style>
  <w:style w:type="paragraph" w:customStyle="1" w:styleId="Bullet6">
    <w:name w:val="Bullet 6"/>
    <w:basedOn w:val="Normal"/>
    <w:uiPriority w:val="99"/>
    <w:pPr>
      <w:numPr>
        <w:numId w:val="5"/>
      </w:numPr>
    </w:pPr>
  </w:style>
  <w:style w:type="paragraph" w:customStyle="1" w:styleId="Bullet7">
    <w:name w:val="Bullet 7"/>
    <w:basedOn w:val="Normal"/>
    <w:uiPriority w:val="99"/>
    <w:pPr>
      <w:numPr>
        <w:numId w:val="6"/>
      </w:numPr>
    </w:pPr>
  </w:style>
  <w:style w:type="paragraph" w:customStyle="1" w:styleId="Bullet8">
    <w:name w:val="Bullet 8"/>
    <w:basedOn w:val="Normal"/>
    <w:uiPriority w:val="99"/>
    <w:pPr>
      <w:numPr>
        <w:numId w:val="7"/>
      </w:numPr>
    </w:pPr>
  </w:style>
  <w:style w:type="paragraph" w:customStyle="1" w:styleId="Bullet9">
    <w:name w:val="Bullet 9"/>
    <w:basedOn w:val="Body9"/>
    <w:uiPriority w:val="99"/>
    <w:pPr>
      <w:numPr>
        <w:numId w:val="8"/>
      </w:numPr>
    </w:pPr>
  </w:style>
  <w:style w:type="paragraph" w:customStyle="1" w:styleId="HeadingEULA">
    <w:name w:val="Heading EULA"/>
    <w:basedOn w:val="Normal"/>
    <w:next w:val="Normal"/>
    <w:uiPriority w:val="99"/>
    <w:rPr>
      <w:b w:val="0"/>
      <w:bCs/>
      <w:sz w:val="28"/>
      <w:szCs w:val="28"/>
    </w:rPr>
  </w:style>
  <w:style w:type="paragraph" w:customStyle="1" w:styleId="HeadingSoftwareTitle">
    <w:name w:val="Heading Software Title"/>
    <w:basedOn w:val="Normal"/>
    <w:next w:val="Normal"/>
    <w:uiPriority w:val="99"/>
    <w:pPr>
      <w:pBdr>
        <w:bottom w:val="single" w:sz="4" w:space="1" w:color="auto"/>
      </w:pBdr>
    </w:pPr>
    <w:rPr>
      <w:b w:val="0"/>
      <w:bCs/>
      <w:sz w:val="28"/>
      <w:szCs w:val="28"/>
    </w:rPr>
  </w:style>
  <w:style w:type="paragraph" w:customStyle="1" w:styleId="Preamble">
    <w:name w:val="Preamble"/>
    <w:basedOn w:val="Normal"/>
    <w:uiPriority w:val="99"/>
    <w:rPr>
      <w:b w:val="0"/>
      <w:bCs/>
    </w:rPr>
  </w:style>
  <w:style w:type="paragraph" w:customStyle="1" w:styleId="PreambleBorder">
    <w:name w:val="Preamble Border"/>
    <w:basedOn w:val="Normal"/>
    <w:next w:val="Heading1"/>
    <w:uiPriority w:val="99"/>
    <w:pPr>
      <w:pBdr>
        <w:bottom w:val="single" w:sz="4" w:space="1" w:color="auto"/>
      </w:pBdr>
    </w:pPr>
    <w:rPr>
      <w:b w:val="0"/>
      <w:bCs/>
    </w:rPr>
  </w:style>
  <w:style w:type="paragraph" w:customStyle="1" w:styleId="HeadingWarranty">
    <w:name w:val="Heading Warranty"/>
    <w:basedOn w:val="Normal"/>
    <w:uiPriority w:val="99"/>
    <w:pPr>
      <w:jc w:val="center"/>
    </w:pPr>
    <w:rPr>
      <w:b w:val="0"/>
      <w:bCs/>
    </w:rPr>
  </w:style>
  <w:style w:type="paragraph" w:customStyle="1" w:styleId="Heading1Warranty">
    <w:name w:val="Heading 1 Warranty"/>
    <w:basedOn w:val="Normal"/>
    <w:next w:val="Normal"/>
    <w:link w:val="Heading1WarrantyCharChar"/>
    <w:uiPriority w:val="99"/>
    <w:pPr>
      <w:numPr>
        <w:numId w:val="9"/>
      </w:numPr>
      <w:outlineLvl w:val="0"/>
    </w:pPr>
  </w:style>
  <w:style w:type="paragraph" w:customStyle="1" w:styleId="Heading2Warranty">
    <w:name w:val="Heading 2 Warranty"/>
    <w:basedOn w:val="Normal"/>
    <w:next w:val="Normal"/>
    <w:uiPriority w:val="99"/>
    <w:pPr>
      <w:numPr>
        <w:ilvl w:val="1"/>
        <w:numId w:val="9"/>
      </w:numPr>
      <w:outlineLvl w:val="1"/>
    </w:pPr>
  </w:style>
  <w:style w:type="paragraph" w:customStyle="1" w:styleId="Heading3Bold">
    <w:name w:val="Heading 3 Bold"/>
    <w:basedOn w:val="Heading3"/>
    <w:link w:val="Heading3BoldChar"/>
    <w:uiPriority w:val="99"/>
    <w:pPr>
      <w:numPr>
        <w:numId w:val="12"/>
      </w:numPr>
    </w:pPr>
    <w:rPr>
      <w:b w:val="0"/>
      <w:bCs/>
    </w:rPr>
  </w:style>
  <w:style w:type="paragraph" w:customStyle="1" w:styleId="Bullet4Underline">
    <w:name w:val="Bullet 4 Underline"/>
    <w:basedOn w:val="Bullet4"/>
    <w:uiPriority w:val="99"/>
    <w:rPr>
      <w:u w:val="single"/>
    </w:rPr>
  </w:style>
  <w:style w:type="paragraph" w:customStyle="1" w:styleId="Bullet3Underline">
    <w:name w:val="Bullet 3 Underline"/>
    <w:basedOn w:val="Bullet3"/>
    <w:uiPriority w:val="99"/>
    <w:pPr>
      <w:numPr>
        <w:numId w:val="0"/>
      </w:numPr>
    </w:pPr>
    <w:rPr>
      <w:u w:val="single"/>
    </w:rPr>
  </w:style>
  <w:style w:type="paragraph" w:customStyle="1" w:styleId="Body2Underline">
    <w:name w:val="Body 2 Underline"/>
    <w:basedOn w:val="Body2"/>
    <w:uiPriority w:val="99"/>
    <w:rPr>
      <w:u w:val="single"/>
    </w:rPr>
  </w:style>
  <w:style w:type="paragraph" w:customStyle="1" w:styleId="Body3Underline">
    <w:name w:val="Body 3 Underline"/>
    <w:basedOn w:val="Body3"/>
    <w:uiPriority w:val="99"/>
    <w:rPr>
      <w:u w:val="single"/>
    </w:rPr>
  </w:style>
  <w:style w:type="paragraph" w:styleId="BodyTextIndent">
    <w:name w:val="Body Text Indent"/>
    <w:basedOn w:val="Normal"/>
    <w:link w:val="BodyTextIndentChar"/>
    <w:uiPriority w:val="99"/>
    <w:pPr>
      <w:spacing w:line="480" w:lineRule="auto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Pr>
      <w:rFonts w:ascii="Tahoma" w:hAnsi="Tahoma" w:cs="Tahoma"/>
      <w:sz w:val="19"/>
      <w:szCs w:val="19"/>
    </w:rPr>
  </w:style>
  <w:style w:type="paragraph" w:customStyle="1" w:styleId="Bullet4Italics">
    <w:name w:val="Bullet 4 Italics"/>
    <w:basedOn w:val="Bullet4"/>
    <w:uiPriority w:val="99"/>
    <w:rPr>
      <w:i/>
      <w:iCs/>
    </w:rPr>
  </w:style>
  <w:style w:type="character" w:customStyle="1" w:styleId="Body2Char">
    <w:name w:val="Body 2 Char"/>
    <w:basedOn w:val="DefaultParagraphFont"/>
    <w:uiPriority w:val="99"/>
    <w:rPr>
      <w:rFonts w:ascii="Tahoma" w:hAnsi="Tahoma" w:cs="Tahoma"/>
      <w:lang w:val="en-US" w:eastAsia="en-US"/>
    </w:rPr>
  </w:style>
  <w:style w:type="character" w:customStyle="1" w:styleId="Body3Char">
    <w:name w:val="Body 3 Char"/>
    <w:basedOn w:val="DefaultParagraphFont"/>
    <w:uiPriority w:val="99"/>
    <w:rPr>
      <w:rFonts w:ascii="Tahoma" w:hAnsi="Tahoma" w:cs="Tahoma"/>
      <w:lang w:val="en-US" w:eastAsia="en-US"/>
    </w:rPr>
  </w:style>
  <w:style w:type="character" w:customStyle="1" w:styleId="Body4Char">
    <w:name w:val="Body 4 Char"/>
    <w:basedOn w:val="DefaultParagraphFont"/>
    <w:uiPriority w:val="99"/>
    <w:rPr>
      <w:rFonts w:ascii="Tahoma" w:hAnsi="Tahoma" w:cs="Tahoma"/>
      <w:lang w:val="en-US" w:eastAsia="en-US"/>
    </w:rPr>
  </w:style>
  <w:style w:type="character" w:customStyle="1" w:styleId="Body1Char">
    <w:name w:val="Body 1 Char"/>
    <w:basedOn w:val="DefaultParagraphFont"/>
    <w:uiPriority w:val="99"/>
    <w:rPr>
      <w:rFonts w:ascii="Tahoma" w:hAnsi="Tahoma" w:cs="Tahoma"/>
      <w:lang w:val="en-US" w:eastAsia="en-US"/>
    </w:rPr>
  </w:style>
  <w:style w:type="paragraph" w:customStyle="1" w:styleId="PreambleBorderAbove">
    <w:name w:val="Preamble Border Above"/>
    <w:basedOn w:val="Preamble"/>
    <w:uiPriority w:val="99"/>
    <w:pPr>
      <w:pBdr>
        <w:top w:val="single" w:sz="4" w:space="1" w:color="auto"/>
      </w:pBdr>
    </w:pPr>
  </w:style>
  <w:style w:type="paragraph" w:styleId="FootnoteText">
    <w:name w:val="footnote text"/>
    <w:basedOn w:val="Normal"/>
    <w:link w:val="FootnoteTextChar"/>
    <w:uiPriority w:val="99"/>
    <w:semiHidden/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Pr>
      <w:rFonts w:ascii="Tahoma" w:hAnsi="Tahoma" w:cs="Tahoma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rPr>
      <w:rFonts w:cs="Times New Roman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</w:style>
  <w:style w:type="character" w:customStyle="1" w:styleId="EndnoteTextChar">
    <w:name w:val="Endnote Text Char"/>
    <w:basedOn w:val="DefaultParagraphFont"/>
    <w:link w:val="EndnoteText"/>
    <w:uiPriority w:val="99"/>
    <w:semiHidden/>
    <w:locked/>
    <w:rPr>
      <w:rFonts w:ascii="Tahoma" w:hAnsi="Tahoma" w:cs="Tahoma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rPr>
      <w:rFonts w:cs="Times New Roman"/>
      <w:vertAlign w:val="superscript"/>
    </w:rPr>
  </w:style>
  <w:style w:type="paragraph" w:styleId="CommentText">
    <w:name w:val="annotation text"/>
    <w:basedOn w:val="Normal"/>
    <w:link w:val="CommentTextChar"/>
    <w:uiPriority w:val="99"/>
  </w:style>
  <w:style w:type="character" w:customStyle="1" w:styleId="CommentTextChar">
    <w:name w:val="Comment Text Char"/>
    <w:basedOn w:val="DefaultParagraphFont"/>
    <w:link w:val="CommentText"/>
    <w:uiPriority w:val="99"/>
    <w:locked/>
    <w:rPr>
      <w:rFonts w:ascii="Tahoma" w:hAnsi="Tahoma" w:cs="Tahoma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rPr>
      <w:rFonts w:cs="Times New Roman"/>
      <w:sz w:val="16"/>
      <w:szCs w:val="16"/>
    </w:rPr>
  </w:style>
  <w:style w:type="paragraph" w:customStyle="1" w:styleId="Char">
    <w:name w:val="Char"/>
    <w:basedOn w:val="Normal"/>
    <w:uiPriority w:val="99"/>
    <w:pPr>
      <w:spacing w:before="0" w:after="160" w:line="240" w:lineRule="exact"/>
    </w:pPr>
  </w:style>
  <w:style w:type="paragraph" w:customStyle="1" w:styleId="CharCharCharChar">
    <w:name w:val="Char Char Char Char"/>
    <w:basedOn w:val="Normal"/>
    <w:uiPriority w:val="99"/>
    <w:pPr>
      <w:spacing w:before="0" w:after="160" w:line="240" w:lineRule="exact"/>
    </w:pPr>
  </w:style>
  <w:style w:type="character" w:styleId="Hyperlink">
    <w:name w:val="Hyperlink"/>
    <w:aliases w:val="Char Char7"/>
    <w:basedOn w:val="DefaultParagraphFont"/>
    <w:uiPriority w:val="99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Pr>
      <w:rFonts w:ascii="Tahoma" w:hAnsi="Tahoma" w:cs="Tahoma"/>
      <w:sz w:val="16"/>
      <w:szCs w:val="16"/>
    </w:rPr>
  </w:style>
  <w:style w:type="character" w:customStyle="1" w:styleId="Heading2Char1">
    <w:name w:val="Heading 2 Char1"/>
    <w:basedOn w:val="DefaultParagraphFont"/>
    <w:uiPriority w:val="99"/>
    <w:rPr>
      <w:rFonts w:ascii="Trebuchet MS" w:hAnsi="Trebuchet MS" w:cs="Trebuchet MS"/>
      <w:b/>
      <w:bCs/>
      <w:lang w:val="en-US" w:eastAsia="en-US"/>
    </w:rPr>
  </w:style>
  <w:style w:type="character" w:styleId="PageNumber">
    <w:name w:val="page number"/>
    <w:basedOn w:val="DefaultParagraphFont"/>
    <w:uiPriority w:val="99"/>
    <w:rPr>
      <w:rFonts w:cs="Times New Roman"/>
    </w:rPr>
  </w:style>
  <w:style w:type="paragraph" w:customStyle="1" w:styleId="CharCharCharChar1">
    <w:name w:val="Char Char Char Char1"/>
    <w:basedOn w:val="Normal"/>
    <w:uiPriority w:val="99"/>
    <w:pPr>
      <w:spacing w:before="0" w:after="160" w:line="240" w:lineRule="exact"/>
    </w:pPr>
  </w:style>
  <w:style w:type="paragraph" w:customStyle="1" w:styleId="Body0Bold">
    <w:name w:val="Body 0 Bold"/>
    <w:next w:val="Normal"/>
    <w:link w:val="Body0BoldChar"/>
    <w:uiPriority w:val="99"/>
    <w:pPr>
      <w:spacing w:after="0" w:line="240" w:lineRule="auto"/>
    </w:pPr>
    <w:rPr>
      <w:rFonts w:ascii="Tahoma" w:hAnsi="Tahoma" w:cs="Tahoma"/>
      <w:b/>
      <w:bCs/>
      <w:sz w:val="19"/>
      <w:szCs w:val="19"/>
    </w:rPr>
  </w:style>
  <w:style w:type="paragraph" w:customStyle="1" w:styleId="Body0">
    <w:name w:val="Body 0"/>
    <w:next w:val="Normal"/>
    <w:uiPriority w:val="99"/>
    <w:pPr>
      <w:spacing w:after="0" w:line="240" w:lineRule="auto"/>
    </w:pPr>
    <w:rPr>
      <w:rFonts w:ascii="Tahoma" w:hAnsi="Tahoma" w:cs="Tahoma"/>
      <w:sz w:val="19"/>
      <w:szCs w:val="19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Pr>
      <w:rFonts w:ascii="Tahoma" w:hAnsi="Tahoma" w:cs="Tahoma"/>
      <w:sz w:val="19"/>
      <w:szCs w:val="19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Pr>
      <w:rFonts w:ascii="Tahoma" w:hAnsi="Tahoma" w:cs="Tahoma"/>
      <w:sz w:val="19"/>
      <w:szCs w:val="19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 w:val="0"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Pr>
      <w:rFonts w:ascii="Tahoma" w:hAnsi="Tahoma" w:cs="Tahoma"/>
      <w:b/>
      <w:bCs/>
      <w:sz w:val="20"/>
      <w:szCs w:val="20"/>
    </w:rPr>
  </w:style>
  <w:style w:type="character" w:customStyle="1" w:styleId="Bullet3Char1">
    <w:name w:val="Bullet 3 Char1"/>
    <w:basedOn w:val="DefaultParagraphFont"/>
    <w:link w:val="Bullet3"/>
    <w:uiPriority w:val="99"/>
    <w:locked/>
    <w:rPr>
      <w:rFonts w:ascii="Tahoma" w:hAnsi="Tahoma" w:cs="Tahoma"/>
      <w:b/>
      <w:sz w:val="19"/>
      <w:szCs w:val="19"/>
    </w:rPr>
  </w:style>
  <w:style w:type="paragraph" w:customStyle="1" w:styleId="Bullet3Underlined">
    <w:name w:val="Bullet 3 Underlined"/>
    <w:basedOn w:val="Bullet3"/>
    <w:uiPriority w:val="99"/>
    <w:rPr>
      <w:u w:val="single"/>
    </w:rPr>
  </w:style>
  <w:style w:type="character" w:customStyle="1" w:styleId="CharChar">
    <w:name w:val="Char Char"/>
    <w:basedOn w:val="DefaultParagraphFont"/>
    <w:uiPriority w:val="99"/>
    <w:rPr>
      <w:rFonts w:ascii="Tahoma" w:eastAsia="MS Mincho" w:hAnsi="Tahoma" w:cs="Tahoma"/>
      <w:sz w:val="19"/>
      <w:szCs w:val="19"/>
      <w:lang w:val="en-US" w:eastAsia="en-US"/>
    </w:rPr>
  </w:style>
  <w:style w:type="paragraph" w:customStyle="1" w:styleId="AdditionalSoftware">
    <w:name w:val="AdditionalSoftware"/>
    <w:pPr>
      <w:spacing w:after="0" w:line="240" w:lineRule="exact"/>
    </w:pPr>
    <w:rPr>
      <w:rFonts w:ascii="Trebuchet MS" w:hAnsi="Trebuchet MS" w:cs="Tahoma"/>
      <w:sz w:val="18"/>
      <w:szCs w:val="20"/>
    </w:rPr>
  </w:style>
  <w:style w:type="character" w:customStyle="1" w:styleId="CharChar1">
    <w:name w:val="Char Char1"/>
    <w:basedOn w:val="DefaultParagraphFont"/>
    <w:rPr>
      <w:rFonts w:ascii="Trebuchet MS" w:hAnsi="Trebuchet MS" w:cs="Tahoma"/>
      <w:b/>
      <w:sz w:val="24"/>
      <w:szCs w:val="24"/>
      <w:lang w:val="en-US" w:eastAsia="en-US" w:bidi="ar-SA"/>
    </w:rPr>
  </w:style>
  <w:style w:type="paragraph" w:customStyle="1" w:styleId="Bullet4Underlined">
    <w:name w:val="Bullet 4 Underlined"/>
    <w:basedOn w:val="Bullet4"/>
    <w:rPr>
      <w:u w:val="single"/>
    </w:rPr>
  </w:style>
  <w:style w:type="paragraph" w:customStyle="1" w:styleId="HeadingFrenchWarranty">
    <w:name w:val="Heading French Warranty"/>
    <w:basedOn w:val="Normal"/>
    <w:pPr>
      <w:numPr>
        <w:numId w:val="10"/>
      </w:numPr>
    </w:pPr>
  </w:style>
  <w:style w:type="character" w:customStyle="1" w:styleId="Body3CharCarCarCarCarCarCarCarCarCarCarCarCarCarCarCarCarCarCarCarCarCarCarCarCar">
    <w:name w:val="Body 3 Char Car Car Car Car Car Car Car Car Car Car Car Car Car Car Car Car Car Car Car Car Car Car Car Car"/>
    <w:uiPriority w:val="99"/>
    <w:locked/>
    <w:rPr>
      <w:rFonts w:ascii="Tahoma" w:hAnsi="Tahoma"/>
      <w:lang w:val="en-US" w:eastAsia="x-none"/>
    </w:rPr>
  </w:style>
  <w:style w:type="character" w:customStyle="1" w:styleId="tw4winExternal">
    <w:name w:val="tw4winExternal"/>
    <w:uiPriority w:val="99"/>
    <w:rPr>
      <w:rFonts w:ascii="Courier New" w:hAnsi="Courier New"/>
      <w:noProof/>
      <w:color w:val="808080"/>
    </w:rPr>
  </w:style>
  <w:style w:type="character" w:customStyle="1" w:styleId="tw4winMark">
    <w:name w:val="tw4winMark"/>
    <w:uiPriority w:val="99"/>
    <w:rPr>
      <w:rFonts w:ascii="Courier New" w:hAnsi="Courier New"/>
      <w:vanish/>
      <w:color w:val="800080"/>
      <w:sz w:val="24"/>
      <w:vertAlign w:val="subscript"/>
    </w:rPr>
  </w:style>
  <w:style w:type="character" w:customStyle="1" w:styleId="PreambleChar">
    <w:name w:val="Preamble Char"/>
    <w:uiPriority w:val="99"/>
    <w:rPr>
      <w:rFonts w:ascii="Tahoma" w:hAnsi="Tahoma"/>
      <w:b/>
    </w:rPr>
  </w:style>
  <w:style w:type="character" w:customStyle="1" w:styleId="tw4winError">
    <w:name w:val="tw4winError"/>
    <w:uiPriority w:val="99"/>
    <w:rPr>
      <w:rFonts w:ascii="Courier New" w:hAnsi="Courier New"/>
      <w:color w:val="00FF00"/>
      <w:sz w:val="40"/>
    </w:rPr>
  </w:style>
  <w:style w:type="character" w:customStyle="1" w:styleId="tw4winTerm">
    <w:name w:val="tw4winTerm"/>
    <w:uiPriority w:val="99"/>
    <w:rPr>
      <w:color w:val="0000FF"/>
    </w:rPr>
  </w:style>
  <w:style w:type="character" w:customStyle="1" w:styleId="tw4winPopup">
    <w:name w:val="tw4winPopup"/>
    <w:uiPriority w:val="99"/>
    <w:rPr>
      <w:rFonts w:ascii="Courier New" w:hAnsi="Courier New"/>
      <w:noProof/>
      <w:color w:val="008000"/>
    </w:rPr>
  </w:style>
  <w:style w:type="character" w:customStyle="1" w:styleId="tw4winJump">
    <w:name w:val="tw4winJump"/>
    <w:uiPriority w:val="99"/>
    <w:rPr>
      <w:rFonts w:ascii="Courier New" w:hAnsi="Courier New"/>
      <w:noProof/>
      <w:color w:val="008080"/>
    </w:rPr>
  </w:style>
  <w:style w:type="character" w:customStyle="1" w:styleId="tw4winInternal">
    <w:name w:val="tw4winInternal"/>
    <w:uiPriority w:val="99"/>
    <w:rPr>
      <w:rFonts w:ascii="Courier New" w:hAnsi="Courier New"/>
      <w:noProof/>
      <w:color w:val="FF0000"/>
    </w:rPr>
  </w:style>
  <w:style w:type="character" w:customStyle="1" w:styleId="DONOTTRANSLATE">
    <w:name w:val="DO_NOT_TRANSLATE"/>
    <w:uiPriority w:val="99"/>
    <w:rPr>
      <w:rFonts w:ascii="Courier New" w:hAnsi="Courier New"/>
      <w:noProof/>
      <w:color w:val="800000"/>
    </w:rPr>
  </w:style>
  <w:style w:type="paragraph" w:styleId="BodyText2">
    <w:name w:val="Body Text 2"/>
    <w:basedOn w:val="Normal"/>
    <w:link w:val="BodyText2Char"/>
    <w:uiPriority w:val="99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locked/>
    <w:rPr>
      <w:rFonts w:ascii="Tahoma" w:hAnsi="Tahoma" w:cs="Tahoma"/>
      <w:sz w:val="19"/>
      <w:szCs w:val="19"/>
    </w:rPr>
  </w:style>
  <w:style w:type="paragraph" w:customStyle="1" w:styleId="StyleHeading3BoldAsianTimesNewRoman95pt">
    <w:name w:val="Style Heading 3 Bold + (Asian) Times New Roman 9.5 pt"/>
    <w:basedOn w:val="Heading3Bold"/>
    <w:link w:val="StyleHeading3BoldAsianTimesNewRoman95ptChar"/>
    <w:uiPriority w:val="99"/>
    <w:rPr>
      <w:b/>
      <w:bCs w:val="0"/>
    </w:rPr>
  </w:style>
  <w:style w:type="character" w:customStyle="1" w:styleId="Heading3BoldChar">
    <w:name w:val="Heading 3 Bold Char"/>
    <w:basedOn w:val="DefaultParagraphFont"/>
    <w:link w:val="Heading3Bold"/>
    <w:uiPriority w:val="99"/>
    <w:locked/>
    <w:rPr>
      <w:rFonts w:ascii="Tahoma" w:hAnsi="Tahoma" w:cs="Tahoma"/>
      <w:bCs/>
      <w:sz w:val="19"/>
      <w:szCs w:val="19"/>
    </w:rPr>
  </w:style>
  <w:style w:type="character" w:customStyle="1" w:styleId="StyleHeading3BoldAsianTimesNewRoman95ptChar">
    <w:name w:val="Style Heading 3 Bold + (Asian) Times New Roman 9.5 pt Char"/>
    <w:basedOn w:val="Heading3BoldChar"/>
    <w:link w:val="StyleHeading3BoldAsianTimesNewRoman95pt"/>
    <w:uiPriority w:val="99"/>
    <w:locked/>
    <w:rPr>
      <w:rFonts w:ascii="Tahoma" w:hAnsi="Tahoma" w:cs="Tahoma"/>
      <w:b/>
      <w:bCs w:val="0"/>
      <w:sz w:val="19"/>
      <w:szCs w:val="19"/>
    </w:rPr>
  </w:style>
  <w:style w:type="character" w:customStyle="1" w:styleId="Body0BoldChar">
    <w:name w:val="Body 0 Bold Char"/>
    <w:basedOn w:val="DefaultParagraphFont"/>
    <w:link w:val="Body0Bold"/>
    <w:uiPriority w:val="99"/>
    <w:locked/>
    <w:rPr>
      <w:rFonts w:ascii="Tahoma" w:hAnsi="Tahoma" w:cs="Tahoma"/>
      <w:b/>
      <w:bCs/>
      <w:sz w:val="19"/>
      <w:szCs w:val="19"/>
    </w:rPr>
  </w:style>
  <w:style w:type="paragraph" w:customStyle="1" w:styleId="LIMPAT4WINEXTERNAL">
    <w:name w:val="LIMPA_T4WINEXTERNAL"/>
    <w:basedOn w:val="Normal"/>
    <w:link w:val="LIMPAT4WINEXTERNALChar"/>
    <w:uiPriority w:val="99"/>
    <w:pPr>
      <w:spacing w:before="0" w:after="0"/>
    </w:pPr>
    <w:rPr>
      <w:b w:val="0"/>
      <w:bCs/>
      <w:sz w:val="20"/>
      <w:szCs w:val="20"/>
      <w:vertAlign w:val="superscript"/>
      <w:lang w:val="bg-BG" w:eastAsia="zh-CN"/>
    </w:rPr>
  </w:style>
  <w:style w:type="character" w:customStyle="1" w:styleId="LIMPAT4WINEXTERNALChar">
    <w:name w:val="LIMPA_T4WINEXTERNAL Char"/>
    <w:basedOn w:val="DefaultParagraphFont"/>
    <w:link w:val="LIMPAT4WINEXTERNAL"/>
    <w:uiPriority w:val="99"/>
    <w:locked/>
    <w:rPr>
      <w:rFonts w:ascii="Tahoma" w:hAnsi="Tahoma" w:cs="Tahoma"/>
      <w:b/>
      <w:bCs/>
      <w:sz w:val="20"/>
      <w:szCs w:val="20"/>
      <w:vertAlign w:val="superscript"/>
      <w:lang w:val="bg-BG" w:eastAsia="zh-CN"/>
    </w:rPr>
  </w:style>
  <w:style w:type="paragraph" w:styleId="Revision">
    <w:name w:val="Revision"/>
    <w:hidden/>
    <w:uiPriority w:val="99"/>
    <w:semiHidden/>
    <w:rsid w:val="00F61089"/>
    <w:pPr>
      <w:spacing w:after="0" w:line="240" w:lineRule="auto"/>
    </w:pPr>
    <w:rPr>
      <w:rFonts w:ascii="Tahoma" w:hAnsi="Tahoma" w:cs="Tahoma"/>
      <w:sz w:val="19"/>
      <w:szCs w:val="19"/>
    </w:rPr>
  </w:style>
  <w:style w:type="paragraph" w:styleId="ListParagraph">
    <w:name w:val="List Paragraph"/>
    <w:basedOn w:val="Normal"/>
    <w:uiPriority w:val="34"/>
    <w:qFormat/>
    <w:rsid w:val="00A060B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1022C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Heading2FrenchWarranty">
    <w:name w:val="Heading 2 French Warranty"/>
    <w:basedOn w:val="Normal"/>
    <w:autoRedefine/>
    <w:uiPriority w:val="99"/>
    <w:rsid w:val="00FE03B6"/>
    <w:pPr>
      <w:numPr>
        <w:numId w:val="11"/>
      </w:numPr>
    </w:pPr>
  </w:style>
  <w:style w:type="table" w:styleId="TableGrid">
    <w:name w:val="Table Grid"/>
    <w:basedOn w:val="TableNormal"/>
    <w:uiPriority w:val="59"/>
    <w:rsid w:val="00B65F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1E4920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FE5BE0"/>
    <w:rPr>
      <w:b/>
      <w:bCs/>
    </w:rPr>
  </w:style>
  <w:style w:type="character" w:customStyle="1" w:styleId="Heading1WarrantyCharChar">
    <w:name w:val="Heading 1 Warranty Char Char"/>
    <w:basedOn w:val="DefaultParagraphFont"/>
    <w:link w:val="Heading1Warranty"/>
    <w:uiPriority w:val="99"/>
    <w:locked/>
    <w:rsid w:val="00260073"/>
    <w:rPr>
      <w:rFonts w:ascii="Tahoma" w:hAnsi="Tahoma" w:cs="Tahoma"/>
      <w:b/>
      <w:sz w:val="19"/>
      <w:szCs w:val="19"/>
    </w:rPr>
  </w:style>
  <w:style w:type="paragraph" w:styleId="NoSpacing">
    <w:name w:val="No Spacing"/>
    <w:uiPriority w:val="1"/>
    <w:qFormat/>
    <w:rsid w:val="00714602"/>
    <w:pPr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DocID">
    <w:name w:val="DocID"/>
    <w:basedOn w:val="DefaultParagraphFont"/>
    <w:uiPriority w:val="99"/>
    <w:semiHidden/>
    <w:rsid w:val="007919B6"/>
    <w:rPr>
      <w:rFonts w:ascii="Times New Roman" w:hAnsi="Times New Roman"/>
      <w:sz w:val="16"/>
    </w:rPr>
  </w:style>
  <w:style w:type="character" w:customStyle="1" w:styleId="Nierozpoznanawzmianka1">
    <w:name w:val="Nierozpoznana wzmianka1"/>
    <w:basedOn w:val="DefaultParagraphFont"/>
    <w:uiPriority w:val="99"/>
    <w:semiHidden/>
    <w:unhideWhenUsed/>
    <w:rsid w:val="00282EEC"/>
    <w:rPr>
      <w:color w:val="808080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8D19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https://aka.ms/privacy" TargetMode="External" Id="rId13" /><Relationship Type="http://schemas.openxmlformats.org/officeDocument/2006/relationships/hyperlink" Target="https://aka.ms/msoffices" TargetMode="External" Id="rId18" /><Relationship Type="http://schemas.openxmlformats.org/officeDocument/2006/relationships/theme" Target="theme/theme1.xml" Id="rId26" /><Relationship Type="http://schemas.openxmlformats.org/officeDocument/2006/relationships/customXml" Target="../customXml/item3.xml" Id="rId3" /><Relationship Type="http://schemas.openxmlformats.org/officeDocument/2006/relationships/footer" Target="footer1.xml" Id="rId21" /><Relationship Type="http://schemas.openxmlformats.org/officeDocument/2006/relationships/settings" Target="settings.xml" Id="rId7" /><Relationship Type="http://schemas.openxmlformats.org/officeDocument/2006/relationships/hyperlink" Target="https://go.microsoft.com/fwlink/?LinkId=248681" TargetMode="External" Id="rId12" /><Relationship Type="http://schemas.openxmlformats.org/officeDocument/2006/relationships/hyperlink" Target="https://aka.ms/arb-agreement-4" TargetMode="External" Id="rId17" /><Relationship Type="http://schemas.openxmlformats.org/officeDocument/2006/relationships/fontTable" Target="fontTable.xml" Id="rId25" /><Relationship Type="http://schemas.openxmlformats.org/officeDocument/2006/relationships/customXml" Target="../customXml/item2.xml" Id="rId2" /><Relationship Type="http://schemas.openxmlformats.org/officeDocument/2006/relationships/hyperlink" Target="https://aka.ms/exporting" TargetMode="External" Id="rId16" /><Relationship Type="http://schemas.openxmlformats.org/officeDocument/2006/relationships/header" Target="header2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go.microsoft.com/fwlink/?linkid=398923" TargetMode="External" Id="rId11" /><Relationship Type="http://schemas.openxmlformats.org/officeDocument/2006/relationships/footer" Target="footer3.xml" Id="rId24" /><Relationship Type="http://schemas.openxmlformats.org/officeDocument/2006/relationships/numbering" Target="numbering.xml" Id="rId5" /><Relationship Type="http://schemas.openxmlformats.org/officeDocument/2006/relationships/hyperlink" Target="https://www.aka.ms/HEVCVirtualPatentMarking" TargetMode="External" Id="rId15" /><Relationship Type="http://schemas.openxmlformats.org/officeDocument/2006/relationships/header" Target="header3.xml" Id="rId23" /><Relationship Type="http://schemas.openxmlformats.org/officeDocument/2006/relationships/endnotes" Target="endnotes.xml" Id="rId10" /><Relationship Type="http://schemas.openxmlformats.org/officeDocument/2006/relationships/header" Target="header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https://docs.microsoft.com/en-us/legal/gdpr" TargetMode="External" Id="rId14" /><Relationship Type="http://schemas.openxmlformats.org/officeDocument/2006/relationships/footer" Target="footer2.xml" Id="rId22" /><Relationship Type="http://schemas.openxmlformats.org/officeDocument/2006/relationships/customXml" Target="/customXml/item5.xml" Id="Re46dd4ba99af49d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&#65279;<?xml version="1.0" encoding="utf-8"?><Relationships xmlns="http://schemas.openxmlformats.org/package/2006/relationships"><Relationship Type="http://schemas.openxmlformats.org/officeDocument/2006/relationships/customXmlProps" Target="/customXml/itemProps5.xml" Id="R51be854f60f64b3a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033020df-a344-4a6d-a2ef-e7422a46123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CED267FEB7EE46B5B599C1ADC2332B" ma:contentTypeVersion="8" ma:contentTypeDescription="Create a new document." ma:contentTypeScope="" ma:versionID="7f73454153db65640cf4f9deacb16833">
  <xsd:schema xmlns:xsd="http://www.w3.org/2001/XMLSchema" xmlns:xs="http://www.w3.org/2001/XMLSchema" xmlns:p="http://schemas.microsoft.com/office/2006/metadata/properties" xmlns:ns2="eafbe288-58a4-43af-8b16-d4543a9315fe" xmlns:ns3="033020df-a344-4a6d-a2ef-e7422a46123f" targetNamespace="http://schemas.microsoft.com/office/2006/metadata/properties" ma:root="true" ma:fieldsID="89e70310abe5e2bf3b07c881e50d0a33" ns2:_="" ns3:_="">
    <xsd:import namespace="eafbe288-58a4-43af-8b16-d4543a9315fe"/>
    <xsd:import namespace="033020df-a344-4a6d-a2ef-e7422a4612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fbe288-58a4-43af-8b16-d4543a9315f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3020df-a344-4a6d-a2ef-e7422a4612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Dictionary xmlns="http://schemas.business-integrity.com/dealbuilder/2006/dictionary" SavedByVersion="7.3.15073.0" MinimumVersion="7.2.0.0"/>
</file>

<file path=customXml/item5.xml><?xml version="1.0" encoding="utf-8"?>
<Session xmlns="http://schemas.business-integrity.com/dealbuilder/2006/answers"/>
</file>

<file path=customXml/itemProps1.xml><?xml version="1.0" encoding="utf-8"?>
<ds:datastoreItem xmlns:ds="http://schemas.openxmlformats.org/officeDocument/2006/customXml" ds:itemID="{E241E80D-2E1D-4F70-92EB-299A74E08098}">
  <ds:schemaRefs>
    <ds:schemaRef ds:uri="http://schemas.microsoft.com/office/2006/documentManagement/types"/>
    <ds:schemaRef ds:uri="eafbe288-58a4-43af-8b16-d4543a9315fe"/>
    <ds:schemaRef ds:uri="http://www.w3.org/XML/1998/namespace"/>
    <ds:schemaRef ds:uri="http://purl.org/dc/dcmitype/"/>
    <ds:schemaRef ds:uri="http://schemas.microsoft.com/office/infopath/2007/PartnerControls"/>
    <ds:schemaRef ds:uri="http://schemas.microsoft.com/office/2006/metadata/properties"/>
    <ds:schemaRef ds:uri="http://schemas.openxmlformats.org/package/2006/metadata/core-properties"/>
    <ds:schemaRef ds:uri="033020df-a344-4a6d-a2ef-e7422a46123f"/>
    <ds:schemaRef ds:uri="http://purl.org/dc/terms/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F30BC40B-B229-4985-ADA9-8680E07466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fbe288-58a4-43af-8b16-d4543a9315fe"/>
    <ds:schemaRef ds:uri="033020df-a344-4a6d-a2ef-e7422a4612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484A341-4734-4759-AF29-27FD6B39DEF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FE57A7A-8470-4F3F-ADA3-BC7EEFC2E9D4}">
  <ds:schemaRefs>
    <ds:schemaRef ds:uri="http://schemas.business-integrity.com/dealbuilder/2006/dictionary"/>
  </ds:schemaRefs>
</ds:datastoreItem>
</file>

<file path=customXml/itemProps5.xml><?xml version="1.0" encoding="utf-8"?>
<ds:datastoreItem xmlns:ds="http://schemas.openxmlformats.org/officeDocument/2006/customXml" ds:itemID="{325C501C-C05F-48CE-933A-5D7D765F205F}">
  <ds:schemaRefs>
    <ds:schemaRef ds:uri="http://schemas.business-integrity.com/dealbuilder/2006/answers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core.xml><?xml version="1.0" encoding="utf-8"?>
<coreProperties xmlns="http://schemas.openxmlformats.org/package/2006/metadata/core-properties">
  <dc:title xmlns:dc="http://purl.org/dc/elements/1.1/">Microsoft Work IQ CLI - Pre-Release or Evaluation Use Terms - Polish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13312">
    <vt:lpwstr>10</vt:lpwstr>
  </property>
  <property fmtid="{D5CDD505-2E9C-101B-9397-08002B2CF9AE}" pid="3" name="AuthorIds_UIVersion_19456">
    <vt:lpwstr>10</vt:lpwstr>
  </property>
  <property fmtid="{D5CDD505-2E9C-101B-9397-08002B2CF9AE}" pid="4" name="ContentTypeId">
    <vt:lpwstr>0x010100A1CED267FEB7EE46B5B599C1ADC2332B</vt:lpwstr>
  </property>
  <property fmtid="{D5CDD505-2E9C-101B-9397-08002B2CF9AE}" pid="8" name="MSIP_Label_f42aa342-8706-4288-bd11-ebb85995028c_Application">
    <vt:lpwstr>Microsoft Azure Information Protection</vt:lpwstr>
  </property>
  <property fmtid="{D5CDD505-2E9C-101B-9397-08002B2CF9AE}" pid="9" name="MSIP_Label_f42aa342-8706-4288-bd11-ebb85995028c_Enabled">
    <vt:lpwstr>True</vt:lpwstr>
  </property>
  <property fmtid="{D5CDD505-2E9C-101B-9397-08002B2CF9AE}" pid="10" name="MSIP_Label_f42aa342-8706-4288-bd11-ebb85995028c_Extended_MSFT_Method">
    <vt:lpwstr>Automatic</vt:lpwstr>
  </property>
  <property fmtid="{D5CDD505-2E9C-101B-9397-08002B2CF9AE}" pid="11" name="MSIP_Label_f42aa342-8706-4288-bd11-ebb85995028c_Name">
    <vt:lpwstr>General</vt:lpwstr>
  </property>
  <property fmtid="{D5CDD505-2E9C-101B-9397-08002B2CF9AE}" pid="12" name="MSIP_Label_f42aa342-8706-4288-bd11-ebb85995028c_Owner">
    <vt:lpwstr>jbiller@microsoft.com</vt:lpwstr>
  </property>
  <property fmtid="{D5CDD505-2E9C-101B-9397-08002B2CF9AE}" pid="13" name="MSIP_Label_f42aa342-8706-4288-bd11-ebb85995028c_SetDate">
    <vt:lpwstr>2018-07-26T17:02:58.9841504Z</vt:lpwstr>
  </property>
  <property fmtid="{D5CDD505-2E9C-101B-9397-08002B2CF9AE}" pid="14" name="MSIP_Label_f42aa342-8706-4288-bd11-ebb85995028c_SiteId">
    <vt:lpwstr>72f988bf-86f1-41af-91ab-2d7cd011db47</vt:lpwstr>
  </property>
  <property fmtid="{D5CDD505-2E9C-101B-9397-08002B2CF9AE}" pid="15" name="Sensitivity">
    <vt:lpwstr>General</vt:lpwstr>
  </property>
  <property name="db_document_id" fmtid="{D5CDD505-2E9C-101B-9397-08002B2CF9AE}" pid="16">
    <vt:lpwstr>24331</vt:lpwstr>
  </property>
  <property name="db_contract_version" fmtid="{D5CDD505-2E9C-101B-9397-08002B2CF9AE}" pid="17">
    <vt:lpwstr>AAAAAAAF5Oo=</vt:lpwstr>
  </property>
</Properties>
</file>