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t>Two Month Publication Roadmap for DNN Core Placement</w:t>
      </w:r>
    </w:p>
    <w:p>
      <w:pPr>
        <w:pStyle w:val="Subtitle"/>
        <w:widowControl/>
        <w:jc w:val="left"/>
      </w:pPr>
      <w:r>
        <w:t>Reproduction of DDPG core placement and a hybrid DDPG simulated annealing extension</w:t>
      </w:r>
    </w:p>
    <w:p>
      <w:pPr>
        <w:widowControl/>
      </w:pPr>
    </w:p>
    <w:p>
      <w:pPr>
        <w:widowControl/>
      </w:pPr>
    </w:p>
    <w:p>
      <w:pPr>
        <w:widowControl/>
        <w:spacing w:after="60"/>
      </w:pPr>
      <w:r>
        <w:rPr>
          <w:b/>
        </w:rPr>
        <w:t xml:space="preserve">Project </w:t>
      </w:r>
      <w:r>
        <w:t>RL based core placement for multi chip many core DNN accelerators</w:t>
      </w:r>
    </w:p>
    <w:p>
      <w:pPr>
        <w:widowControl/>
        <w:spacing w:after="60"/>
      </w:pPr>
      <w:r>
        <w:rPr>
          <w:b/>
        </w:rPr>
        <w:t xml:space="preserve">Repository </w:t>
      </w:r>
      <w:r>
        <w:t>micskrcb DNN_MAPPING</w:t>
      </w:r>
    </w:p>
    <w:p>
      <w:pPr>
        <w:widowControl/>
        <w:spacing w:after="60"/>
      </w:pPr>
      <w:r>
        <w:rPr>
          <w:b/>
        </w:rPr>
        <w:t xml:space="preserve">Maintained remote branch </w:t>
      </w:r>
      <w:r>
        <w:t>codex/reconciled-paper-implementation</w:t>
      </w:r>
    </w:p>
    <w:p>
      <w:pPr>
        <w:widowControl/>
        <w:spacing w:after="60"/>
      </w:pPr>
      <w:r>
        <w:rPr>
          <w:b/>
        </w:rPr>
        <w:t xml:space="preserve">Reference commit </w:t>
      </w:r>
      <w:r>
        <w:t>496bc85</w:t>
      </w:r>
    </w:p>
    <w:p>
      <w:pPr>
        <w:widowControl/>
        <w:spacing w:after="60"/>
      </w:pPr>
      <w:r>
        <w:rPr>
          <w:b/>
        </w:rPr>
        <w:t xml:space="preserve">Status date </w:t>
      </w:r>
      <w:r>
        <w:t>26 September 2026</w:t>
      </w:r>
    </w:p>
    <w:p>
      <w:pPr>
        <w:widowControl/>
        <w:spacing w:after="60"/>
      </w:pPr>
      <w:r>
        <w:rPr>
          <w:b/>
        </w:rPr>
        <w:t xml:space="preserve">Target manuscript date </w:t>
      </w:r>
      <w:r>
        <w:t>26 November 2026</w:t>
      </w:r>
    </w:p>
    <w:p>
      <w:pPr>
        <w:widowControl/>
        <w:spacing w:before="360" w:after="160"/>
      </w:pPr>
      <w:r>
        <w:rPr>
          <w:b/>
          <w:sz w:val="24"/>
        </w:rPr>
        <w:t>Main conclusion</w:t>
      </w:r>
    </w:p>
    <w:p>
      <w:pPr>
        <w:widowControl/>
        <w:spacing w:line="269" w:lineRule="auto"/>
      </w:pPr>
      <w:r>
        <w:t>The implementation is ready for controlled GPU validation, but the project does not yet have paper comparable results or sufficient evidence that the current DDPG policy learns. A submission ready manuscript is achievable within two months if instrumentation and hybrid implementation finish in the first two weeks, GPU access begins by Week 3, and the full experiment matrix is completed by 6 November. The safest paper contribution is a transparent reproduction study plus a budget aware DDPG guided simulated annealing method, with claims restricted to evidence produced by the frozen paper mode.</w:t>
      </w:r>
    </w:p>
    <w:p>
      <w:pPr>
        <w:widowControl/>
        <w:spacing w:before="240"/>
      </w:pPr>
      <w:r>
        <w:rPr>
          <w:b/>
        </w:rPr>
        <w:t>Two month outcome</w:t>
      </w:r>
      <w:r>
        <w:t xml:space="preserve"> A complete manuscript, reproducibility package, frozen configurations, raw experiment records, analysis scripts, and a documented submission decision. Acceptance cannot be guaranteed.</w:t>
      </w:r>
    </w:p>
    <w:p>
      <w:pPr>
        <w:widowControl/>
      </w:pPr>
      <w:r>
        <w:br w:type="page"/>
      </w:r>
    </w:p>
    <w:p>
      <w:pPr>
        <w:pStyle w:val="Heading1"/>
        <w:widowControl/>
      </w:pPr>
      <w:r>
        <w:t>1 Current Position</w:t>
      </w:r>
    </w:p>
    <w:p>
      <w:pPr>
        <w:widowControl/>
      </w:pPr>
      <w:r>
        <w:rPr>
          <w:b/>
        </w:rPr>
        <w:t xml:space="preserve">Overall status. </w:t>
      </w:r>
      <w:r>
        <w:t>The project has a credible paper oriented implementation and a clear improvement direction. It has not yet reproduced the published figures, validated the H100 path, demonstrated statistically reliable learning, or implemented the proposed DDPG plus SA hybrid. Old numerical results cannot be mixed with the current objective.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Area</w:t>
            </w:r>
          </w:p>
        </w:tc>
        <w:tc>
          <w:tcPr>
            <w:tcW w:type="dxa" w:w="676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Current position</w:t>
            </w:r>
          </w:p>
        </w:tc>
        <w:tc>
          <w:tcPr>
            <w:tcW w:type="dxa" w:w="1655"/>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Status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Paper oriented simulator</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Table 1 topology, paper task totals, separate CONV and FC regions, reconstructed pipeline latency and XY contention are implemented.</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2F0D9"/>
          </w:tcPr>
          <w:p>
            <w:pPr>
              <w:spacing w:after="0" w:line="245" w:lineRule="auto"/>
              <w:jc w:val="center"/>
            </w:pPr>
            <w:r>
              <w:rPr>
                <w:rFonts w:ascii="Aptos" w:hAnsi="Aptos"/>
                <w:color w:val="000000"/>
                <w:sz w:val="16"/>
              </w:rPr>
              <w:t>Ready with assumptions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DDPG implementation</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Figure 9 style paper CNN, sparse terminal reward, learning rates, gamma, minibatch, collision repair and CUDA model execution are implemented.</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2F0D9"/>
          </w:tcPr>
          <w:p>
            <w:pPr>
              <w:spacing w:after="0" w:line="245" w:lineRule="auto"/>
              <w:jc w:val="center"/>
            </w:pPr>
            <w:r>
              <w:rPr>
                <w:rFonts w:ascii="Aptos" w:hAnsi="Aptos"/>
                <w:color w:val="000000"/>
                <w:sz w:val="16"/>
              </w:rPr>
              <w:t>Ready for validation</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Baselines</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Sequential placement, random search and paper structured simulated annealing are implemented.</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2F0D9"/>
          </w:tcPr>
          <w:p>
            <w:pPr>
              <w:spacing w:after="0" w:line="245" w:lineRule="auto"/>
              <w:jc w:val="center"/>
            </w:pPr>
            <w:r>
              <w:rPr>
                <w:rFonts w:ascii="Aptos" w:hAnsi="Aptos"/>
                <w:color w:val="000000"/>
                <w:sz w:val="16"/>
              </w:rPr>
              <w:t>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Workloads</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AlexNet, VGG16 and ResNet50 exact aggregate CONV and FC task counts are implemented.</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2F0D9"/>
          </w:tcPr>
          <w:p>
            <w:pPr>
              <w:spacing w:after="0" w:line="245" w:lineRule="auto"/>
              <w:jc w:val="center"/>
            </w:pPr>
            <w:r>
              <w:rPr>
                <w:rFonts w:ascii="Aptos" w:hAnsi="Aptos"/>
                <w:color w:val="000000"/>
                <w:sz w:val="16"/>
              </w:rPr>
              <w:t>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Testing</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Local regression and CPU smoke evidence exists. The exact H100 configuration has not been validated.</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2CC"/>
          </w:tcPr>
          <w:p>
            <w:pPr>
              <w:spacing w:after="0" w:line="245" w:lineRule="auto"/>
              <w:jc w:val="center"/>
            </w:pPr>
            <w:r>
              <w:rPr>
                <w:rFonts w:ascii="Aptos" w:hAnsi="Aptos"/>
                <w:color w:val="000000"/>
                <w:sz w:val="16"/>
              </w:rPr>
              <w:t>Partial</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Paper scale runs</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No canonical 500,010 placement, five seed result set exists for the frozen paper mode.</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CE4D6"/>
          </w:tcPr>
          <w:p>
            <w:pPr>
              <w:spacing w:after="0" w:line="245" w:lineRule="auto"/>
              <w:jc w:val="center"/>
            </w:pPr>
            <w:r>
              <w:rPr>
                <w:rFonts w:ascii="Aptos" w:hAnsi="Aptos"/>
                <w:color w:val="000000"/>
                <w:sz w:val="16"/>
              </w:rPr>
              <w:t>Not done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Learning evidence</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Deterministic actor evaluation and multi seed significance evidence are not yet sufficient.</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CE4D6"/>
          </w:tcPr>
          <w:p>
            <w:pPr>
              <w:spacing w:after="0" w:line="245" w:lineRule="auto"/>
              <w:jc w:val="center"/>
            </w:pPr>
            <w:r>
              <w:rPr>
                <w:rFonts w:ascii="Aptos" w:hAnsi="Aptos"/>
                <w:color w:val="000000"/>
                <w:sz w:val="16"/>
              </w:rPr>
              <w:t>Not demonstrated</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Hybrid DDPG plus SA</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Current SA starts randomly and is a separate baseline. It does not accept the best DDPG placement.</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CE4D6"/>
          </w:tcPr>
          <w:p>
            <w:pPr>
              <w:spacing w:after="0" w:line="245" w:lineRule="auto"/>
              <w:jc w:val="center"/>
            </w:pPr>
            <w:r>
              <w:rPr>
                <w:rFonts w:ascii="Aptos" w:hAnsi="Aptos"/>
                <w:color w:val="000000"/>
                <w:sz w:val="16"/>
              </w:rPr>
              <w:t>Not implemented</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Parallel execution</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The paper wrapper runs child experiments serially. Independent commands can be launched manually.</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2CC"/>
          </w:tcPr>
          <w:p>
            <w:pPr>
              <w:spacing w:after="0" w:line="245" w:lineRule="auto"/>
              <w:jc w:val="center"/>
            </w:pPr>
            <w:r>
              <w:rPr>
                <w:rFonts w:ascii="Aptos" w:hAnsi="Aptos"/>
                <w:color w:val="000000"/>
                <w:sz w:val="16"/>
              </w:rPr>
              <w:t>Partial</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Manuscript</w:t>
            </w:r>
          </w:p>
        </w:tc>
        <w:tc>
          <w:tcPr>
            <w:tcW w:type="dxa" w:w="676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Research framing and literature gap are identified; figures, final results and paper text are not complete.</w:t>
            </w:r>
          </w:p>
        </w:tc>
        <w:tc>
          <w:tcPr>
            <w:tcW w:type="dxa" w:w="16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CE4D6"/>
          </w:tcPr>
          <w:p>
            <w:pPr>
              <w:spacing w:after="0" w:line="245" w:lineRule="auto"/>
              <w:jc w:val="center"/>
            </w:pPr>
            <w:r>
              <w:rPr>
                <w:rFonts w:ascii="Aptos" w:hAnsi="Aptos"/>
                <w:color w:val="000000"/>
                <w:sz w:val="16"/>
              </w:rPr>
              <w:t>Not started</w:t>
            </w:r>
          </w:p>
        </w:tc>
      </w:tr>
    </w:tbl>
    <w:p>
      <w:pPr>
        <w:widowControl/>
        <w:spacing w:after="0"/>
      </w:pPr>
    </w:p>
    <w:p>
      <w:pPr>
        <w:pStyle w:val="Heading2"/>
        <w:widowControl/>
      </w:pPr>
      <w:r>
        <w:t>Evidence already available</w:t>
      </w:r>
    </w:p>
    <w:p>
      <w:pPr>
        <w:pStyle w:val="ListBullet"/>
        <w:widowControl/>
        <w:spacing w:after="80" w:line="250" w:lineRule="auto"/>
        <w:ind w:left="360" w:hanging="230"/>
      </w:pPr>
      <w:r>
        <w:t>The maintained remote branch is codex/reconciled-paper-implementation at commit 496bc85. The main branch is historical and should not be used for paper runs.</w:t>
      </w:r>
    </w:p>
    <w:p>
      <w:pPr>
        <w:pStyle w:val="ListBullet"/>
        <w:widowControl/>
        <w:spacing w:after="80" w:line="250" w:lineRule="auto"/>
        <w:ind w:left="360" w:hanging="230"/>
      </w:pPr>
      <w:r>
        <w:t>Exact aggregate task counts are AlexNet 183 CONV and 932 FC, VGG16 1,024 CONV and 1,924 FC, and ResNet50 512 CONV and 37 FC.</w:t>
      </w:r>
    </w:p>
    <w:p>
      <w:pPr>
        <w:pStyle w:val="ListBullet"/>
        <w:widowControl/>
        <w:spacing w:after="80" w:line="250" w:lineRule="auto"/>
        <w:ind w:left="360" w:hanging="230"/>
      </w:pPr>
      <w:r>
        <w:t>The canonical paper runner accounts explicitly for 30 complete placements per declared epoch. A 500,000 placement target is 16,667 declared epochs, producing 500,010 placements.</w:t>
      </w:r>
    </w:p>
    <w:p>
      <w:pPr>
        <w:pStyle w:val="ListBullet"/>
        <w:widowControl/>
        <w:spacing w:after="80" w:line="250" w:lineRule="auto"/>
        <w:ind w:left="360" w:hanging="230"/>
      </w:pPr>
      <w:r>
        <w:t>Prior local tests covered workload extraction, routing, shared link contention, masked regions, baselines, reward behavior, optimizer updates and paper mode orchestration.</w:t>
      </w:r>
    </w:p>
    <w:p>
      <w:pPr>
        <w:pStyle w:val="ListBullet"/>
        <w:widowControl/>
        <w:spacing w:after="80" w:line="250" w:lineRule="auto"/>
        <w:ind w:left="360" w:hanging="230"/>
      </w:pPr>
      <w:r>
        <w:t>The code supports CUDA for networks and tensors, while placement evaluation, routing, collision repair, replay storage and orchestration remain CPU side.</w:t>
      </w:r>
    </w:p>
    <w:p>
      <w:pPr>
        <w:pStyle w:val="Heading2"/>
        <w:widowControl/>
      </w:pPr>
      <w:r>
        <w:t>How to interpret the results obtained so far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Result set</w:t>
            </w:r>
          </w:p>
        </w:tc>
        <w:tc>
          <w:tcPr>
            <w:tcW w:type="dxa" w:w="3960"/>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What it shows</w:t>
            </w:r>
          </w:p>
        </w:tc>
        <w:tc>
          <w:tcPr>
            <w:tcW w:type="dxa" w:w="4320"/>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What it cannot support</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Older 1,445 task AlexNet run</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Best cost 8,068,736 versus baseline 12,697,984, a 36.46 percent reduction under that version.</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It used a different workload extraction and objective. It cannot establish paper reproduction or current model quality.</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Later junior run</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DDPG produced a slightly lower mean objective than random search and SA in that run.</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The DDPG advantage over random search was about 0.04 percent and the command was not the frozen canonical paper experiment.</w:t>
            </w:r>
          </w:p>
        </w:tc>
      </w:tr>
      <w:tr>
        <w:trPr>
          <w:cantSplit/>
        </w:trPr>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Current paper mode smoke tests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Extraction, objectives, baselines, checkpoints and orchestration execute.</w:t>
            </w:r>
          </w:p>
        </w:tc>
        <w:tc>
          <w:tcPr>
            <w:tcW w:type="dxa" w:w="43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One placement cannot train the agent or support a learning claim.</w:t>
            </w:r>
          </w:p>
        </w:tc>
      </w:tr>
    </w:tbl>
    <w:p>
      <w:pPr>
        <w:widowControl/>
        <w:spacing w:after="0"/>
      </w:pPr>
    </w:p>
    <w:p>
      <w:pPr>
        <w:widowControl/>
      </w:pPr>
      <w:r>
        <w:rPr>
          <w:b/>
        </w:rPr>
        <w:t xml:space="preserve">Current defensible claim. </w:t>
      </w:r>
      <w:r>
        <w:t>The system is a documented reconstruction that is ready for full validation. DDPG learning and paper level numerical reproduction remain open experimental questions.</w:t>
      </w:r>
    </w:p>
    <w:p>
      <w:pPr>
        <w:pStyle w:val="Heading1"/>
        <w:widowControl/>
      </w:pPr>
      <w:r>
        <w:t>2 Proposed Paper Scope</w:t>
      </w:r>
    </w:p>
    <w:p>
      <w:pPr>
        <w:widowControl/>
      </w:pPr>
      <w:r>
        <w:rPr>
          <w:b/>
        </w:rPr>
        <w:t xml:space="preserve">Working research question. </w:t>
      </w:r>
      <w:r>
        <w:t>Can a fixed budget hybrid that uses DDPG to discover a strong global placement and simulated annealing to refine it produce lower pipeline latency or reach the same quality faster than pure DDPG, pure SA and random search for multi chip DNN core placement?</w:t>
      </w:r>
    </w:p>
    <w:p>
      <w:pPr>
        <w:widowControl/>
      </w:pPr>
      <w:r>
        <w:rPr>
          <w:b/>
        </w:rPr>
        <w:t xml:space="preserve">Working title. </w:t>
      </w:r>
      <w:r>
        <w:t>Budget Aware Hybrid DDPG and Simulated Annealing for Core Placement in Multi Chip DNN Accelerators</w:t>
      </w:r>
    </w:p>
    <w:p>
      <w:pPr>
        <w:pStyle w:val="Heading2"/>
        <w:widowControl/>
      </w:pPr>
      <w:r>
        <w:t>Novelty boundary</w:t>
      </w:r>
    </w:p>
    <w:p>
      <w:pPr>
        <w:widowControl/>
      </w:pPr>
      <w:r>
        <w:rPr>
          <w:b/>
        </w:rPr>
        <w:t xml:space="preserve">The general idea of combining reinforcement learning and simulated annealing for placement is established prior work. </w:t>
      </w:r>
      <w:r>
        <w:t>Published methods include cyclic RL and SA for integrated circuit placement, RL initialized SA for monolithic 3D placement, RL selected SA moves for FPGA placement, and multi scale RL initialized SA. The paper must not claim that RL plus SA itself is new.</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Prior work area</w:t>
            </w:r>
          </w:p>
        </w:tc>
        <w:tc>
          <w:tcPr>
            <w:tcW w:type="dxa" w:w="3960"/>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Existing contribution</w:t>
            </w:r>
          </w:p>
        </w:tc>
        <w:tc>
          <w:tcPr>
            <w:tcW w:type="dxa" w:w="446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Remaining opportunity for this project</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Original target paper</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DDPG optimizes multi chip many core DNN core placement; SA is an independent baseline.</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Evaluate a hybrid under the same DNN mapping problem and latency model.</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Cyclic RL plus SA</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RL and SA are combined for conventional integrated circuit placement.</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Design the handoff and feedback around logic core placement, masked regions and communication contention.</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RS3DPlace and multi scale placement</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RL supplies an initial solution that SA refines.</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Show whether the pattern works for thousands of DNN logic cores and hierarchical on and off chip links.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RLPlace and RL guided FPGA SA</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RL selects useful SA move types or search regions.</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Develop communication aware moves and incremental evaluation for the DNN mapping objective.</w:t>
            </w:r>
          </w:p>
        </w:tc>
      </w:tr>
    </w:tbl>
    <w:p>
      <w:pPr>
        <w:widowControl/>
        <w:spacing w:after="0"/>
      </w:pPr>
    </w:p>
    <w:p>
      <w:pPr>
        <w:pStyle w:val="Heading2"/>
        <w:widowControl/>
      </w:pPr>
      <w:r>
        <w:t>Candidate contributions</w:t>
      </w:r>
    </w:p>
    <w:p>
      <w:pPr>
        <w:pStyle w:val="ListNumber"/>
        <w:widowControl/>
        <w:spacing w:after="80"/>
        <w:ind w:left="360" w:hanging="230"/>
      </w:pPr>
      <w:r>
        <w:t>A reproducible reconstruction of the DDPG core placement experiment with explicit accounting of assumptions omitted from the original publication.</w:t>
      </w:r>
    </w:p>
    <w:p>
      <w:pPr>
        <w:pStyle w:val="ListNumber"/>
        <w:widowControl/>
        <w:spacing w:after="80"/>
        <w:ind w:left="360" w:hanging="230"/>
      </w:pPr>
      <w:r>
        <w:t>A budget aware hybrid in which simulated annealing starts from the best deterministic DDPG placement and uses the remaining search budget.</w:t>
      </w:r>
    </w:p>
    <w:p>
      <w:pPr>
        <w:pStyle w:val="ListNumber"/>
        <w:widowControl/>
        <w:spacing w:after="80"/>
        <w:ind w:left="360" w:hanging="230"/>
      </w:pPr>
      <w:r>
        <w:t>Communication aware SA neighborhoods for separate CONV and FC regions, with exact validity and collision handling.</w:t>
      </w:r>
    </w:p>
    <w:p>
      <w:pPr>
        <w:pStyle w:val="ListNumber"/>
        <w:widowControl/>
        <w:spacing w:after="80"/>
        <w:ind w:left="360" w:hanging="230"/>
      </w:pPr>
      <w:r>
        <w:t>Incremental or cached evaluation of affected stages and routed links to reduce refinement time.</w:t>
      </w:r>
    </w:p>
    <w:p>
      <w:pPr>
        <w:pStyle w:val="ListNumber"/>
        <w:widowControl/>
        <w:spacing w:after="80"/>
        <w:ind w:left="360" w:hanging="230"/>
      </w:pPr>
      <w:r>
        <w:t>A fair evaluation under both equal placement evaluation budgets and equal wall clock budgets across three DNNs, two regions and multiple seeds.</w:t>
      </w:r>
    </w:p>
    <w:p>
      <w:pPr>
        <w:pStyle w:val="ListNumber"/>
        <w:widowControl/>
        <w:spacing w:after="80"/>
        <w:ind w:left="360" w:hanging="230"/>
      </w:pPr>
      <w:r>
        <w:t>An empirical analysis of when hybrid refinement helps, including model size, communication locality, collision behavior and time to target quality.</w:t>
      </w:r>
    </w:p>
    <w:p>
      <w:pPr>
        <w:pStyle w:val="Heading2"/>
        <w:widowControl/>
      </w:pPr>
      <w:r>
        <w:t>Claims that must be avoided</w:t>
      </w:r>
    </w:p>
    <w:p>
      <w:pPr>
        <w:pStyle w:val="ListBullet"/>
        <w:widowControl/>
        <w:spacing w:after="44" w:line="250" w:lineRule="auto"/>
        <w:ind w:left="360" w:hanging="230"/>
      </w:pPr>
      <w:r>
        <w:t>Do not claim the first RL plus SA placement method.</w:t>
      </w:r>
    </w:p>
    <w:p>
      <w:pPr>
        <w:pStyle w:val="ListBullet"/>
        <w:widowControl/>
        <w:spacing w:after="44" w:line="250" w:lineRule="auto"/>
        <w:ind w:left="360" w:hanging="230"/>
      </w:pPr>
      <w:r>
        <w:t>Do not describe the reconstructed simulator as the unpublished simulator used by the original authors.</w:t>
      </w:r>
    </w:p>
    <w:p>
      <w:pPr>
        <w:pStyle w:val="ListBullet"/>
        <w:widowControl/>
        <w:spacing w:after="44" w:line="250" w:lineRule="auto"/>
        <w:ind w:left="360" w:hanging="230"/>
      </w:pPr>
      <w:r>
        <w:t>Do not compare old proxy costs, full frame costs and paper pipeline seconds as a single metric.</w:t>
      </w:r>
    </w:p>
    <w:p>
      <w:pPr>
        <w:pStyle w:val="ListBullet"/>
        <w:widowControl/>
        <w:spacing w:after="44" w:line="250" w:lineRule="auto"/>
        <w:ind w:left="360" w:hanging="230"/>
      </w:pPr>
      <w:r>
        <w:t>Do not use a decreasing best ever curve as proof that the deterministic DDPG policy learned.</w:t>
      </w:r>
    </w:p>
    <w:p>
      <w:pPr>
        <w:pStyle w:val="ListBullet"/>
        <w:widowControl/>
        <w:spacing w:after="44" w:line="250" w:lineRule="auto"/>
        <w:ind w:left="360" w:hanging="230"/>
      </w:pPr>
      <w:r>
        <w:t>Do not report the best seed alone or tune the final method on every seed.</w:t>
      </w:r>
    </w:p>
    <w:p>
      <w:pPr>
        <w:pStyle w:val="ListBullet"/>
        <w:widowControl/>
        <w:spacing w:after="44" w:line="250" w:lineRule="auto"/>
        <w:ind w:left="360" w:hanging="230"/>
      </w:pPr>
      <w:r>
        <w:t>Do not call inverse latency measured hardware throughput until fill, steady state and drain behavior are implemented and validated.</w:t>
      </w:r>
    </w:p>
    <w:p>
      <w:pPr>
        <w:pStyle w:val="Heading1"/>
        <w:widowControl/>
      </w:pPr>
      <w:r>
        <w:t>3 Engineering Work Required Before Full Experiments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91"/>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Priority</w:t>
            </w:r>
          </w:p>
        </w:tc>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Required change</w:t>
            </w:r>
          </w:p>
        </w:tc>
        <w:tc>
          <w:tcPr>
            <w:tcW w:type="dxa" w:w="3671"/>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Reason</w:t>
            </w:r>
          </w:p>
        </w:tc>
        <w:tc>
          <w:tcPr>
            <w:tcW w:type="dxa" w:w="3916"/>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Completion test</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P0</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Deterministic actor evaluation</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Separates policy learning from noisy exploration and best of random sampling.</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Noise disabled evaluation is logged at fixed placement intervals and reproducible from a checkpoint.</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P0</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Unique resumable job outputs</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Parallel jobs must never overwrite checkpoints, diagnostics or reports.</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Ten seed and region jobs can stop and resume independently with timestamped logs.</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P0</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Parallel experiment launcher</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The current wrapper is serial and would waste a multi slice allocation.</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Seed and region jobs are assigned to visible GPUs or scheduler jobs with bounded concurrency.</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P0</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Random baseline caching</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The random search used for baseline B duplicates the separately executed RS search.</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One archived RS result can be loaded as B with identical provenance and no change in objective.</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Warm start SA</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The proposed hybrid requires SA to begin from the best DDPG placement.</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SA accepts a supplied valid placement and preserves or improves its best cost.</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Combined budget accounting</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The hybrid must be compared fairly.</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Reports state DDPG placements, SA moves, total evaluations and wall clock separately.</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Incremental SA evaluator</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Current SA performs a full environment evaluation after every move.</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Incremental and full evaluation agree within tolerance on randomized placements and moved task sets.</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Learning curve and statistics export</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The manuscript needs consistent figures and seed aggregation.</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A single analysis command creates per seed curves, summary tables and confidence intervals from raw reports.</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P2</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Cyclic feedback variant</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This may strengthen novelty beyond simple warm start.</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SA improvements can enter replay or a subsequent DDPG stage without invalid transitions.</w:t>
            </w:r>
          </w:p>
        </w:tc>
      </w:tr>
      <w:tr>
        <w:trPr>
          <w:cantSplit/>
        </w:trPr>
        <w:tc>
          <w:tcPr>
            <w:tcW w:type="dxa" w:w="69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P2</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True steady state throughput model</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Needed only if claiming reproduction of throughput results.</w:t>
            </w:r>
          </w:p>
        </w:tc>
        <w:tc>
          <w:tcPr>
            <w:tcW w:type="dxa" w:w="391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Hand checked fill, steady state and drain cases pass and throughput is reported separately from inverse latency.</w:t>
            </w:r>
          </w:p>
        </w:tc>
      </w:tr>
    </w:tbl>
    <w:p>
      <w:pPr>
        <w:widowControl/>
        <w:spacing w:after="0"/>
      </w:pPr>
    </w:p>
    <w:p>
      <w:pPr>
        <w:pStyle w:val="Heading2"/>
        <w:widowControl/>
      </w:pPr>
      <w:r>
        <w:t>Frozen configurations</w:t>
      </w:r>
    </w:p>
    <w:p>
      <w:pPr>
        <w:widowControl/>
      </w:pPr>
      <w:r>
        <w:rPr>
          <w:b/>
        </w:rPr>
        <w:t xml:space="preserve">Reproduction configuration. </w:t>
      </w:r>
      <w:r>
        <w:t>Use paper targets, separate CONV and FC masks, paper pipeline timing, paper XY routing, the paper CNN, sparse terminal reward, batch z equal to 3, training every placement, 30 placements per declared epoch, 16,667 epochs, and seeds 0 through 4. Every report must record the commit, environment, seed, budgets and reconstruction parameters.</w:t>
      </w:r>
    </w:p>
    <w:p>
      <w:pPr>
        <w:widowControl/>
      </w:pPr>
      <w:r>
        <w:rPr>
          <w:b/>
        </w:rPr>
        <w:t xml:space="preserve">Improvement configuration. </w:t>
      </w:r>
      <w:r>
        <w:t>Freeze the hybrid after the AlexNet development study. Do not retune it independently on VGG16 and ResNet50. Treat potential reward, alternate agents, graph encoders and collision penalties as separate ablations rather than changes to the reproduction configuration.</w:t>
      </w:r>
    </w:p>
    <w:p>
      <w:pPr>
        <w:pStyle w:val="Heading1"/>
        <w:widowControl/>
      </w:pPr>
      <w:r>
        <w:t>4 Experimental Plan</w:t>
      </w:r>
    </w:p>
    <w:p>
      <w:pPr>
        <w:pStyle w:val="Heading2"/>
        <w:widowControl/>
      </w:pPr>
      <w:r>
        <w:t>Primary methods and budgets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Method</w:t>
            </w:r>
          </w:p>
        </w:tc>
        <w:tc>
          <w:tcPr>
            <w:tcW w:type="dxa" w:w="3240"/>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Primary budget</w:t>
            </w:r>
          </w:p>
        </w:tc>
        <w:tc>
          <w:tcPr>
            <w:tcW w:type="dxa" w:w="532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Purpose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BS</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One deterministic placement per workload and region</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Normalization baseline and reproducibility check.</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Random search</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1,000,000 complete placements</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Published baseline and reusable reward baseline B.</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Simulated annealing</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Approximately 1,000,000 evaluated neighbors</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Published heuristic baseline from a random initialization.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Pure DDPG</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500,010 complete placements</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Paper oriented reference and learning analysis.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Warm start hybrid</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Fixed total, initially 400,000 DDPG plus 100,000 SA</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Equal evaluation budget comparison with pure DDPG.</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Time matched hybrid</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Same wall clock as pure DDPG</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Measures practical time to solution and accounts for cheaper SA steps.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Optional cyclic hybrid</w:t>
            </w:r>
          </w:p>
        </w:tc>
        <w:tc>
          <w:tcPr>
            <w:tcW w:type="dxa" w:w="32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Same total evaluation and wall clock constraints</w:t>
            </w:r>
          </w:p>
        </w:tc>
        <w:tc>
          <w:tcPr>
            <w:tcW w:type="dxa" w:w="53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Tests whether SA feedback improves the learned policy.</w:t>
            </w:r>
          </w:p>
        </w:tc>
      </w:tr>
    </w:tbl>
    <w:p>
      <w:pPr>
        <w:widowControl/>
        <w:spacing w:after="0"/>
      </w:pPr>
    </w:p>
    <w:p>
      <w:pPr>
        <w:widowControl/>
      </w:pPr>
      <w:r>
        <w:rPr>
          <w:b/>
        </w:rPr>
        <w:t xml:space="preserve">Budget note. </w:t>
      </w:r>
      <w:r>
        <w:t>The initial 400,000 plus 100,000 split is a preregistered starting point, not a guaranteed optimum. A small AlexNet development sweep may compare 300k plus 200k, 350k plus 150k and 400k plus 100k. Select one split before evaluating the held out workloads.</w:t>
      </w:r>
    </w:p>
    <w:p>
      <w:pPr>
        <w:pStyle w:val="Heading2"/>
        <w:widowControl/>
      </w:pPr>
      <w:r>
        <w:t>Workloads and repetitions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Dimension</w:t>
            </w:r>
          </w:p>
        </w:tc>
        <w:tc>
          <w:tcPr>
            <w:tcW w:type="dxa" w:w="7992"/>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Required coverage</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DNN workloads</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AlexNet, VGG16 and ResNet50</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Placement regions</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CONV and FC reported separately, plus a clearly defined aggregate</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Random seeds</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Five minimum for every stochastic method; use more only if resources permit</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Hardware model</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Primary 4 by 4 chips with 16 by 16 cores per chip; at least one smaller or alternate topology for robustness</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Development workload</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AlexNet seed 0 only until the hybrid configuration is frozen</w:t>
            </w:r>
          </w:p>
        </w:tc>
      </w:tr>
      <w:tr>
        <w:trPr>
          <w:cantSplit/>
        </w:trPr>
        <w:tc>
          <w:tcPr>
            <w:tcW w:type="dxa" w:w="252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Held out confirmation</w:t>
            </w:r>
          </w:p>
        </w:tc>
        <w:tc>
          <w:tcPr>
            <w:tcW w:type="dxa" w:w="799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VGG16 and ResNet50, with no per workload retuning of the selected hybrid</w:t>
            </w:r>
          </w:p>
        </w:tc>
      </w:tr>
    </w:tbl>
    <w:p>
      <w:pPr>
        <w:widowControl/>
        <w:spacing w:after="0"/>
      </w:pPr>
    </w:p>
    <w:p>
      <w:pPr>
        <w:pStyle w:val="Heading2"/>
        <w:widowControl/>
      </w:pPr>
      <w:r>
        <w:t>Metrics required for the manuscript</w:t>
      </w:r>
    </w:p>
    <w:p>
      <w:pPr>
        <w:pStyle w:val="ListBullet"/>
        <w:widowControl/>
        <w:spacing w:after="80" w:line="250" w:lineRule="auto"/>
        <w:ind w:left="360" w:hanging="230"/>
      </w:pPr>
      <w:r>
        <w:t>Primary quality: reconstructed bottleneck pipeline latency, reported separately for CONV and FC and normalized to BS.</w:t>
      </w:r>
    </w:p>
    <w:p>
      <w:pPr>
        <w:pStyle w:val="ListBullet"/>
        <w:widowControl/>
        <w:spacing w:after="80" w:line="250" w:lineRule="auto"/>
        <w:ind w:left="360" w:hanging="230"/>
      </w:pPr>
      <w:r>
        <w:t>Search quality: best cost versus complete placement evaluations.</w:t>
      </w:r>
    </w:p>
    <w:p>
      <w:pPr>
        <w:pStyle w:val="ListBullet"/>
        <w:widowControl/>
        <w:spacing w:after="80" w:line="250" w:lineRule="auto"/>
        <w:ind w:left="360" w:hanging="230"/>
      </w:pPr>
      <w:r>
        <w:t>Learning evidence: deterministic actor cost versus training progress, without exploration noise.</w:t>
      </w:r>
    </w:p>
    <w:p>
      <w:pPr>
        <w:pStyle w:val="ListBullet"/>
        <w:widowControl/>
        <w:spacing w:after="80" w:line="250" w:lineRule="auto"/>
        <w:ind w:left="360" w:hanging="230"/>
      </w:pPr>
      <w:r>
        <w:t>Efficiency: wall clock, placements per second, time to reach fixed quality thresholds, CPU utilization, GPU utilization and peak memory.</w:t>
      </w:r>
    </w:p>
    <w:p>
      <w:pPr>
        <w:pStyle w:val="ListBullet"/>
        <w:widowControl/>
        <w:spacing w:after="80" w:line="250" w:lineRule="auto"/>
        <w:ind w:left="360" w:hanging="230"/>
      </w:pPr>
      <w:r>
        <w:t>Communication behavior: hop distribution, on chip and off chip link loads, bottleneck links and congestion.</w:t>
      </w:r>
    </w:p>
    <w:p>
      <w:pPr>
        <w:pStyle w:val="ListBullet"/>
        <w:widowControl/>
        <w:spacing w:after="80" w:line="250" w:lineRule="auto"/>
        <w:ind w:left="360" w:hanging="230"/>
      </w:pPr>
      <w:r>
        <w:t>Stability: mean, sample standard deviation, 95 percent confidence interval, median and per seed values.</w:t>
      </w:r>
    </w:p>
    <w:p>
      <w:pPr>
        <w:pStyle w:val="ListBullet"/>
        <w:widowControl/>
        <w:spacing w:after="80" w:line="250" w:lineRule="auto"/>
        <w:ind w:left="360" w:hanging="230"/>
      </w:pPr>
      <w:r>
        <w:t>Fairness: complete evaluations, DDPG updates and SA moves disclosed separately.</w:t>
      </w:r>
    </w:p>
    <w:p>
      <w:pPr>
        <w:pStyle w:val="ListBullet"/>
        <w:widowControl/>
        <w:spacing w:after="80" w:line="250" w:lineRule="auto"/>
        <w:ind w:left="360" w:hanging="230"/>
      </w:pPr>
      <w:r>
        <w:t>Validity: placement legality, collision repair counts, mask repairs, unique intended cores and checkpoint provenance.</w:t>
      </w:r>
    </w:p>
    <w:p>
      <w:pPr>
        <w:pStyle w:val="Heading2"/>
        <w:widowControl/>
      </w:pPr>
      <w:r>
        <w:t>Statistical analysis and success thresholds</w:t>
      </w:r>
    </w:p>
    <w:p>
      <w:pPr>
        <w:widowControl/>
      </w:pPr>
      <w:r>
        <w:rPr>
          <w:b/>
        </w:rPr>
        <w:t xml:space="preserve">Primary comparison. </w:t>
      </w:r>
      <w:r>
        <w:t>Use paired seeds where possible and report bootstrap confidence intervals for the mean relative latency change. A nonparametric paired test can supplement the confidence interval because five seeds may not justify a normality assumption. Report all seed values regardless of significance.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536"/>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Observed outcome</w:t>
            </w:r>
          </w:p>
        </w:tc>
        <w:tc>
          <w:tcPr>
            <w:tcW w:type="dxa" w:w="5976"/>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Publication decision</w:t>
            </w:r>
          </w:p>
        </w:tc>
      </w:tr>
      <w:tr>
        <w:trPr>
          <w:cantSplit/>
        </w:trPr>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Hybrid improvement is below 1 percent and overlaps seed variation, with no runtime benefit</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Do not make the hybrid the main contribution. Consider a reproduction or negative result workshop paper, or continue method development.</w:t>
            </w:r>
          </w:p>
        </w:tc>
      </w:tr>
      <w:tr>
        <w:trPr>
          <w:cantSplit/>
        </w:trPr>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Hybrid improves 1 to 3 percent consistently and substantially reduces time to target</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Potential workshop or short paper if the runtime and ablation evidence is strong.</w:t>
            </w:r>
          </w:p>
        </w:tc>
      </w:tr>
      <w:tr>
        <w:trPr>
          <w:cantSplit/>
        </w:trPr>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Hybrid improves at least 3 to 5 percent across multiple workloads or reaches equal quality about 2 times faster</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Strong basis for a systems or design automation submission, subject to simulator validity and comparisons.</w:t>
            </w:r>
          </w:p>
        </w:tc>
      </w:tr>
      <w:tr>
        <w:trPr>
          <w:cantSplit/>
        </w:trPr>
        <w:tc>
          <w:tcPr>
            <w:tcW w:type="dxa" w:w="453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DDPG deterministic policy does not improve over equal budget random search</w:t>
            </w:r>
          </w:p>
        </w:tc>
        <w:tc>
          <w:tcPr>
            <w:tcW w:type="dxa" w:w="597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Pause full scaling and debug the learning formulation. Do not hide the result behind best ever exploration samples.</w:t>
            </w:r>
          </w:p>
        </w:tc>
      </w:tr>
    </w:tbl>
    <w:p>
      <w:pPr>
        <w:widowControl/>
        <w:spacing w:after="0"/>
      </w:pPr>
    </w:p>
    <w:p>
      <w:pPr>
        <w:pStyle w:val="Heading1"/>
        <w:widowControl/>
      </w:pPr>
      <w:r>
        <w:t>5 Compute and Execution Plan</w:t>
      </w:r>
    </w:p>
    <w:p>
      <w:pPr>
        <w:widowControl/>
      </w:pPr>
      <w:r>
        <w:rPr>
          <w:b/>
        </w:rPr>
        <w:t xml:space="preserve">Recommended allocation. </w:t>
      </w:r>
      <w:r>
        <w:t>Request eight to ten concurrent 12 GB H100 slices for 72 hours, each with 8 to 16 CPU cores and at least 32 GB RAM, or two full H100 80 GB GPUs with 64 to 128 total CPU cores and 256 GB RAM. Parallel CPU capacity matters because environment evaluation and SA remain CPU side.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38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Item</w:t>
            </w:r>
          </w:p>
        </w:tc>
        <w:tc>
          <w:tcPr>
            <w:tcW w:type="dxa" w:w="712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Planning value</w:t>
            </w:r>
          </w:p>
        </w:tc>
      </w:tr>
      <w:tr>
        <w:trPr>
          <w:cantSplit/>
        </w:trPr>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Independent DDPG jobs per workload</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Ten, from five seeds times two regions</w:t>
            </w:r>
          </w:p>
        </w:tc>
      </w:tr>
      <w:tr>
        <w:trPr>
          <w:cantSplit/>
        </w:trPr>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Three day threshold with ten workers</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Each region job must average below about 0.52 seconds per complete placement</w:t>
            </w:r>
          </w:p>
        </w:tc>
      </w:tr>
      <w:tr>
        <w:trPr>
          <w:cantSplit/>
        </w:trPr>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Two day threshold with ten workers</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Each region job must average below about 0.35 seconds per complete placement</w:t>
            </w:r>
          </w:p>
        </w:tc>
      </w:tr>
      <w:tr>
        <w:trPr>
          <w:cantSplit/>
        </w:trPr>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Calibration requirement</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Measure 100 to 1,000 complete placements for CONV and FC separately before the long reservation</w:t>
            </w:r>
          </w:p>
        </w:tc>
      </w:tr>
      <w:tr>
        <w:trPr>
          <w:cantSplit/>
        </w:trPr>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Storage</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Reserve space for checkpoints, JSONL diagnostics, reports, logs, figures and immutable raw archives</w:t>
            </w:r>
          </w:p>
        </w:tc>
      </w:tr>
      <w:tr>
        <w:trPr>
          <w:cantSplit/>
        </w:trPr>
        <w:tc>
          <w:tcPr>
            <w:tcW w:type="dxa" w:w="338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Execution protection</w:t>
            </w:r>
          </w:p>
        </w:tc>
        <w:tc>
          <w:tcPr>
            <w:tcW w:type="dxa" w:w="71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Use scheduler jobs or tmux, unique output paths, periodic checkpoints and automatic failure summaries</w:t>
            </w:r>
          </w:p>
        </w:tc>
      </w:tr>
    </w:tbl>
    <w:p>
      <w:pPr>
        <w:widowControl/>
        <w:spacing w:after="0"/>
      </w:pPr>
    </w:p>
    <w:p>
      <w:pPr>
        <w:widowControl/>
      </w:pPr>
      <w:r>
        <w:rPr>
          <w:b/>
        </w:rPr>
        <w:t xml:space="preserve">Important limitation. </w:t>
      </w:r>
      <w:r>
        <w:t>A larger GPU memory slice alone may not improve throughput. The final resource request should be based on the measured action, environment, replay and update timing from the device validator and paper mode calibration.</w:t>
      </w:r>
    </w:p>
    <w:p>
      <w:pPr>
        <w:pStyle w:val="Heading1"/>
        <w:widowControl/>
      </w:pPr>
      <w:r>
        <w:t>6 Eight Week Timeline</w:t>
      </w:r>
    </w:p>
    <w:p>
      <w:pPr>
        <w:widowControl/>
      </w:pPr>
      <w:r>
        <w:rPr>
          <w:b/>
        </w:rPr>
        <w:t xml:space="preserve">Target. </w:t>
      </w:r>
      <w:r>
        <w:t>Complete a submission ready manuscript and reproducibility package by 26 November 2026. The schedule assumes code work begins immediately and GPU access is available no later than Week 3.</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55"/>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Period</w:t>
            </w:r>
          </w:p>
        </w:tc>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Focus</w:t>
            </w:r>
          </w:p>
        </w:tc>
        <w:tc>
          <w:tcPr>
            <w:tcW w:type="dxa" w:w="446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Required outputs</w:t>
            </w:r>
          </w:p>
        </w:tc>
        <w:tc>
          <w:tcPr>
            <w:tcW w:type="dxa" w:w="254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5"/>
              </w:rPr>
              <w:t>Decision gate</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Week 1</w:t>
              <w:br/>
              <w:t>26 Sep to 2 Oct</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Freeze and instrument</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Freeze commit and configs; deterministic evaluation; learning logs; unique outputs; paper outline; target venue shortlist.</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All smoke tests pass and every result is traceable to a config and commit.</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Week 2</w:t>
              <w:br/>
              <w:t>3 to 9 Oct</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Hybrid and parallel execution</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Warm start SA; combined budget accounting; cached RS baseline; parallel launcher; incremental evaluator tests; H100 validator.</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Hybrid never degrades its supplied starting best and full versus incremental costs agree.</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Week 3</w:t>
              <w:br/>
              <w:t>10 to 16 Oct</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Calibration and AlexNet pilot</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CPU and GPU timing; 50k to 100k placement pilot; deterministic learning curves; small hybrid split study; final resource request.</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Go only if the canonical run is stable and the deterministic actor shows learning or a clear repair plan exists.</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Week 4</w:t>
              <w:br/>
              <w:t>17 to 23 Oct</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Full AlexNet experiments</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Five seed BS, RS, SA, DDPG and selected hybrid results for CONV and FC; equal budget and equal time comparisons.</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Freeze method and analysis. Do not retune on held out workloads.</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Week 5</w:t>
              <w:br/>
              <w:t>24 to 30 Oct</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VGG16 and ResNet50</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Full held out workload runs; alternate topology robustness experiment; failure reruns.</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Complete primary result matrix with no missing seeds.</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Week 6</w:t>
              <w:br/>
              <w:t>31 Oct to 6 Nov</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Analysis and ablations</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Confidence intervals; significance analysis; collision and routing analysis; runtime breakdown; method ablations; final figures.</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Choose main claim. If gain is within noise, reposition the paper rather than overclaiming.</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Week 7</w:t>
              <w:br/>
              <w:t>7 to 13 Nov</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First complete manuscript</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Introduction, related work, formulation, method, experimental setup, results, limitations and artifact appendix.</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Internal technical review confirms that every claim maps to archived evidence.</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Week 8</w:t>
              <w:br/>
              <w:t>14 to 20 Nov</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Revision and reproducibility</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Professor and team review; revised figures; clean repository instructions; artifact dry run from a fresh environment.</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5"/>
              </w:rPr>
              <w:t>Independent reader can reproduce a smoke run and understand all assumptions.</w:t>
            </w:r>
          </w:p>
        </w:tc>
      </w:tr>
      <w:tr>
        <w:trPr>
          <w:cantSplit/>
        </w:trPr>
        <w:tc>
          <w:tcPr>
            <w:tcW w:type="dxa" w:w="15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Final buffer</w:t>
              <w:br/>
              <w:t>21 to 26 Nov</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Submission package</w:t>
            </w:r>
          </w:p>
        </w:tc>
        <w:tc>
          <w:tcPr>
            <w:tcW w:type="dxa" w:w="446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Proofreading; final tables; bibliography; anonymization if required; supplementary material; submission checklist.</w:t>
            </w:r>
          </w:p>
        </w:tc>
        <w:tc>
          <w:tcPr>
            <w:tcW w:type="dxa" w:w="254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5"/>
              </w:rPr>
              <w:t>Manuscript and artifacts frozen by 26 November 2026.</w:t>
            </w:r>
          </w:p>
        </w:tc>
      </w:tr>
    </w:tbl>
    <w:p>
      <w:pPr>
        <w:widowControl/>
        <w:spacing w:after="0"/>
      </w:pPr>
    </w:p>
    <w:p>
      <w:pPr>
        <w:pStyle w:val="Heading2"/>
        <w:widowControl/>
      </w:pPr>
      <w:r>
        <w:t>Critical milestones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Date</w:t>
            </w:r>
          </w:p>
        </w:tc>
        <w:tc>
          <w:tcPr>
            <w:tcW w:type="dxa" w:w="842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7"/>
              </w:rPr>
              <w:t>Milestone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2 October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Learning instrumentation and experiment provenance 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9 October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Warm start hybrid and parallel execution 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16 October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H100 calibration and AlexNet pilot decision</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23 October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Full AlexNet evidence 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30 October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All primary workload runs 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6 November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Final quantitative claim selected</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13 November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Complete manuscript draft</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7"/>
              </w:rPr>
              <w:t>20 November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7"/>
              </w:rPr>
              <w:t>Technical and artifact review complete</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7"/>
              </w:rPr>
              <w:t>26 November</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7"/>
              </w:rPr>
              <w:t>Submission ready package frozen</w:t>
            </w:r>
          </w:p>
        </w:tc>
      </w:tr>
    </w:tbl>
    <w:p>
      <w:pPr>
        <w:widowControl/>
        <w:spacing w:after="0"/>
      </w:pPr>
    </w:p>
    <w:p>
      <w:pPr>
        <w:pStyle w:val="Heading1"/>
        <w:widowControl/>
      </w:pPr>
      <w:r>
        <w:t>7 Workstreams and Ownership</w:t>
      </w:r>
    </w:p>
    <w:p>
      <w:pPr>
        <w:widowControl/>
      </w:pPr>
      <w:r>
        <w:rPr>
          <w:b/>
        </w:rPr>
        <w:t xml:space="preserve">Assign one named owner and one reviewer to each workstream during Week 1. </w:t>
      </w:r>
      <w:r>
        <w:t>The roles below describe responsibilities; names should be filled by the project team.</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Workstream</w:t>
            </w:r>
          </w:p>
        </w:tc>
        <w:tc>
          <w:tcPr>
            <w:tcW w:type="dxa" w:w="5040"/>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Owner responsibilities</w:t>
            </w:r>
          </w:p>
        </w:tc>
        <w:tc>
          <w:tcPr>
            <w:tcW w:type="dxa" w:w="352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Reviewer checkpoint</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Simulator and fidelity</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Maintain frozen paper mode, tests, documented assumptions and objective validation.</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Review configuration before every full run.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DDPG and diagnostics</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Implement deterministic evaluation, checkpoint integrity and learning analysis.</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Confirm noise free evaluation and seed reproducibility.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Hybrid method</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Implement warm start, budget accounting, SA moves and incremental evaluation.</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Verify legality and exact agreement with full cost.</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Compute operations</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Prepare scheduler jobs, monitor utilization, resume failures and archive raw outputs.</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Daily completeness and failure audit during allocations.</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Statistics and figures</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Aggregate seeds, produce confidence intervals, plots and result tables from immutable raw data.</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Independent numerical cross check.</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Manuscript and related work</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Maintain paper outline, claims, citations, limitations and response to feedback.</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Weekly professor or senior review beginning Week 4.</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Artifact package</w:t>
            </w:r>
          </w:p>
        </w:tc>
        <w:tc>
          <w:tcPr>
            <w:tcW w:type="dxa" w:w="5040"/>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Create clean setup, commands, manifests, checksums and a small reproducibility run.</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Fresh environment dry run in Week 8.</w:t>
            </w:r>
          </w:p>
        </w:tc>
      </w:tr>
    </w:tbl>
    <w:p>
      <w:pPr>
        <w:widowControl/>
        <w:spacing w:after="0"/>
      </w:pPr>
    </w:p>
    <w:p>
      <w:pPr>
        <w:pStyle w:val="Heading2"/>
        <w:widowControl/>
      </w:pPr>
      <w:r>
        <w:t>Final deliverables</w:t>
      </w:r>
    </w:p>
    <w:p>
      <w:pPr>
        <w:pStyle w:val="ListBullet"/>
        <w:widowControl/>
        <w:spacing w:after="80" w:line="250" w:lineRule="auto"/>
        <w:ind w:left="360" w:hanging="230"/>
      </w:pPr>
      <w:r>
        <w:t>Frozen source commit and tagged experiment configuration.</w:t>
      </w:r>
    </w:p>
    <w:p>
      <w:pPr>
        <w:pStyle w:val="ListBullet"/>
        <w:widowControl/>
        <w:spacing w:after="80" w:line="250" w:lineRule="auto"/>
        <w:ind w:left="360" w:hanging="230"/>
      </w:pPr>
      <w:r>
        <w:t>Raw logs, diagnostics, checkpoints, reports and machine environment manifests for every reported run.</w:t>
      </w:r>
    </w:p>
    <w:p>
      <w:pPr>
        <w:pStyle w:val="ListBullet"/>
        <w:widowControl/>
        <w:spacing w:after="80" w:line="250" w:lineRule="auto"/>
        <w:ind w:left="360" w:hanging="230"/>
      </w:pPr>
      <w:r>
        <w:t>Analysis code that regenerates all tables and figures without manual editing.</w:t>
      </w:r>
    </w:p>
    <w:p>
      <w:pPr>
        <w:pStyle w:val="ListBullet"/>
        <w:widowControl/>
        <w:spacing w:after="80" w:line="250" w:lineRule="auto"/>
        <w:ind w:left="360" w:hanging="230"/>
      </w:pPr>
      <w:r>
        <w:t>Reproduction results for BS, RS, SA and pure DDPG.</w:t>
      </w:r>
    </w:p>
    <w:p>
      <w:pPr>
        <w:pStyle w:val="ListBullet"/>
        <w:widowControl/>
        <w:spacing w:after="80" w:line="250" w:lineRule="auto"/>
        <w:ind w:left="360" w:hanging="230"/>
      </w:pPr>
      <w:r>
        <w:t>Equal budget and equal time hybrid results, including ablations.</w:t>
      </w:r>
    </w:p>
    <w:p>
      <w:pPr>
        <w:pStyle w:val="ListBullet"/>
        <w:widowControl/>
        <w:spacing w:after="80" w:line="250" w:lineRule="auto"/>
        <w:ind w:left="360" w:hanging="230"/>
      </w:pPr>
      <w:r>
        <w:t>Manuscript with explicit reconstruction limitations and related work positioning.</w:t>
      </w:r>
    </w:p>
    <w:p>
      <w:pPr>
        <w:pStyle w:val="ListBullet"/>
        <w:widowControl/>
        <w:spacing w:after="80" w:line="250" w:lineRule="auto"/>
        <w:ind w:left="360" w:hanging="230"/>
      </w:pPr>
      <w:r>
        <w:t>Artifact README with setup, smoke test, full commands and expected output structure.</w:t>
      </w:r>
    </w:p>
    <w:p>
      <w:pPr>
        <w:pStyle w:val="ListBullet"/>
        <w:widowControl/>
        <w:spacing w:after="80" w:line="250" w:lineRule="auto"/>
        <w:ind w:left="360" w:hanging="230"/>
      </w:pPr>
      <w:r>
        <w:t>Internal result ledger mapping every manuscript number to its source report.</w:t>
      </w:r>
    </w:p>
    <w:p>
      <w:pPr>
        <w:pStyle w:val="Heading1"/>
        <w:widowControl/>
      </w:pPr>
      <w:r>
        <w:t>8 Recommended Manuscript Structure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Section</w:t>
            </w:r>
          </w:p>
        </w:tc>
        <w:tc>
          <w:tcPr>
            <w:tcW w:type="dxa" w:w="842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Required content</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Abstract</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Problem, precise hybrid contribution, workloads, strongest supported result and limitation that results use a documented reconstruction.</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1 Introduction</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Multi chip communication problem, limits of pure global and local search, research question and contributions.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2 Related work</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Original DDPG core placement, RL plus SA placement, FPGA RL guided SA, accelerator mapping search and multi chip partitioning.</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3 Problem formulation</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Hardware topology, logic to physical mapping, validity constraints, reconstructed latency objective and budgets.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4 Reproduction methodology</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Paper mode, published parameters, reconstruction assumptions and deviations.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5 Hybrid method</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DDPG stage, handoff rule, SA neighborhood, temperature schedule, incremental evaluation and accounting.</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6 Experimental methodology</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Workloads, regions, seeds, baselines, equal budget and equal time protocols, hardware and statistics.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7 Results</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Learning evidence, final quality, time to target, generalization, routing behavior and ablations.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8 Limitations</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Unpublished original simulator details, analytical rather than hardware execution, throughput limitation and compute constraints.</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9 Conclusion</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Supported findings and specific next validation steps without unsupported generalization.</w:t>
            </w:r>
          </w:p>
        </w:tc>
      </w:tr>
      <w:tr>
        <w:trPr>
          <w:cantSplit/>
        </w:trPr>
        <w:tc>
          <w:tcPr>
            <w:tcW w:type="dxa" w:w="2088"/>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Artifact appendix</w:t>
            </w:r>
          </w:p>
        </w:tc>
        <w:tc>
          <w:tcPr>
            <w:tcW w:type="dxa" w:w="842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Commit, environment, commands, output schema, expected runtime and data provenance.</w:t>
            </w:r>
          </w:p>
        </w:tc>
      </w:tr>
    </w:tbl>
    <w:p>
      <w:pPr>
        <w:widowControl/>
        <w:spacing w:after="0"/>
      </w:pPr>
    </w:p>
    <w:p>
      <w:pPr>
        <w:pStyle w:val="Heading1"/>
        <w:widowControl/>
      </w:pPr>
      <w:r>
        <w:t>9 Risks and Contingencies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Risk</w:t>
            </w:r>
          </w:p>
        </w:tc>
        <w:tc>
          <w:tcPr>
            <w:tcW w:type="dxa" w:w="3671"/>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Early warning</w:t>
            </w:r>
          </w:p>
        </w:tc>
        <w:tc>
          <w:tcPr>
            <w:tcW w:type="dxa" w:w="4896"/>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Response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DDPG does not learn</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Deterministic actor cost stays flat or worse than equal budget RS by Week 3.</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Audit reward scale, state and action mapping, collision repair and update timing. Stop full seeds until resolved.</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Hybrid gain is negligible</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Improvement is below seed variance in AlexNet full runs.</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Emphasize time to target, incremental evaluation or reproducibility only if supported. Do not overstate novelty.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GPU does not accelerate enough</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GPU utilization is low and environment time dominates calibration.</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Increase CPU allocation, parallelize independent jobs, cache baselines and optimize evaluation rather than requesting memory alone.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Allocation arrives late</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No H100 access by 10 October.</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Run correctness and small CPU studies, finish manuscript methods, and renegotiate the result scope or submission date.</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Full experiment matrix is too large</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Projected completion extends beyond 30 October.</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Prioritize pure DDPG and hybrid on all workloads; run expensive baseline seeds in parallel and disclose any reduced secondary study.</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Simulator fidelity changes results</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Activation buffering or routing corrections alter rankings.</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Treat the correction as mandatory, rerun affected primary experiments, and document the version transition.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Results are not paper comparable</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Normalized trends differ materially and no cause is identified.</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Report a reconstruction study, analyze discrepancies and avoid claiming exact reproduction.</w:t>
            </w:r>
          </w:p>
        </w:tc>
      </w:tr>
      <w:tr>
        <w:trPr>
          <w:cantSplit/>
        </w:trPr>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Manuscript work starts too late</w:t>
            </w:r>
          </w:p>
        </w:tc>
        <w:tc>
          <w:tcPr>
            <w:tcW w:type="dxa" w:w="3671"/>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No complete methods draft by 23 October.</w:t>
            </w:r>
          </w:p>
        </w:tc>
        <w:tc>
          <w:tcPr>
            <w:tcW w:type="dxa" w:w="4896"/>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Write methods and related work in parallel with experiments beginning Week 2.</w:t>
            </w:r>
          </w:p>
        </w:tc>
      </w:tr>
    </w:tbl>
    <w:p>
      <w:pPr>
        <w:widowControl/>
        <w:spacing w:after="0"/>
      </w:pPr>
    </w:p>
    <w:p>
      <w:pPr>
        <w:pStyle w:val="Heading1"/>
        <w:widowControl/>
      </w:pPr>
      <w:r>
        <w:t>10 Publication Readiness Gates</w:t>
      </w:r>
    </w:p>
    <w:p>
      <w:pPr>
        <w:widowControl/>
      </w:pPr>
      <w:r>
        <w:rPr>
          <w:b/>
        </w:rPr>
        <w:t>The manuscript is ready only when every mandatory gate below is satisfied or explicitly scoped out in the paper.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44"/>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Gate</w:t>
            </w:r>
          </w:p>
        </w:tc>
        <w:tc>
          <w:tcPr>
            <w:tcW w:type="dxa" w:w="6955"/>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Pass condition</w:t>
            </w:r>
          </w:p>
        </w:tc>
        <w:tc>
          <w:tcPr>
            <w:tcW w:type="dxa" w:w="1512"/>
            <w:shd w:fill="17365D"/>
            <w:tcBorders>
              <w:top w:val="single" w:sz="5" w:color="D9D9D9"/>
              <w:left w:val="single" w:sz="5" w:color="D9D9D9"/>
              <w:bottom w:val="single" w:sz="5" w:color="D9D9D9"/>
              <w:right w:val="single" w:sz="5" w:color="D9D9D9"/>
              <w:insideH w:val="single" w:sz="5" w:color="D9D9D9"/>
              <w:insideV w:val="single" w:sz="5" w:color="D9D9D9"/>
            </w:tcBorders>
            <w:tcMar>
              <w:top w:w="105" w:type="dxa"/>
              <w:start w:w="105" w:type="dxa"/>
              <w:bottom w:w="105" w:type="dxa"/>
              <w:end w:w="105" w:type="dxa"/>
            </w:tcMar>
            <w:vAlign w:val="center"/>
          </w:tcPr>
          <w:p>
            <w:pPr>
              <w:spacing w:after="0"/>
              <w:jc w:val="center"/>
            </w:pPr>
            <w:r>
              <w:rPr>
                <w:rFonts w:ascii="Aptos" w:hAnsi="Aptos"/>
                <w:b/>
                <w:color w:val="FFFFFF"/>
                <w:sz w:val="16"/>
              </w:rPr>
              <w:t>Deadline</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Reproduction integrity</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Frozen paper configuration, tests, provenance and reconstruction limitations are complete.</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2 October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GPU integrity</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CUDA device, memory, CPU and GPU timing and checkpoint resume are validated.</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16 October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Learning evidence</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Deterministic policy curves and equal budget comparisons exist across seeds.</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23 October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Hybrid validity</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Warm start, total budget and evaluator equivalence are verified.</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9 October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Experimental completeness</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All primary workload, region and seed cells are present or transparently marked.</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30 October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Statistical integrity</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Variation, intervals, tests and all seed values are reported.</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6 November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Novelty integrity</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Related work is cited and claims avoid presenting generic RL plus SA as new.</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13 November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Artifact integrity</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A fresh environment can execute the documented smoke test and parse outputs.</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20 November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jc w:val="center"/>
            </w:pPr>
            <w:r>
              <w:rPr>
                <w:rFonts w:ascii="Aptos" w:hAnsi="Aptos"/>
                <w:color w:val="000000"/>
                <w:sz w:val="16"/>
              </w:rPr>
              <w:t>Claim audit</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Every quantitative statement maps to an immutable result file.</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FFFFFF"/>
          </w:tcPr>
          <w:p>
            <w:pPr>
              <w:spacing w:after="0" w:line="245" w:lineRule="auto"/>
            </w:pPr>
            <w:r>
              <w:rPr>
                <w:rFonts w:ascii="Aptos" w:hAnsi="Aptos"/>
                <w:color w:val="000000"/>
                <w:sz w:val="16"/>
              </w:rPr>
              <w:t>20 November</w:t>
            </w:r>
          </w:p>
        </w:tc>
      </w:tr>
      <w:tr>
        <w:trPr>
          <w:cantSplit/>
        </w:trPr>
        <w:tc>
          <w:tcPr>
            <w:tcW w:type="dxa" w:w="2044"/>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jc w:val="center"/>
            </w:pPr>
            <w:r>
              <w:rPr>
                <w:rFonts w:ascii="Aptos" w:hAnsi="Aptos"/>
                <w:color w:val="000000"/>
                <w:sz w:val="16"/>
              </w:rPr>
              <w:t>Submission package</w:t>
            </w:r>
          </w:p>
        </w:tc>
        <w:tc>
          <w:tcPr>
            <w:tcW w:type="dxa" w:w="6955"/>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Formatting, bibliography, anonymization and supplementary files satisfy the selected venue.</w:t>
            </w:r>
          </w:p>
        </w:tc>
        <w:tc>
          <w:tcPr>
            <w:tcW w:type="dxa" w:w="1512"/>
            <w:tcBorders>
              <w:top w:val="single" w:sz="5" w:color="D9D9D9"/>
              <w:left w:val="single" w:sz="5" w:color="D9D9D9"/>
              <w:bottom w:val="single" w:sz="5" w:color="D9D9D9"/>
              <w:right w:val="single" w:sz="5" w:color="D9D9D9"/>
              <w:insideH w:val="single" w:sz="5" w:color="D9D9D9"/>
              <w:insideV w:val="single" w:sz="5" w:color="D9D9D9"/>
            </w:tcBorders>
            <w:tcMar>
              <w:top w:w="85" w:type="dxa"/>
              <w:start w:w="100" w:type="dxa"/>
              <w:bottom w:w="85" w:type="dxa"/>
              <w:end w:w="100" w:type="dxa"/>
            </w:tcMar>
            <w:vAlign w:val="center"/>
            <w:shd w:fill="EAF2F8"/>
          </w:tcPr>
          <w:p>
            <w:pPr>
              <w:spacing w:after="0" w:line="245" w:lineRule="auto"/>
            </w:pPr>
            <w:r>
              <w:rPr>
                <w:rFonts w:ascii="Aptos" w:hAnsi="Aptos"/>
                <w:color w:val="000000"/>
                <w:sz w:val="16"/>
              </w:rPr>
              <w:t>26 November</w:t>
            </w:r>
          </w:p>
        </w:tc>
      </w:tr>
    </w:tbl>
    <w:p>
      <w:pPr>
        <w:widowControl/>
        <w:spacing w:after="0"/>
      </w:pPr>
    </w:p>
    <w:p>
      <w:pPr>
        <w:pStyle w:val="Heading1"/>
        <w:widowControl/>
      </w:pPr>
      <w:r>
        <w:t>11 Immediate Actions for the Next 72 Hours</w:t>
      </w:r>
    </w:p>
    <w:p>
      <w:pPr>
        <w:widowControl/>
        <w:spacing w:after="80"/>
        <w:ind w:left="403" w:hanging="317"/>
      </w:pPr>
      <w:r>
        <w:t>1.  Freeze commit 496bc85 as the reproduction starting point and create a separate development branch for instrumentation and hybrid work.</w:t>
      </w:r>
    </w:p>
    <w:p>
      <w:pPr>
        <w:widowControl/>
        <w:spacing w:after="80"/>
        <w:ind w:left="403" w:hanging="317"/>
      </w:pPr>
      <w:r>
        <w:t>2.  Implement deterministic noise free actor evaluation and record it at a fixed complete placement interval.</w:t>
      </w:r>
    </w:p>
    <w:p>
      <w:pPr>
        <w:widowControl/>
        <w:spacing w:after="80"/>
        <w:ind w:left="403" w:hanging="317"/>
      </w:pPr>
      <w:r>
        <w:t>3.  Modify execution so every seed and region has unique diagnostics, report, log and checkpoint paths.</w:t>
      </w:r>
    </w:p>
    <w:p>
      <w:pPr>
        <w:widowControl/>
        <w:spacing w:after="80"/>
        <w:ind w:left="403" w:hanging="317"/>
      </w:pPr>
      <w:r>
        <w:t>4.  Add a way to load an archived random search result as baseline B and eliminate duplicated random evaluations.</w:t>
      </w:r>
    </w:p>
    <w:p>
      <w:pPr>
        <w:widowControl/>
        <w:spacing w:after="80"/>
        <w:ind w:left="403" w:hanging="317"/>
      </w:pPr>
      <w:r>
        <w:t>5.  Implement SA initialization from a supplied DDPG placement and exact combined budget reporting.</w:t>
      </w:r>
    </w:p>
    <w:p>
      <w:pPr>
        <w:widowControl/>
        <w:spacing w:after="80"/>
        <w:ind w:left="403" w:hanging="317"/>
      </w:pPr>
      <w:r>
        <w:t>6.  Prepare a 100 to 1,000 placement H100 calibration for AlexNet CONV and FC.</w:t>
      </w:r>
    </w:p>
    <w:p>
      <w:pPr>
        <w:widowControl/>
        <w:spacing w:after="80"/>
        <w:ind w:left="403" w:hanging="317"/>
      </w:pPr>
      <w:r>
        <w:t>7.  Assign owners for code, compute operations, statistics, manuscript and artifact review.</w:t>
      </w:r>
    </w:p>
    <w:p>
      <w:pPr>
        <w:widowControl/>
        <w:spacing w:after="80"/>
        <w:ind w:left="403" w:hanging="317"/>
      </w:pPr>
      <w:r>
        <w:t>8.  Choose the target venue category and obtain its actual deadline, page limit, anonymity and artifact requirements.</w:t>
      </w:r>
    </w:p>
    <w:p>
      <w:pPr>
        <w:widowControl/>
        <w:spacing w:before="160"/>
      </w:pPr>
      <w:r>
        <w:rPr>
          <w:b/>
        </w:rPr>
        <w:t xml:space="preserve">First go or no go meeting. </w:t>
      </w:r>
      <w:r>
        <w:t>Hold the first formal review on 16 October 2026 using the canonical AlexNet pilot. Approve the full allocation only if correctness, runtime and deterministic learning evidence are understood.</w:t>
      </w:r>
    </w:p>
    <w:p>
      <w:pPr>
        <w:pStyle w:val="Heading1"/>
        <w:widowControl/>
      </w:pPr>
      <w:r>
        <w:t>References</w:t>
      </w:r>
    </w:p>
    <w:p>
      <w:pPr>
        <w:pStyle w:val="Reference"/>
        <w:widowControl/>
      </w:pPr>
      <w:r>
        <w:t xml:space="preserve">Wu, N., Deng, L., Li, G., and Xie, Y. Core Placement Optimization for Multi chip Many core Neural Network Systems with Reinforcement Learning. ACM Transactions on Design Automation of Electronic Systems 26 2, Article 11. DOI 10.1145/3418498. </w:t>
      </w:r>
      <w:hyperlink r:id="rId11">
        <w:r>
          <w:rPr>
            <w:color w:val="2F5597"/>
            <w:u w:val="single"/>
          </w:rPr>
          <w:t>Open publication</w:t>
        </w:r>
      </w:hyperlink>
    </w:p>
    <w:p>
      <w:pPr>
        <w:pStyle w:val="Reference"/>
        <w:widowControl/>
      </w:pPr>
      <w:r>
        <w:t xml:space="preserve">Vashisht, D. et al. Placement in Integrated Circuits using Cyclic Reinforcement Learning and Simulated Annealing. NeurIPS 2020 Workshop on Machine Learning for Engineering Modeling Simulation and Design. arXiv 2011.07577. </w:t>
      </w:r>
      <w:hyperlink r:id="rId12">
        <w:r>
          <w:rPr>
            <w:color w:val="2F5597"/>
            <w:u w:val="single"/>
          </w:rPr>
          <w:t>Open publication</w:t>
        </w:r>
      </w:hyperlink>
    </w:p>
    <w:p>
      <w:pPr>
        <w:pStyle w:val="Reference"/>
        <w:widowControl/>
      </w:pPr>
      <w:r>
        <w:t xml:space="preserve">Mansoor, A. and Chrzanowska Jeske, M. RS3DPlace Monolithic 3D IC Placement using Reinforcement Learning and Simulated Annealing. IEEE ISCAS 2022. DOI 10.1109/ISCAS48785.2022.9937281. </w:t>
      </w:r>
      <w:hyperlink r:id="rId13">
        <w:r>
          <w:rPr>
            <w:color w:val="2F5597"/>
            <w:u w:val="single"/>
          </w:rPr>
          <w:t>Open publication</w:t>
        </w:r>
      </w:hyperlink>
    </w:p>
    <w:p>
      <w:pPr>
        <w:pStyle w:val="Reference"/>
        <w:widowControl/>
      </w:pPr>
      <w:r>
        <w:t xml:space="preserve">Elgammal, M. A., Murray, K. E., and Betz, V. RLPlace Using Reinforcement Learning and Smart Perturbations to Optimize FPGA Placement. IEEE TCAD 41 8, 2532 to 2545. DOI 10.1109/TCAD.2021.3109863. </w:t>
      </w:r>
      <w:hyperlink r:id="rId14">
        <w:r>
          <w:rPr>
            <w:color w:val="2F5597"/>
            <w:u w:val="single"/>
          </w:rPr>
          <w:t>Open publication</w:t>
        </w:r>
      </w:hyperlink>
    </w:p>
    <w:p>
      <w:pPr>
        <w:pStyle w:val="Reference"/>
        <w:widowControl/>
      </w:pPr>
      <w:r>
        <w:t xml:space="preserve">Tian, C. et al. Improving Simulated Annealing Algorithm for FPGA Placement Based on Reinforcement Learning. IEEE ITAIC 2022, 1912 to 1919. DOI 10.1109/ITAIC54216.2022.9836761. </w:t>
      </w:r>
      <w:hyperlink r:id="rId15">
        <w:r>
          <w:rPr>
            <w:color w:val="2F5597"/>
            <w:u w:val="single"/>
          </w:rPr>
          <w:t>Open publication</w:t>
        </w:r>
      </w:hyperlink>
    </w:p>
    <w:p>
      <w:pPr>
        <w:pStyle w:val="Reference"/>
        <w:widowControl/>
      </w:pPr>
      <w:r>
        <w:t xml:space="preserve">Zhu, M. et al. Multi Scale Placement via Reinforcement Learning and Simulated Annealing. ACM International Conference Proceeding Series, 2024, 334 to 339. </w:t>
      </w:r>
      <w:hyperlink r:id="rId16">
        <w:r>
          <w:rPr>
            <w:color w:val="2F5597"/>
            <w:u w:val="single"/>
          </w:rPr>
          <w:t>Open publication</w:t>
        </w:r>
      </w:hyperlink>
    </w:p>
    <w:p>
      <w:pPr>
        <w:pStyle w:val="Reference"/>
        <w:widowControl/>
      </w:pPr>
      <w:r>
        <w:t xml:space="preserve">Hegde, K. et al. Mind Mappings Enabling Efficient Algorithm Accelerator Mapping Space Search. arXiv 2103.01489. </w:t>
      </w:r>
      <w:hyperlink r:id="rId17">
        <w:r>
          <w:rPr>
            <w:color w:val="2F5597"/>
            <w:u w:val="single"/>
          </w:rPr>
          <w:t>Open publication</w:t>
        </w:r>
      </w:hyperlink>
    </w:p>
    <w:p>
      <w:pPr>
        <w:pStyle w:val="Reference"/>
        <w:widowControl/>
      </w:pPr>
      <w:r>
        <w:t xml:space="preserve">Kao, S. C. et al. MAGMA An Optimization Framework for Mapping Multiple DNNs on Multiple Accelerator Cores. IEEE HPCA 2022. DOI 10.1109/HPCA53966.2022.00065. </w:t>
      </w:r>
      <w:hyperlink r:id="rId18">
        <w:r>
          <w:rPr>
            <w:color w:val="2F5597"/>
            <w:u w:val="single"/>
          </w:rPr>
          <w:t>Open publication</w:t>
        </w:r>
      </w:hyperlink>
    </w:p>
    <w:p>
      <w:pPr>
        <w:widowControl/>
        <w:spacing w:before="200"/>
      </w:pPr>
      <w:r>
        <w:rPr>
          <w:b/>
        </w:rPr>
        <w:t xml:space="preserve">Planning status. </w:t>
      </w:r>
      <w:r>
        <w:t>This roadmap reflects the repository and evidence available on 26 September 2026. Update it whenever the frozen configuration, GPU timing, primary result matrix or target venue changes.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6"/>
      </w:rPr>
      <w:t xml:space="preserve">Status date 26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DNN Mapping Publication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70" w:line="250" w:lineRule="auto"/>
    </w:pPr>
    <w:rPr>
      <w:rFonts w:ascii="Aptos" w:hAnsi="Aptos"/>
      <w:sz w:val="18"/>
    </w:rPr>
  </w:style>
  <w:style w:type="paragraph" w:customStyle="1" w:styleId="Reference">
    <w:name w:val="Reference"/>
    <w:pPr>
      <w:spacing w:after="80"/>
      <w:ind w:left="317" w:hanging="317"/>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45/3418498" TargetMode="External"/><Relationship Id="rId12" Type="http://schemas.openxmlformats.org/officeDocument/2006/relationships/hyperlink" Target="https://arxiv.org/abs/2011.07577" TargetMode="External"/><Relationship Id="rId13" Type="http://schemas.openxmlformats.org/officeDocument/2006/relationships/hyperlink" Target="https://doi.org/10.1109/ISCAS48785.2022.9937281" TargetMode="External"/><Relationship Id="rId14" Type="http://schemas.openxmlformats.org/officeDocument/2006/relationships/hyperlink" Target="https://doi.org/10.1109/TCAD.2021.3109863" TargetMode="External"/><Relationship Id="rId15" Type="http://schemas.openxmlformats.org/officeDocument/2006/relationships/hyperlink" Target="https://doi.org/10.1109/ITAIC54216.2022.9836761" TargetMode="External"/><Relationship Id="rId16" Type="http://schemas.openxmlformats.org/officeDocument/2006/relationships/hyperlink" Target="https://eurekamag.com/research/096/364/096364113.php" TargetMode="External"/><Relationship Id="rId17" Type="http://schemas.openxmlformats.org/officeDocument/2006/relationships/hyperlink" Target="https://arxiv.org/abs/2103.01489" TargetMode="External"/><Relationship Id="rId18" Type="http://schemas.openxmlformats.org/officeDocument/2006/relationships/hyperlink" Target="https://doi.org/10.1109/HPCA53966.2022.00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Month Publication Roadmap for DNN Core Placement</dc:title>
  <dc:subject>Publication plan for DDPG and simulated annealing core placement research</dc:subject>
  <dc:creator/>
  <cp:keywords>DDPG, simulated annealing, DNN accelerator, core placement, publication roadmap</cp:keywords>
  <dc:description>Status date 26 September 2026</dc:description>
  <cp:lastModifiedBy/>
  <cp:revision>1</cp:revision>
  <dcterms:created xsi:type="dcterms:W3CDTF">2013-12-23T23:15:00Z</dcterms:created>
  <dcterms:modified xsi:type="dcterms:W3CDTF">2013-12-23T23:15:00Z</dcterms:modified>
  <cp:category/>
</cp:coreProperties>
</file>