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5DF2" w14:textId="77777777" w:rsidR="00035F7E" w:rsidRPr="00122D14" w:rsidRDefault="008242CC">
      <w:pPr>
        <w:pStyle w:val="Title"/>
        <w:rPr>
          <w:lang w:val="it-IT"/>
        </w:rPr>
      </w:pPr>
      <w:r>
        <w:rPr>
          <w:lang w:val="it-IT"/>
        </w:rPr>
        <w:t>PREVISIO</w:t>
      </w:r>
    </w:p>
    <w:p w14:paraId="3B3EEBC6" w14:textId="77777777" w:rsidR="00035F7E" w:rsidRPr="00122D14" w:rsidRDefault="008242CC">
      <w:pPr>
        <w:pStyle w:val="Subtitle"/>
        <w:rPr>
          <w:lang w:val="it-IT"/>
        </w:rPr>
      </w:pPr>
      <w:r>
        <w:rPr>
          <w:lang w:val="it-IT"/>
        </w:rPr>
        <w:t>Documentazione tecnica e metodologica</w:t>
      </w:r>
    </w:p>
    <w:p w14:paraId="77E7E31E" w14:textId="77777777" w:rsidR="00035F7E" w:rsidRPr="00122D14" w:rsidRDefault="008242CC">
      <w:pPr>
        <w:jc w:val="center"/>
        <w:rPr>
          <w:lang w:val="it-IT"/>
        </w:rPr>
      </w:pPr>
      <w:r>
        <w:rPr>
          <w:lang w:val="it-IT"/>
        </w:rPr>
        <w:t>Piattaforma quantitativa di supporto alle decisioni e validazione</w:t>
      </w:r>
    </w:p>
    <w:p w14:paraId="1600EE16" w14:textId="77777777" w:rsidR="00035F7E" w:rsidRPr="00122D14" w:rsidRDefault="008242CC">
      <w:pPr>
        <w:jc w:val="center"/>
        <w:rPr>
          <w:lang w:val="it-IT"/>
        </w:rPr>
      </w:pPr>
      <w:r>
        <w:rPr>
          <w:lang w:val="it-IT"/>
        </w:rPr>
        <w:t>Stato del documento: Internal Methodology Documentation</w:t>
      </w:r>
    </w:p>
    <w:p w14:paraId="3CBA82F5" w14:textId="77777777" w:rsidR="00035F7E" w:rsidRDefault="008242CC">
      <w:pPr>
        <w:jc w:val="center"/>
      </w:pPr>
      <w:r>
        <w:t>Data di aggiornamento: 2026-07-31</w:t>
      </w:r>
    </w:p>
    <w:p w14:paraId="5A3EB6FC" w14:textId="77777777" w:rsidR="00035F7E" w:rsidRDefault="008242CC">
      <w:r>
        <w:br w:type="page"/>
      </w:r>
    </w:p>
    <w:p w14:paraId="32FED46A" w14:textId="77777777" w:rsidR="00035F7E" w:rsidRDefault="008242CC">
      <w:pPr>
        <w:pStyle w:val="TOCHeading"/>
      </w:pPr>
      <w:r>
        <w:lastRenderedPageBreak/>
        <w:t>Indice</w:t>
      </w:r>
    </w:p>
    <w:p w14:paraId="19D5B254" w14:textId="5E1B1AE3" w:rsidR="00A017D7" w:rsidRDefault="008242CC">
      <w:pPr>
        <w:pStyle w:val="TOC1"/>
        <w:tabs>
          <w:tab w:val="right" w:leader="dot" w:pos="9962"/>
        </w:tabs>
        <w:rPr>
          <w:rFonts w:eastAsiaTheme="minorEastAsia"/>
          <w:noProof/>
          <w:kern w:val="2"/>
          <w:lang w:val="en-GB" w:eastAsia="en-GB"/>
          <w14:ligatures w14:val="standardContextual"/>
        </w:rPr>
      </w:pPr>
      <w:r>
        <w:fldChar w:fldCharType="begin"/>
      </w:r>
      <w:r>
        <w:instrText xml:space="preserve"> TOC \o "1-3" \h \z \u </w:instrText>
      </w:r>
      <w:r>
        <w:fldChar w:fldCharType="separate"/>
      </w:r>
      <w:hyperlink w:anchor="_Toc236387203" w:history="1">
        <w:r w:rsidR="00A017D7" w:rsidRPr="00FF3118">
          <w:rPr>
            <w:rStyle w:val="Hyperlink"/>
            <w:noProof/>
            <w:lang w:val="it-IT"/>
          </w:rPr>
          <w:t>1. Definizioni, notazione e convenzioni</w:t>
        </w:r>
        <w:r w:rsidR="00A017D7">
          <w:rPr>
            <w:noProof/>
            <w:webHidden/>
          </w:rPr>
          <w:tab/>
        </w:r>
        <w:r w:rsidR="00A017D7">
          <w:rPr>
            <w:noProof/>
            <w:webHidden/>
          </w:rPr>
          <w:fldChar w:fldCharType="begin"/>
        </w:r>
        <w:r w:rsidR="00A017D7">
          <w:rPr>
            <w:noProof/>
            <w:webHidden/>
          </w:rPr>
          <w:instrText xml:space="preserve"> PAGEREF _Toc236387203 \h </w:instrText>
        </w:r>
        <w:r w:rsidR="00A017D7">
          <w:rPr>
            <w:noProof/>
            <w:webHidden/>
          </w:rPr>
        </w:r>
        <w:r w:rsidR="00A017D7">
          <w:rPr>
            <w:noProof/>
            <w:webHidden/>
          </w:rPr>
          <w:fldChar w:fldCharType="separate"/>
        </w:r>
        <w:r w:rsidR="00A017D7">
          <w:rPr>
            <w:noProof/>
            <w:webHidden/>
          </w:rPr>
          <w:t>6</w:t>
        </w:r>
        <w:r w:rsidR="00A017D7">
          <w:rPr>
            <w:noProof/>
            <w:webHidden/>
          </w:rPr>
          <w:fldChar w:fldCharType="end"/>
        </w:r>
      </w:hyperlink>
    </w:p>
    <w:p w14:paraId="3626F484" w14:textId="3B27F689" w:rsidR="00A017D7" w:rsidRDefault="00A017D7">
      <w:pPr>
        <w:pStyle w:val="TOC2"/>
        <w:tabs>
          <w:tab w:val="right" w:leader="dot" w:pos="9962"/>
        </w:tabs>
        <w:rPr>
          <w:rFonts w:eastAsiaTheme="minorEastAsia"/>
          <w:noProof/>
          <w:kern w:val="2"/>
          <w:lang w:val="en-GB" w:eastAsia="en-GB"/>
          <w14:ligatures w14:val="standardContextual"/>
        </w:rPr>
      </w:pPr>
      <w:hyperlink w:anchor="_Toc236387204" w:history="1">
        <w:r w:rsidRPr="00FF3118">
          <w:rPr>
            <w:rStyle w:val="Hyperlink"/>
            <w:noProof/>
            <w:lang w:val="it-IT"/>
          </w:rPr>
          <w:t>1.1 Variabili principali</w:t>
        </w:r>
        <w:r>
          <w:rPr>
            <w:noProof/>
            <w:webHidden/>
          </w:rPr>
          <w:tab/>
        </w:r>
        <w:r>
          <w:rPr>
            <w:noProof/>
            <w:webHidden/>
          </w:rPr>
          <w:fldChar w:fldCharType="begin"/>
        </w:r>
        <w:r>
          <w:rPr>
            <w:noProof/>
            <w:webHidden/>
          </w:rPr>
          <w:instrText xml:space="preserve"> PAGEREF _Toc236387204 \h </w:instrText>
        </w:r>
        <w:r>
          <w:rPr>
            <w:noProof/>
            <w:webHidden/>
          </w:rPr>
        </w:r>
        <w:r>
          <w:rPr>
            <w:noProof/>
            <w:webHidden/>
          </w:rPr>
          <w:fldChar w:fldCharType="separate"/>
        </w:r>
        <w:r>
          <w:rPr>
            <w:noProof/>
            <w:webHidden/>
          </w:rPr>
          <w:t>6</w:t>
        </w:r>
        <w:r>
          <w:rPr>
            <w:noProof/>
            <w:webHidden/>
          </w:rPr>
          <w:fldChar w:fldCharType="end"/>
        </w:r>
      </w:hyperlink>
    </w:p>
    <w:p w14:paraId="0F7F480B" w14:textId="6635C606" w:rsidR="00A017D7" w:rsidRDefault="00A017D7">
      <w:pPr>
        <w:pStyle w:val="TOC2"/>
        <w:tabs>
          <w:tab w:val="right" w:leader="dot" w:pos="9962"/>
        </w:tabs>
        <w:rPr>
          <w:rFonts w:eastAsiaTheme="minorEastAsia"/>
          <w:noProof/>
          <w:kern w:val="2"/>
          <w:lang w:val="en-GB" w:eastAsia="en-GB"/>
          <w14:ligatures w14:val="standardContextual"/>
        </w:rPr>
      </w:pPr>
      <w:hyperlink w:anchor="_Toc236387205" w:history="1">
        <w:r w:rsidRPr="00FF3118">
          <w:rPr>
            <w:rStyle w:val="Hyperlink"/>
            <w:noProof/>
            <w:lang w:val="it-IT"/>
          </w:rPr>
          <w:t>1.2 Log-return</w:t>
        </w:r>
        <w:r>
          <w:rPr>
            <w:noProof/>
            <w:webHidden/>
          </w:rPr>
          <w:tab/>
        </w:r>
        <w:r>
          <w:rPr>
            <w:noProof/>
            <w:webHidden/>
          </w:rPr>
          <w:fldChar w:fldCharType="begin"/>
        </w:r>
        <w:r>
          <w:rPr>
            <w:noProof/>
            <w:webHidden/>
          </w:rPr>
          <w:instrText xml:space="preserve"> PAGEREF _Toc236387205 \h </w:instrText>
        </w:r>
        <w:r>
          <w:rPr>
            <w:noProof/>
            <w:webHidden/>
          </w:rPr>
        </w:r>
        <w:r>
          <w:rPr>
            <w:noProof/>
            <w:webHidden/>
          </w:rPr>
          <w:fldChar w:fldCharType="separate"/>
        </w:r>
        <w:r>
          <w:rPr>
            <w:noProof/>
            <w:webHidden/>
          </w:rPr>
          <w:t>6</w:t>
        </w:r>
        <w:r>
          <w:rPr>
            <w:noProof/>
            <w:webHidden/>
          </w:rPr>
          <w:fldChar w:fldCharType="end"/>
        </w:r>
      </w:hyperlink>
    </w:p>
    <w:p w14:paraId="20FB8A8A" w14:textId="2BCF6F7E" w:rsidR="00A017D7" w:rsidRDefault="00A017D7">
      <w:pPr>
        <w:pStyle w:val="TOC2"/>
        <w:tabs>
          <w:tab w:val="right" w:leader="dot" w:pos="9962"/>
        </w:tabs>
        <w:rPr>
          <w:rFonts w:eastAsiaTheme="minorEastAsia"/>
          <w:noProof/>
          <w:kern w:val="2"/>
          <w:lang w:val="en-GB" w:eastAsia="en-GB"/>
          <w14:ligatures w14:val="standardContextual"/>
        </w:rPr>
      </w:pPr>
      <w:hyperlink w:anchor="_Toc236387206" w:history="1">
        <w:r w:rsidRPr="00FF3118">
          <w:rPr>
            <w:rStyle w:val="Hyperlink"/>
            <w:noProof/>
            <w:lang w:val="it-IT"/>
          </w:rPr>
          <w:t>1.3 Residuo logaritmico di calibrazione</w:t>
        </w:r>
        <w:r>
          <w:rPr>
            <w:noProof/>
            <w:webHidden/>
          </w:rPr>
          <w:tab/>
        </w:r>
        <w:r>
          <w:rPr>
            <w:noProof/>
            <w:webHidden/>
          </w:rPr>
          <w:fldChar w:fldCharType="begin"/>
        </w:r>
        <w:r>
          <w:rPr>
            <w:noProof/>
            <w:webHidden/>
          </w:rPr>
          <w:instrText xml:space="preserve"> PAGEREF _Toc236387206 \h </w:instrText>
        </w:r>
        <w:r>
          <w:rPr>
            <w:noProof/>
            <w:webHidden/>
          </w:rPr>
        </w:r>
        <w:r>
          <w:rPr>
            <w:noProof/>
            <w:webHidden/>
          </w:rPr>
          <w:fldChar w:fldCharType="separate"/>
        </w:r>
        <w:r>
          <w:rPr>
            <w:noProof/>
            <w:webHidden/>
          </w:rPr>
          <w:t>6</w:t>
        </w:r>
        <w:r>
          <w:rPr>
            <w:noProof/>
            <w:webHidden/>
          </w:rPr>
          <w:fldChar w:fldCharType="end"/>
        </w:r>
      </w:hyperlink>
    </w:p>
    <w:p w14:paraId="6CFEA0FA" w14:textId="04393180" w:rsidR="00A017D7" w:rsidRDefault="00A017D7">
      <w:pPr>
        <w:pStyle w:val="TOC2"/>
        <w:tabs>
          <w:tab w:val="right" w:leader="dot" w:pos="9962"/>
        </w:tabs>
        <w:rPr>
          <w:rFonts w:eastAsiaTheme="minorEastAsia"/>
          <w:noProof/>
          <w:kern w:val="2"/>
          <w:lang w:val="en-GB" w:eastAsia="en-GB"/>
          <w14:ligatures w14:val="standardContextual"/>
        </w:rPr>
      </w:pPr>
      <w:hyperlink w:anchor="_Toc236387207" w:history="1">
        <w:r w:rsidRPr="00FF3118">
          <w:rPr>
            <w:rStyle w:val="Hyperlink"/>
            <w:noProof/>
            <w:lang w:val="it-IT"/>
          </w:rPr>
          <w:t>1.4 Due nozioni distinte di orizzonte</w:t>
        </w:r>
        <w:r>
          <w:rPr>
            <w:noProof/>
            <w:webHidden/>
          </w:rPr>
          <w:tab/>
        </w:r>
        <w:r>
          <w:rPr>
            <w:noProof/>
            <w:webHidden/>
          </w:rPr>
          <w:fldChar w:fldCharType="begin"/>
        </w:r>
        <w:r>
          <w:rPr>
            <w:noProof/>
            <w:webHidden/>
          </w:rPr>
          <w:instrText xml:space="preserve"> PAGEREF _Toc236387207 \h </w:instrText>
        </w:r>
        <w:r>
          <w:rPr>
            <w:noProof/>
            <w:webHidden/>
          </w:rPr>
        </w:r>
        <w:r>
          <w:rPr>
            <w:noProof/>
            <w:webHidden/>
          </w:rPr>
          <w:fldChar w:fldCharType="separate"/>
        </w:r>
        <w:r>
          <w:rPr>
            <w:noProof/>
            <w:webHidden/>
          </w:rPr>
          <w:t>6</w:t>
        </w:r>
        <w:r>
          <w:rPr>
            <w:noProof/>
            <w:webHidden/>
          </w:rPr>
          <w:fldChar w:fldCharType="end"/>
        </w:r>
      </w:hyperlink>
    </w:p>
    <w:p w14:paraId="7F7296A5" w14:textId="4997E61F" w:rsidR="00A017D7" w:rsidRDefault="00A017D7">
      <w:pPr>
        <w:pStyle w:val="TOC1"/>
        <w:tabs>
          <w:tab w:val="right" w:leader="dot" w:pos="9962"/>
        </w:tabs>
        <w:rPr>
          <w:rFonts w:eastAsiaTheme="minorEastAsia"/>
          <w:noProof/>
          <w:kern w:val="2"/>
          <w:lang w:val="en-GB" w:eastAsia="en-GB"/>
          <w14:ligatures w14:val="standardContextual"/>
        </w:rPr>
      </w:pPr>
      <w:hyperlink w:anchor="_Toc236387208" w:history="1">
        <w:r w:rsidRPr="00FF3118">
          <w:rPr>
            <w:rStyle w:val="Hyperlink"/>
            <w:noProof/>
            <w:lang w:val="it-IT"/>
          </w:rPr>
          <w:t>2. Sorgenti dati e struttura dell’universo prezzi</w:t>
        </w:r>
        <w:r>
          <w:rPr>
            <w:noProof/>
            <w:webHidden/>
          </w:rPr>
          <w:tab/>
        </w:r>
        <w:r>
          <w:rPr>
            <w:noProof/>
            <w:webHidden/>
          </w:rPr>
          <w:fldChar w:fldCharType="begin"/>
        </w:r>
        <w:r>
          <w:rPr>
            <w:noProof/>
            <w:webHidden/>
          </w:rPr>
          <w:instrText xml:space="preserve"> PAGEREF _Toc236387208 \h </w:instrText>
        </w:r>
        <w:r>
          <w:rPr>
            <w:noProof/>
            <w:webHidden/>
          </w:rPr>
        </w:r>
        <w:r>
          <w:rPr>
            <w:noProof/>
            <w:webHidden/>
          </w:rPr>
          <w:fldChar w:fldCharType="separate"/>
        </w:r>
        <w:r>
          <w:rPr>
            <w:noProof/>
            <w:webHidden/>
          </w:rPr>
          <w:t>7</w:t>
        </w:r>
        <w:r>
          <w:rPr>
            <w:noProof/>
            <w:webHidden/>
          </w:rPr>
          <w:fldChar w:fldCharType="end"/>
        </w:r>
      </w:hyperlink>
    </w:p>
    <w:p w14:paraId="6A0A33A5" w14:textId="12377A86" w:rsidR="00A017D7" w:rsidRDefault="00A017D7">
      <w:pPr>
        <w:pStyle w:val="TOC2"/>
        <w:tabs>
          <w:tab w:val="right" w:leader="dot" w:pos="9962"/>
        </w:tabs>
        <w:rPr>
          <w:rFonts w:eastAsiaTheme="minorEastAsia"/>
          <w:noProof/>
          <w:kern w:val="2"/>
          <w:lang w:val="en-GB" w:eastAsia="en-GB"/>
          <w14:ligatures w14:val="standardContextual"/>
        </w:rPr>
      </w:pPr>
      <w:hyperlink w:anchor="_Toc236387209" w:history="1">
        <w:r w:rsidRPr="00FF3118">
          <w:rPr>
            <w:rStyle w:val="Hyperlink"/>
            <w:noProof/>
            <w:lang w:val="it-IT"/>
          </w:rPr>
          <w:t>2.1 Sorgenti effettive dei prezzi</w:t>
        </w:r>
        <w:r>
          <w:rPr>
            <w:noProof/>
            <w:webHidden/>
          </w:rPr>
          <w:tab/>
        </w:r>
        <w:r>
          <w:rPr>
            <w:noProof/>
            <w:webHidden/>
          </w:rPr>
          <w:fldChar w:fldCharType="begin"/>
        </w:r>
        <w:r>
          <w:rPr>
            <w:noProof/>
            <w:webHidden/>
          </w:rPr>
          <w:instrText xml:space="preserve"> PAGEREF _Toc236387209 \h </w:instrText>
        </w:r>
        <w:r>
          <w:rPr>
            <w:noProof/>
            <w:webHidden/>
          </w:rPr>
        </w:r>
        <w:r>
          <w:rPr>
            <w:noProof/>
            <w:webHidden/>
          </w:rPr>
          <w:fldChar w:fldCharType="separate"/>
        </w:r>
        <w:r>
          <w:rPr>
            <w:noProof/>
            <w:webHidden/>
          </w:rPr>
          <w:t>7</w:t>
        </w:r>
        <w:r>
          <w:rPr>
            <w:noProof/>
            <w:webHidden/>
          </w:rPr>
          <w:fldChar w:fldCharType="end"/>
        </w:r>
      </w:hyperlink>
    </w:p>
    <w:p w14:paraId="246C3CF3" w14:textId="1C941EF9" w:rsidR="00A017D7" w:rsidRDefault="00A017D7">
      <w:pPr>
        <w:pStyle w:val="TOC2"/>
        <w:tabs>
          <w:tab w:val="right" w:leader="dot" w:pos="9962"/>
        </w:tabs>
        <w:rPr>
          <w:rFonts w:eastAsiaTheme="minorEastAsia"/>
          <w:noProof/>
          <w:kern w:val="2"/>
          <w:lang w:val="en-GB" w:eastAsia="en-GB"/>
          <w14:ligatures w14:val="standardContextual"/>
        </w:rPr>
      </w:pPr>
      <w:hyperlink w:anchor="_Toc236387210" w:history="1">
        <w:r w:rsidRPr="00FF3118">
          <w:rPr>
            <w:rStyle w:val="Hyperlink"/>
            <w:noProof/>
          </w:rPr>
          <w:t>2.2 Struttura logica delle sorgenti dati</w:t>
        </w:r>
        <w:r>
          <w:rPr>
            <w:noProof/>
            <w:webHidden/>
          </w:rPr>
          <w:tab/>
        </w:r>
        <w:r>
          <w:rPr>
            <w:noProof/>
            <w:webHidden/>
          </w:rPr>
          <w:fldChar w:fldCharType="begin"/>
        </w:r>
        <w:r>
          <w:rPr>
            <w:noProof/>
            <w:webHidden/>
          </w:rPr>
          <w:instrText xml:space="preserve"> PAGEREF _Toc236387210 \h </w:instrText>
        </w:r>
        <w:r>
          <w:rPr>
            <w:noProof/>
            <w:webHidden/>
          </w:rPr>
        </w:r>
        <w:r>
          <w:rPr>
            <w:noProof/>
            <w:webHidden/>
          </w:rPr>
          <w:fldChar w:fldCharType="separate"/>
        </w:r>
        <w:r>
          <w:rPr>
            <w:noProof/>
            <w:webHidden/>
          </w:rPr>
          <w:t>7</w:t>
        </w:r>
        <w:r>
          <w:rPr>
            <w:noProof/>
            <w:webHidden/>
          </w:rPr>
          <w:fldChar w:fldCharType="end"/>
        </w:r>
      </w:hyperlink>
    </w:p>
    <w:p w14:paraId="676B015A" w14:textId="16FFB353" w:rsidR="00A017D7" w:rsidRDefault="00A017D7">
      <w:pPr>
        <w:pStyle w:val="TOC2"/>
        <w:tabs>
          <w:tab w:val="right" w:leader="dot" w:pos="9962"/>
        </w:tabs>
        <w:rPr>
          <w:rFonts w:eastAsiaTheme="minorEastAsia"/>
          <w:noProof/>
          <w:kern w:val="2"/>
          <w:lang w:val="en-GB" w:eastAsia="en-GB"/>
          <w14:ligatures w14:val="standardContextual"/>
        </w:rPr>
      </w:pPr>
      <w:hyperlink w:anchor="_Toc236387211" w:history="1">
        <w:r w:rsidRPr="00FF3118">
          <w:rPr>
            <w:rStyle w:val="Hyperlink"/>
            <w:noProof/>
            <w:lang w:val="it-IT"/>
          </w:rPr>
          <w:t>2.3 Proprietà fondamentali del dato</w:t>
        </w:r>
        <w:r>
          <w:rPr>
            <w:noProof/>
            <w:webHidden/>
          </w:rPr>
          <w:tab/>
        </w:r>
        <w:r>
          <w:rPr>
            <w:noProof/>
            <w:webHidden/>
          </w:rPr>
          <w:fldChar w:fldCharType="begin"/>
        </w:r>
        <w:r>
          <w:rPr>
            <w:noProof/>
            <w:webHidden/>
          </w:rPr>
          <w:instrText xml:space="preserve"> PAGEREF _Toc236387211 \h </w:instrText>
        </w:r>
        <w:r>
          <w:rPr>
            <w:noProof/>
            <w:webHidden/>
          </w:rPr>
        </w:r>
        <w:r>
          <w:rPr>
            <w:noProof/>
            <w:webHidden/>
          </w:rPr>
          <w:fldChar w:fldCharType="separate"/>
        </w:r>
        <w:r>
          <w:rPr>
            <w:noProof/>
            <w:webHidden/>
          </w:rPr>
          <w:t>7</w:t>
        </w:r>
        <w:r>
          <w:rPr>
            <w:noProof/>
            <w:webHidden/>
          </w:rPr>
          <w:fldChar w:fldCharType="end"/>
        </w:r>
      </w:hyperlink>
    </w:p>
    <w:p w14:paraId="0F1FDA0D" w14:textId="12BC24A5" w:rsidR="00A017D7" w:rsidRDefault="00A017D7">
      <w:pPr>
        <w:pStyle w:val="TOC2"/>
        <w:tabs>
          <w:tab w:val="right" w:leader="dot" w:pos="9962"/>
        </w:tabs>
        <w:rPr>
          <w:rFonts w:eastAsiaTheme="minorEastAsia"/>
          <w:noProof/>
          <w:kern w:val="2"/>
          <w:lang w:val="en-GB" w:eastAsia="en-GB"/>
          <w14:ligatures w14:val="standardContextual"/>
        </w:rPr>
      </w:pPr>
      <w:hyperlink w:anchor="_Toc236387212" w:history="1">
        <w:r w:rsidRPr="00FF3118">
          <w:rPr>
            <w:rStyle w:val="Hyperlink"/>
            <w:noProof/>
            <w:lang w:val="it-IT"/>
          </w:rPr>
          <w:t>2.4 Assenza di provider di mercato nel core forecast</w:t>
        </w:r>
        <w:r>
          <w:rPr>
            <w:noProof/>
            <w:webHidden/>
          </w:rPr>
          <w:tab/>
        </w:r>
        <w:r>
          <w:rPr>
            <w:noProof/>
            <w:webHidden/>
          </w:rPr>
          <w:fldChar w:fldCharType="begin"/>
        </w:r>
        <w:r>
          <w:rPr>
            <w:noProof/>
            <w:webHidden/>
          </w:rPr>
          <w:instrText xml:space="preserve"> PAGEREF _Toc236387212 \h </w:instrText>
        </w:r>
        <w:r>
          <w:rPr>
            <w:noProof/>
            <w:webHidden/>
          </w:rPr>
        </w:r>
        <w:r>
          <w:rPr>
            <w:noProof/>
            <w:webHidden/>
          </w:rPr>
          <w:fldChar w:fldCharType="separate"/>
        </w:r>
        <w:r>
          <w:rPr>
            <w:noProof/>
            <w:webHidden/>
          </w:rPr>
          <w:t>8</w:t>
        </w:r>
        <w:r>
          <w:rPr>
            <w:noProof/>
            <w:webHidden/>
          </w:rPr>
          <w:fldChar w:fldCharType="end"/>
        </w:r>
      </w:hyperlink>
    </w:p>
    <w:p w14:paraId="53FCDDF8" w14:textId="7EBF7113" w:rsidR="00A017D7" w:rsidRDefault="00A017D7">
      <w:pPr>
        <w:pStyle w:val="TOC1"/>
        <w:tabs>
          <w:tab w:val="right" w:leader="dot" w:pos="9962"/>
        </w:tabs>
        <w:rPr>
          <w:rFonts w:eastAsiaTheme="minorEastAsia"/>
          <w:noProof/>
          <w:kern w:val="2"/>
          <w:lang w:val="en-GB" w:eastAsia="en-GB"/>
          <w14:ligatures w14:val="standardContextual"/>
        </w:rPr>
      </w:pPr>
      <w:hyperlink w:anchor="_Toc236387213" w:history="1">
        <w:r w:rsidRPr="00FF3118">
          <w:rPr>
            <w:rStyle w:val="Hyperlink"/>
            <w:noProof/>
          </w:rPr>
          <w:t>3. Revisione degli split e aggiustamento controllato della serie</w:t>
        </w:r>
        <w:r>
          <w:rPr>
            <w:noProof/>
            <w:webHidden/>
          </w:rPr>
          <w:tab/>
        </w:r>
        <w:r>
          <w:rPr>
            <w:noProof/>
            <w:webHidden/>
          </w:rPr>
          <w:fldChar w:fldCharType="begin"/>
        </w:r>
        <w:r>
          <w:rPr>
            <w:noProof/>
            <w:webHidden/>
          </w:rPr>
          <w:instrText xml:space="preserve"> PAGEREF _Toc236387213 \h </w:instrText>
        </w:r>
        <w:r>
          <w:rPr>
            <w:noProof/>
            <w:webHidden/>
          </w:rPr>
        </w:r>
        <w:r>
          <w:rPr>
            <w:noProof/>
            <w:webHidden/>
          </w:rPr>
          <w:fldChar w:fldCharType="separate"/>
        </w:r>
        <w:r>
          <w:rPr>
            <w:noProof/>
            <w:webHidden/>
          </w:rPr>
          <w:t>8</w:t>
        </w:r>
        <w:r>
          <w:rPr>
            <w:noProof/>
            <w:webHidden/>
          </w:rPr>
          <w:fldChar w:fldCharType="end"/>
        </w:r>
      </w:hyperlink>
    </w:p>
    <w:p w14:paraId="26DC443E" w14:textId="719204E7" w:rsidR="00A017D7" w:rsidRDefault="00A017D7">
      <w:pPr>
        <w:pStyle w:val="TOC2"/>
        <w:tabs>
          <w:tab w:val="right" w:leader="dot" w:pos="9962"/>
        </w:tabs>
        <w:rPr>
          <w:rFonts w:eastAsiaTheme="minorEastAsia"/>
          <w:noProof/>
          <w:kern w:val="2"/>
          <w:lang w:val="en-GB" w:eastAsia="en-GB"/>
          <w14:ligatures w14:val="standardContextual"/>
        </w:rPr>
      </w:pPr>
      <w:hyperlink w:anchor="_Toc236387214" w:history="1">
        <w:r w:rsidRPr="00FF3118">
          <w:rPr>
            <w:rStyle w:val="Hyperlink"/>
            <w:noProof/>
          </w:rPr>
          <w:t>3.1 Rilevazione deterministica dei candidati</w:t>
        </w:r>
        <w:r>
          <w:rPr>
            <w:noProof/>
            <w:webHidden/>
          </w:rPr>
          <w:tab/>
        </w:r>
        <w:r>
          <w:rPr>
            <w:noProof/>
            <w:webHidden/>
          </w:rPr>
          <w:fldChar w:fldCharType="begin"/>
        </w:r>
        <w:r>
          <w:rPr>
            <w:noProof/>
            <w:webHidden/>
          </w:rPr>
          <w:instrText xml:space="preserve"> PAGEREF _Toc236387214 \h </w:instrText>
        </w:r>
        <w:r>
          <w:rPr>
            <w:noProof/>
            <w:webHidden/>
          </w:rPr>
        </w:r>
        <w:r>
          <w:rPr>
            <w:noProof/>
            <w:webHidden/>
          </w:rPr>
          <w:fldChar w:fldCharType="separate"/>
        </w:r>
        <w:r>
          <w:rPr>
            <w:noProof/>
            <w:webHidden/>
          </w:rPr>
          <w:t>8</w:t>
        </w:r>
        <w:r>
          <w:rPr>
            <w:noProof/>
            <w:webHidden/>
          </w:rPr>
          <w:fldChar w:fldCharType="end"/>
        </w:r>
      </w:hyperlink>
    </w:p>
    <w:p w14:paraId="6B32CD7F" w14:textId="7CF5D46C" w:rsidR="00A017D7" w:rsidRDefault="00A017D7">
      <w:pPr>
        <w:pStyle w:val="TOC2"/>
        <w:tabs>
          <w:tab w:val="right" w:leader="dot" w:pos="9962"/>
        </w:tabs>
        <w:rPr>
          <w:rFonts w:eastAsiaTheme="minorEastAsia"/>
          <w:noProof/>
          <w:kern w:val="2"/>
          <w:lang w:val="en-GB" w:eastAsia="en-GB"/>
          <w14:ligatures w14:val="standardContextual"/>
        </w:rPr>
      </w:pPr>
      <w:hyperlink w:anchor="_Toc236387215" w:history="1">
        <w:r w:rsidRPr="00FF3118">
          <w:rPr>
            <w:rStyle w:val="Hyperlink"/>
            <w:noProof/>
          </w:rPr>
          <w:t>3.2 Decisione dell’utente e aggiustamento</w:t>
        </w:r>
        <w:r>
          <w:rPr>
            <w:noProof/>
            <w:webHidden/>
          </w:rPr>
          <w:tab/>
        </w:r>
        <w:r>
          <w:rPr>
            <w:noProof/>
            <w:webHidden/>
          </w:rPr>
          <w:fldChar w:fldCharType="begin"/>
        </w:r>
        <w:r>
          <w:rPr>
            <w:noProof/>
            <w:webHidden/>
          </w:rPr>
          <w:instrText xml:space="preserve"> PAGEREF _Toc236387215 \h </w:instrText>
        </w:r>
        <w:r>
          <w:rPr>
            <w:noProof/>
            <w:webHidden/>
          </w:rPr>
        </w:r>
        <w:r>
          <w:rPr>
            <w:noProof/>
            <w:webHidden/>
          </w:rPr>
          <w:fldChar w:fldCharType="separate"/>
        </w:r>
        <w:r>
          <w:rPr>
            <w:noProof/>
            <w:webHidden/>
          </w:rPr>
          <w:t>9</w:t>
        </w:r>
        <w:r>
          <w:rPr>
            <w:noProof/>
            <w:webHidden/>
          </w:rPr>
          <w:fldChar w:fldCharType="end"/>
        </w:r>
      </w:hyperlink>
    </w:p>
    <w:p w14:paraId="17026C36" w14:textId="103641A4" w:rsidR="00A017D7" w:rsidRDefault="00A017D7">
      <w:pPr>
        <w:pStyle w:val="TOC2"/>
        <w:tabs>
          <w:tab w:val="right" w:leader="dot" w:pos="9962"/>
        </w:tabs>
        <w:rPr>
          <w:rFonts w:eastAsiaTheme="minorEastAsia"/>
          <w:noProof/>
          <w:kern w:val="2"/>
          <w:lang w:val="en-GB" w:eastAsia="en-GB"/>
          <w14:ligatures w14:val="standardContextual"/>
        </w:rPr>
      </w:pPr>
      <w:hyperlink w:anchor="_Toc236387216" w:history="1">
        <w:r w:rsidRPr="00FF3118">
          <w:rPr>
            <w:rStyle w:val="Hyperlink"/>
            <w:noProof/>
          </w:rPr>
          <w:t>3.3 Informazioni diagnostiche e tracciabilità</w:t>
        </w:r>
        <w:r>
          <w:rPr>
            <w:noProof/>
            <w:webHidden/>
          </w:rPr>
          <w:tab/>
        </w:r>
        <w:r>
          <w:rPr>
            <w:noProof/>
            <w:webHidden/>
          </w:rPr>
          <w:fldChar w:fldCharType="begin"/>
        </w:r>
        <w:r>
          <w:rPr>
            <w:noProof/>
            <w:webHidden/>
          </w:rPr>
          <w:instrText xml:space="preserve"> PAGEREF _Toc236387216 \h </w:instrText>
        </w:r>
        <w:r>
          <w:rPr>
            <w:noProof/>
            <w:webHidden/>
          </w:rPr>
        </w:r>
        <w:r>
          <w:rPr>
            <w:noProof/>
            <w:webHidden/>
          </w:rPr>
          <w:fldChar w:fldCharType="separate"/>
        </w:r>
        <w:r>
          <w:rPr>
            <w:noProof/>
            <w:webHidden/>
          </w:rPr>
          <w:t>10</w:t>
        </w:r>
        <w:r>
          <w:rPr>
            <w:noProof/>
            <w:webHidden/>
          </w:rPr>
          <w:fldChar w:fldCharType="end"/>
        </w:r>
      </w:hyperlink>
    </w:p>
    <w:p w14:paraId="52FE1CD2" w14:textId="4A60203D" w:rsidR="00A017D7" w:rsidRDefault="00A017D7">
      <w:pPr>
        <w:pStyle w:val="TOC1"/>
        <w:tabs>
          <w:tab w:val="right" w:leader="dot" w:pos="9962"/>
        </w:tabs>
        <w:rPr>
          <w:rFonts w:eastAsiaTheme="minorEastAsia"/>
          <w:noProof/>
          <w:kern w:val="2"/>
          <w:lang w:val="en-GB" w:eastAsia="en-GB"/>
          <w14:ligatures w14:val="standardContextual"/>
        </w:rPr>
      </w:pPr>
      <w:hyperlink w:anchor="_Toc236387217" w:history="1">
        <w:r w:rsidRPr="00FF3118">
          <w:rPr>
            <w:rStyle w:val="Hyperlink"/>
            <w:noProof/>
            <w:lang w:val="it-IT"/>
          </w:rPr>
          <w:t xml:space="preserve">4. Calendario di mercato, allineamento date e definizione di </w:t>
        </w:r>
        <m:oMath>
          <m:r>
            <m:rPr>
              <m:sty m:val="bi"/>
            </m:rPr>
            <w:rPr>
              <w:rStyle w:val="Hyperlink"/>
              <w:rFonts w:ascii="Cambria Math" w:hAnsi="Cambria Math"/>
              <w:noProof/>
            </w:rPr>
            <m:t>H</m:t>
          </m:r>
        </m:oMath>
        <w:r>
          <w:rPr>
            <w:noProof/>
            <w:webHidden/>
          </w:rPr>
          <w:tab/>
        </w:r>
        <w:r>
          <w:rPr>
            <w:noProof/>
            <w:webHidden/>
          </w:rPr>
          <w:fldChar w:fldCharType="begin"/>
        </w:r>
        <w:r>
          <w:rPr>
            <w:noProof/>
            <w:webHidden/>
          </w:rPr>
          <w:instrText xml:space="preserve"> PAGEREF _Toc236387217 \h </w:instrText>
        </w:r>
        <w:r>
          <w:rPr>
            <w:noProof/>
            <w:webHidden/>
          </w:rPr>
        </w:r>
        <w:r>
          <w:rPr>
            <w:noProof/>
            <w:webHidden/>
          </w:rPr>
          <w:fldChar w:fldCharType="separate"/>
        </w:r>
        <w:r>
          <w:rPr>
            <w:noProof/>
            <w:webHidden/>
          </w:rPr>
          <w:t>10</w:t>
        </w:r>
        <w:r>
          <w:rPr>
            <w:noProof/>
            <w:webHidden/>
          </w:rPr>
          <w:fldChar w:fldCharType="end"/>
        </w:r>
      </w:hyperlink>
    </w:p>
    <w:p w14:paraId="79A48FE2" w14:textId="70C08FB9" w:rsidR="00A017D7" w:rsidRDefault="00A017D7">
      <w:pPr>
        <w:pStyle w:val="TOC2"/>
        <w:tabs>
          <w:tab w:val="right" w:leader="dot" w:pos="9962"/>
        </w:tabs>
        <w:rPr>
          <w:rFonts w:eastAsiaTheme="minorEastAsia"/>
          <w:noProof/>
          <w:kern w:val="2"/>
          <w:lang w:val="en-GB" w:eastAsia="en-GB"/>
          <w14:ligatures w14:val="standardContextual"/>
        </w:rPr>
      </w:pPr>
      <w:hyperlink w:anchor="_Toc236387218" w:history="1">
        <w:r w:rsidRPr="00FF3118">
          <w:rPr>
            <w:rStyle w:val="Hyperlink"/>
            <w:noProof/>
            <w:lang w:val="it-IT"/>
          </w:rPr>
          <w:t>4.1 Politiche di calendario</w:t>
        </w:r>
        <w:r>
          <w:rPr>
            <w:noProof/>
            <w:webHidden/>
          </w:rPr>
          <w:tab/>
        </w:r>
        <w:r>
          <w:rPr>
            <w:noProof/>
            <w:webHidden/>
          </w:rPr>
          <w:fldChar w:fldCharType="begin"/>
        </w:r>
        <w:r>
          <w:rPr>
            <w:noProof/>
            <w:webHidden/>
          </w:rPr>
          <w:instrText xml:space="preserve"> PAGEREF _Toc236387218 \h </w:instrText>
        </w:r>
        <w:r>
          <w:rPr>
            <w:noProof/>
            <w:webHidden/>
          </w:rPr>
        </w:r>
        <w:r>
          <w:rPr>
            <w:noProof/>
            <w:webHidden/>
          </w:rPr>
          <w:fldChar w:fldCharType="separate"/>
        </w:r>
        <w:r>
          <w:rPr>
            <w:noProof/>
            <w:webHidden/>
          </w:rPr>
          <w:t>10</w:t>
        </w:r>
        <w:r>
          <w:rPr>
            <w:noProof/>
            <w:webHidden/>
          </w:rPr>
          <w:fldChar w:fldCharType="end"/>
        </w:r>
      </w:hyperlink>
    </w:p>
    <w:p w14:paraId="3930CB03" w14:textId="65F30BF5" w:rsidR="00A017D7" w:rsidRDefault="00A017D7">
      <w:pPr>
        <w:pStyle w:val="TOC2"/>
        <w:tabs>
          <w:tab w:val="right" w:leader="dot" w:pos="9962"/>
        </w:tabs>
        <w:rPr>
          <w:rFonts w:eastAsiaTheme="minorEastAsia"/>
          <w:noProof/>
          <w:kern w:val="2"/>
          <w:lang w:val="en-GB" w:eastAsia="en-GB"/>
          <w14:ligatures w14:val="standardContextual"/>
        </w:rPr>
      </w:pPr>
      <w:hyperlink w:anchor="_Toc236387219" w:history="1">
        <w:r w:rsidRPr="00FF3118">
          <w:rPr>
            <w:rStyle w:val="Hyperlink"/>
            <w:noProof/>
            <w:lang w:val="it-IT"/>
          </w:rPr>
          <w:t>4.2 Allineamento della data target</w:t>
        </w:r>
        <w:r>
          <w:rPr>
            <w:noProof/>
            <w:webHidden/>
          </w:rPr>
          <w:tab/>
        </w:r>
        <w:r>
          <w:rPr>
            <w:noProof/>
            <w:webHidden/>
          </w:rPr>
          <w:fldChar w:fldCharType="begin"/>
        </w:r>
        <w:r>
          <w:rPr>
            <w:noProof/>
            <w:webHidden/>
          </w:rPr>
          <w:instrText xml:space="preserve"> PAGEREF _Toc236387219 \h </w:instrText>
        </w:r>
        <w:r>
          <w:rPr>
            <w:noProof/>
            <w:webHidden/>
          </w:rPr>
        </w:r>
        <w:r>
          <w:rPr>
            <w:noProof/>
            <w:webHidden/>
          </w:rPr>
          <w:fldChar w:fldCharType="separate"/>
        </w:r>
        <w:r>
          <w:rPr>
            <w:noProof/>
            <w:webHidden/>
          </w:rPr>
          <w:t>10</w:t>
        </w:r>
        <w:r>
          <w:rPr>
            <w:noProof/>
            <w:webHidden/>
          </w:rPr>
          <w:fldChar w:fldCharType="end"/>
        </w:r>
      </w:hyperlink>
    </w:p>
    <w:p w14:paraId="1FE8F9F3" w14:textId="0C9D084D" w:rsidR="00A017D7" w:rsidRDefault="00A017D7">
      <w:pPr>
        <w:pStyle w:val="TOC2"/>
        <w:tabs>
          <w:tab w:val="right" w:leader="dot" w:pos="9962"/>
        </w:tabs>
        <w:rPr>
          <w:rFonts w:eastAsiaTheme="minorEastAsia"/>
          <w:noProof/>
          <w:kern w:val="2"/>
          <w:lang w:val="en-GB" w:eastAsia="en-GB"/>
          <w14:ligatures w14:val="standardContextual"/>
        </w:rPr>
      </w:pPr>
      <w:hyperlink w:anchor="_Toc236387220" w:history="1">
        <w:r w:rsidRPr="00FF3118">
          <w:rPr>
            <w:rStyle w:val="Hyperlink"/>
            <w:noProof/>
            <w:lang w:val="it-IT"/>
          </w:rPr>
          <w:t>4.3 Regime di orizzonte (giorni di calendario)</w:t>
        </w:r>
        <w:r>
          <w:rPr>
            <w:noProof/>
            <w:webHidden/>
          </w:rPr>
          <w:tab/>
        </w:r>
        <w:r>
          <w:rPr>
            <w:noProof/>
            <w:webHidden/>
          </w:rPr>
          <w:fldChar w:fldCharType="begin"/>
        </w:r>
        <w:r>
          <w:rPr>
            <w:noProof/>
            <w:webHidden/>
          </w:rPr>
          <w:instrText xml:space="preserve"> PAGEREF _Toc236387220 \h </w:instrText>
        </w:r>
        <w:r>
          <w:rPr>
            <w:noProof/>
            <w:webHidden/>
          </w:rPr>
        </w:r>
        <w:r>
          <w:rPr>
            <w:noProof/>
            <w:webHidden/>
          </w:rPr>
          <w:fldChar w:fldCharType="separate"/>
        </w:r>
        <w:r>
          <w:rPr>
            <w:noProof/>
            <w:webHidden/>
          </w:rPr>
          <w:t>11</w:t>
        </w:r>
        <w:r>
          <w:rPr>
            <w:noProof/>
            <w:webHidden/>
          </w:rPr>
          <w:fldChar w:fldCharType="end"/>
        </w:r>
      </w:hyperlink>
    </w:p>
    <w:p w14:paraId="47C99A2C" w14:textId="5AD15714" w:rsidR="00A017D7" w:rsidRDefault="00A017D7">
      <w:pPr>
        <w:pStyle w:val="TOC2"/>
        <w:tabs>
          <w:tab w:val="right" w:leader="dot" w:pos="9962"/>
        </w:tabs>
        <w:rPr>
          <w:rFonts w:eastAsiaTheme="minorEastAsia"/>
          <w:noProof/>
          <w:kern w:val="2"/>
          <w:lang w:val="en-GB" w:eastAsia="en-GB"/>
          <w14:ligatures w14:val="standardContextual"/>
        </w:rPr>
      </w:pPr>
      <w:hyperlink w:anchor="_Toc236387221" w:history="1">
        <w:r w:rsidRPr="00FF3118">
          <w:rPr>
            <w:rStyle w:val="Hyperlink"/>
            <w:noProof/>
          </w:rPr>
          <w:t xml:space="preserve">4.4 Orizzonte operativo </w:t>
        </w:r>
        <m:oMath>
          <m:r>
            <m:rPr>
              <m:sty m:val="bi"/>
            </m:rPr>
            <w:rPr>
              <w:rStyle w:val="Hyperlink"/>
              <w:rFonts w:ascii="Cambria Math" w:hAnsi="Cambria Math"/>
              <w:noProof/>
            </w:rPr>
            <m:t>H</m:t>
          </m:r>
        </m:oMath>
        <w:r>
          <w:rPr>
            <w:noProof/>
            <w:webHidden/>
          </w:rPr>
          <w:tab/>
        </w:r>
        <w:r>
          <w:rPr>
            <w:noProof/>
            <w:webHidden/>
          </w:rPr>
          <w:fldChar w:fldCharType="begin"/>
        </w:r>
        <w:r>
          <w:rPr>
            <w:noProof/>
            <w:webHidden/>
          </w:rPr>
          <w:instrText xml:space="preserve"> PAGEREF _Toc236387221 \h </w:instrText>
        </w:r>
        <w:r>
          <w:rPr>
            <w:noProof/>
            <w:webHidden/>
          </w:rPr>
        </w:r>
        <w:r>
          <w:rPr>
            <w:noProof/>
            <w:webHidden/>
          </w:rPr>
          <w:fldChar w:fldCharType="separate"/>
        </w:r>
        <w:r>
          <w:rPr>
            <w:noProof/>
            <w:webHidden/>
          </w:rPr>
          <w:t>11</w:t>
        </w:r>
        <w:r>
          <w:rPr>
            <w:noProof/>
            <w:webHidden/>
          </w:rPr>
          <w:fldChar w:fldCharType="end"/>
        </w:r>
      </w:hyperlink>
    </w:p>
    <w:p w14:paraId="1C2C5AFC" w14:textId="0DDD8A47" w:rsidR="00A017D7" w:rsidRDefault="00A017D7">
      <w:pPr>
        <w:pStyle w:val="TOC1"/>
        <w:tabs>
          <w:tab w:val="right" w:leader="dot" w:pos="9962"/>
        </w:tabs>
        <w:rPr>
          <w:rFonts w:eastAsiaTheme="minorEastAsia"/>
          <w:noProof/>
          <w:kern w:val="2"/>
          <w:lang w:val="en-GB" w:eastAsia="en-GB"/>
          <w14:ligatures w14:val="standardContextual"/>
        </w:rPr>
      </w:pPr>
      <w:hyperlink w:anchor="_Toc236387222" w:history="1">
        <w:r w:rsidRPr="00FF3118">
          <w:rPr>
            <w:rStyle w:val="Hyperlink"/>
            <w:noProof/>
            <w:lang w:val="it-IT"/>
          </w:rPr>
          <w:t>5. Pipeline esecutiva completa</w:t>
        </w:r>
        <w:r>
          <w:rPr>
            <w:noProof/>
            <w:webHidden/>
          </w:rPr>
          <w:tab/>
        </w:r>
        <w:r>
          <w:rPr>
            <w:noProof/>
            <w:webHidden/>
          </w:rPr>
          <w:fldChar w:fldCharType="begin"/>
        </w:r>
        <w:r>
          <w:rPr>
            <w:noProof/>
            <w:webHidden/>
          </w:rPr>
          <w:instrText xml:space="preserve"> PAGEREF _Toc236387222 \h </w:instrText>
        </w:r>
        <w:r>
          <w:rPr>
            <w:noProof/>
            <w:webHidden/>
          </w:rPr>
        </w:r>
        <w:r>
          <w:rPr>
            <w:noProof/>
            <w:webHidden/>
          </w:rPr>
          <w:fldChar w:fldCharType="separate"/>
        </w:r>
        <w:r>
          <w:rPr>
            <w:noProof/>
            <w:webHidden/>
          </w:rPr>
          <w:t>11</w:t>
        </w:r>
        <w:r>
          <w:rPr>
            <w:noProof/>
            <w:webHidden/>
          </w:rPr>
          <w:fldChar w:fldCharType="end"/>
        </w:r>
      </w:hyperlink>
    </w:p>
    <w:p w14:paraId="6CAB3695" w14:textId="52FE4A57" w:rsidR="00A017D7" w:rsidRDefault="00A017D7">
      <w:pPr>
        <w:pStyle w:val="TOC2"/>
        <w:tabs>
          <w:tab w:val="right" w:leader="dot" w:pos="9962"/>
        </w:tabs>
        <w:rPr>
          <w:rFonts w:eastAsiaTheme="minorEastAsia"/>
          <w:noProof/>
          <w:kern w:val="2"/>
          <w:lang w:val="en-GB" w:eastAsia="en-GB"/>
          <w14:ligatures w14:val="standardContextual"/>
        </w:rPr>
      </w:pPr>
      <w:hyperlink w:anchor="_Toc236387223" w:history="1">
        <w:r w:rsidRPr="00FF3118">
          <w:rPr>
            <w:rStyle w:val="Hyperlink"/>
            <w:noProof/>
            <w:lang w:val="it-IT"/>
          </w:rPr>
          <w:t>5.1 Sequenza operativa</w:t>
        </w:r>
        <w:r>
          <w:rPr>
            <w:noProof/>
            <w:webHidden/>
          </w:rPr>
          <w:tab/>
        </w:r>
        <w:r>
          <w:rPr>
            <w:noProof/>
            <w:webHidden/>
          </w:rPr>
          <w:fldChar w:fldCharType="begin"/>
        </w:r>
        <w:r>
          <w:rPr>
            <w:noProof/>
            <w:webHidden/>
          </w:rPr>
          <w:instrText xml:space="preserve"> PAGEREF _Toc236387223 \h </w:instrText>
        </w:r>
        <w:r>
          <w:rPr>
            <w:noProof/>
            <w:webHidden/>
          </w:rPr>
        </w:r>
        <w:r>
          <w:rPr>
            <w:noProof/>
            <w:webHidden/>
          </w:rPr>
          <w:fldChar w:fldCharType="separate"/>
        </w:r>
        <w:r>
          <w:rPr>
            <w:noProof/>
            <w:webHidden/>
          </w:rPr>
          <w:t>11</w:t>
        </w:r>
        <w:r>
          <w:rPr>
            <w:noProof/>
            <w:webHidden/>
          </w:rPr>
          <w:fldChar w:fldCharType="end"/>
        </w:r>
      </w:hyperlink>
    </w:p>
    <w:p w14:paraId="7F59E571" w14:textId="66C9805C" w:rsidR="00A017D7" w:rsidRDefault="00A017D7">
      <w:pPr>
        <w:pStyle w:val="TOC2"/>
        <w:tabs>
          <w:tab w:val="right" w:leader="dot" w:pos="9962"/>
        </w:tabs>
        <w:rPr>
          <w:rFonts w:eastAsiaTheme="minorEastAsia"/>
          <w:noProof/>
          <w:kern w:val="2"/>
          <w:lang w:val="en-GB" w:eastAsia="en-GB"/>
          <w14:ligatures w14:val="standardContextual"/>
        </w:rPr>
      </w:pPr>
      <w:hyperlink w:anchor="_Toc236387224" w:history="1">
        <w:r w:rsidRPr="00FF3118">
          <w:rPr>
            <w:rStyle w:val="Hyperlink"/>
            <w:noProof/>
            <w:lang w:val="it-IT"/>
          </w:rPr>
          <w:t>5.2 Ordine concettuale dei calcoli</w:t>
        </w:r>
        <w:r>
          <w:rPr>
            <w:noProof/>
            <w:webHidden/>
          </w:rPr>
          <w:tab/>
        </w:r>
        <w:r>
          <w:rPr>
            <w:noProof/>
            <w:webHidden/>
          </w:rPr>
          <w:fldChar w:fldCharType="begin"/>
        </w:r>
        <w:r>
          <w:rPr>
            <w:noProof/>
            <w:webHidden/>
          </w:rPr>
          <w:instrText xml:space="preserve"> PAGEREF _Toc236387224 \h </w:instrText>
        </w:r>
        <w:r>
          <w:rPr>
            <w:noProof/>
            <w:webHidden/>
          </w:rPr>
        </w:r>
        <w:r>
          <w:rPr>
            <w:noProof/>
            <w:webHidden/>
          </w:rPr>
          <w:fldChar w:fldCharType="separate"/>
        </w:r>
        <w:r>
          <w:rPr>
            <w:noProof/>
            <w:webHidden/>
          </w:rPr>
          <w:t>12</w:t>
        </w:r>
        <w:r>
          <w:rPr>
            <w:noProof/>
            <w:webHidden/>
          </w:rPr>
          <w:fldChar w:fldCharType="end"/>
        </w:r>
      </w:hyperlink>
    </w:p>
    <w:p w14:paraId="36C40EDF" w14:textId="64A22550" w:rsidR="00A017D7" w:rsidRDefault="00A017D7">
      <w:pPr>
        <w:pStyle w:val="TOC1"/>
        <w:tabs>
          <w:tab w:val="right" w:leader="dot" w:pos="9962"/>
        </w:tabs>
        <w:rPr>
          <w:rFonts w:eastAsiaTheme="minorEastAsia"/>
          <w:noProof/>
          <w:kern w:val="2"/>
          <w:lang w:val="en-GB" w:eastAsia="en-GB"/>
          <w14:ligatures w14:val="standardContextual"/>
        </w:rPr>
      </w:pPr>
      <w:hyperlink w:anchor="_Toc236387225" w:history="1">
        <w:r w:rsidRPr="00FF3118">
          <w:rPr>
            <w:rStyle w:val="Hyperlink"/>
            <w:noProof/>
            <w:lang w:val="it-IT"/>
          </w:rPr>
          <w:t>6. Acquisizione dati, risoluzione ticker e modalità simulazione</w:t>
        </w:r>
        <w:r>
          <w:rPr>
            <w:noProof/>
            <w:webHidden/>
          </w:rPr>
          <w:tab/>
        </w:r>
        <w:r>
          <w:rPr>
            <w:noProof/>
            <w:webHidden/>
          </w:rPr>
          <w:fldChar w:fldCharType="begin"/>
        </w:r>
        <w:r>
          <w:rPr>
            <w:noProof/>
            <w:webHidden/>
          </w:rPr>
          <w:instrText xml:space="preserve"> PAGEREF _Toc236387225 \h </w:instrText>
        </w:r>
        <w:r>
          <w:rPr>
            <w:noProof/>
            <w:webHidden/>
          </w:rPr>
        </w:r>
        <w:r>
          <w:rPr>
            <w:noProof/>
            <w:webHidden/>
          </w:rPr>
          <w:fldChar w:fldCharType="separate"/>
        </w:r>
        <w:r>
          <w:rPr>
            <w:noProof/>
            <w:webHidden/>
          </w:rPr>
          <w:t>12</w:t>
        </w:r>
        <w:r>
          <w:rPr>
            <w:noProof/>
            <w:webHidden/>
          </w:rPr>
          <w:fldChar w:fldCharType="end"/>
        </w:r>
      </w:hyperlink>
    </w:p>
    <w:p w14:paraId="1A7B4D5E" w14:textId="785106CD" w:rsidR="00A017D7" w:rsidRDefault="00A017D7">
      <w:pPr>
        <w:pStyle w:val="TOC2"/>
        <w:tabs>
          <w:tab w:val="right" w:leader="dot" w:pos="9962"/>
        </w:tabs>
        <w:rPr>
          <w:rFonts w:eastAsiaTheme="minorEastAsia"/>
          <w:noProof/>
          <w:kern w:val="2"/>
          <w:lang w:val="en-GB" w:eastAsia="en-GB"/>
          <w14:ligatures w14:val="standardContextual"/>
        </w:rPr>
      </w:pPr>
      <w:hyperlink w:anchor="_Toc236387226" w:history="1">
        <w:r w:rsidRPr="00FF3118">
          <w:rPr>
            <w:rStyle w:val="Hyperlink"/>
            <w:noProof/>
            <w:lang w:val="it-IT"/>
          </w:rPr>
          <w:t>6.1 Risoluzione ticker</w:t>
        </w:r>
        <w:r>
          <w:rPr>
            <w:noProof/>
            <w:webHidden/>
          </w:rPr>
          <w:tab/>
        </w:r>
        <w:r>
          <w:rPr>
            <w:noProof/>
            <w:webHidden/>
          </w:rPr>
          <w:fldChar w:fldCharType="begin"/>
        </w:r>
        <w:r>
          <w:rPr>
            <w:noProof/>
            <w:webHidden/>
          </w:rPr>
          <w:instrText xml:space="preserve"> PAGEREF _Toc236387226 \h </w:instrText>
        </w:r>
        <w:r>
          <w:rPr>
            <w:noProof/>
            <w:webHidden/>
          </w:rPr>
        </w:r>
        <w:r>
          <w:rPr>
            <w:noProof/>
            <w:webHidden/>
          </w:rPr>
          <w:fldChar w:fldCharType="separate"/>
        </w:r>
        <w:r>
          <w:rPr>
            <w:noProof/>
            <w:webHidden/>
          </w:rPr>
          <w:t>12</w:t>
        </w:r>
        <w:r>
          <w:rPr>
            <w:noProof/>
            <w:webHidden/>
          </w:rPr>
          <w:fldChar w:fldCharType="end"/>
        </w:r>
      </w:hyperlink>
    </w:p>
    <w:p w14:paraId="0753C626" w14:textId="37D20A49" w:rsidR="00A017D7" w:rsidRDefault="00A017D7">
      <w:pPr>
        <w:pStyle w:val="TOC2"/>
        <w:tabs>
          <w:tab w:val="right" w:leader="dot" w:pos="9962"/>
        </w:tabs>
        <w:rPr>
          <w:rFonts w:eastAsiaTheme="minorEastAsia"/>
          <w:noProof/>
          <w:kern w:val="2"/>
          <w:lang w:val="en-GB" w:eastAsia="en-GB"/>
          <w14:ligatures w14:val="standardContextual"/>
        </w:rPr>
      </w:pPr>
      <w:hyperlink w:anchor="_Toc236387227" w:history="1">
        <w:r w:rsidRPr="00FF3118">
          <w:rPr>
            <w:rStyle w:val="Hyperlink"/>
            <w:noProof/>
            <w:lang w:val="it-IT"/>
          </w:rPr>
          <w:t>6.2 Taglio con data massima dei dati</w:t>
        </w:r>
        <w:r>
          <w:rPr>
            <w:noProof/>
            <w:webHidden/>
          </w:rPr>
          <w:tab/>
        </w:r>
        <w:r>
          <w:rPr>
            <w:noProof/>
            <w:webHidden/>
          </w:rPr>
          <w:fldChar w:fldCharType="begin"/>
        </w:r>
        <w:r>
          <w:rPr>
            <w:noProof/>
            <w:webHidden/>
          </w:rPr>
          <w:instrText xml:space="preserve"> PAGEREF _Toc236387227 \h </w:instrText>
        </w:r>
        <w:r>
          <w:rPr>
            <w:noProof/>
            <w:webHidden/>
          </w:rPr>
        </w:r>
        <w:r>
          <w:rPr>
            <w:noProof/>
            <w:webHidden/>
          </w:rPr>
          <w:fldChar w:fldCharType="separate"/>
        </w:r>
        <w:r>
          <w:rPr>
            <w:noProof/>
            <w:webHidden/>
          </w:rPr>
          <w:t>13</w:t>
        </w:r>
        <w:r>
          <w:rPr>
            <w:noProof/>
            <w:webHidden/>
          </w:rPr>
          <w:fldChar w:fldCharType="end"/>
        </w:r>
      </w:hyperlink>
    </w:p>
    <w:p w14:paraId="33E55FB8" w14:textId="55BEFA53" w:rsidR="00A017D7" w:rsidRDefault="00A017D7">
      <w:pPr>
        <w:pStyle w:val="TOC2"/>
        <w:tabs>
          <w:tab w:val="right" w:leader="dot" w:pos="9962"/>
        </w:tabs>
        <w:rPr>
          <w:rFonts w:eastAsiaTheme="minorEastAsia"/>
          <w:noProof/>
          <w:kern w:val="2"/>
          <w:lang w:val="en-GB" w:eastAsia="en-GB"/>
          <w14:ligatures w14:val="standardContextual"/>
        </w:rPr>
      </w:pPr>
      <w:hyperlink w:anchor="_Toc236387228" w:history="1">
        <w:r w:rsidRPr="00FF3118">
          <w:rPr>
            <w:rStyle w:val="Hyperlink"/>
            <w:noProof/>
            <w:lang w:val="it-IT"/>
          </w:rPr>
          <w:t>6.3 Modalità simulazione (data di riferimento)</w:t>
        </w:r>
        <w:r>
          <w:rPr>
            <w:noProof/>
            <w:webHidden/>
          </w:rPr>
          <w:tab/>
        </w:r>
        <w:r>
          <w:rPr>
            <w:noProof/>
            <w:webHidden/>
          </w:rPr>
          <w:fldChar w:fldCharType="begin"/>
        </w:r>
        <w:r>
          <w:rPr>
            <w:noProof/>
            <w:webHidden/>
          </w:rPr>
          <w:instrText xml:space="preserve"> PAGEREF _Toc236387228 \h </w:instrText>
        </w:r>
        <w:r>
          <w:rPr>
            <w:noProof/>
            <w:webHidden/>
          </w:rPr>
        </w:r>
        <w:r>
          <w:rPr>
            <w:noProof/>
            <w:webHidden/>
          </w:rPr>
          <w:fldChar w:fldCharType="separate"/>
        </w:r>
        <w:r>
          <w:rPr>
            <w:noProof/>
            <w:webHidden/>
          </w:rPr>
          <w:t>13</w:t>
        </w:r>
        <w:r>
          <w:rPr>
            <w:noProof/>
            <w:webHidden/>
          </w:rPr>
          <w:fldChar w:fldCharType="end"/>
        </w:r>
      </w:hyperlink>
    </w:p>
    <w:p w14:paraId="0195ED5D" w14:textId="0F9C6455" w:rsidR="00A017D7" w:rsidRDefault="00A017D7">
      <w:pPr>
        <w:pStyle w:val="TOC2"/>
        <w:tabs>
          <w:tab w:val="right" w:leader="dot" w:pos="9962"/>
        </w:tabs>
        <w:rPr>
          <w:rFonts w:eastAsiaTheme="minorEastAsia"/>
          <w:noProof/>
          <w:kern w:val="2"/>
          <w:lang w:val="en-GB" w:eastAsia="en-GB"/>
          <w14:ligatures w14:val="standardContextual"/>
        </w:rPr>
      </w:pPr>
      <w:hyperlink w:anchor="_Toc236387229" w:history="1">
        <w:r w:rsidRPr="00FF3118">
          <w:rPr>
            <w:rStyle w:val="Hyperlink"/>
            <w:noProof/>
            <w:lang w:val="it-IT"/>
          </w:rPr>
          <w:t>6.4 Finestra storica opzionale per backtest</w:t>
        </w:r>
        <w:r>
          <w:rPr>
            <w:noProof/>
            <w:webHidden/>
          </w:rPr>
          <w:tab/>
        </w:r>
        <w:r>
          <w:rPr>
            <w:noProof/>
            <w:webHidden/>
          </w:rPr>
          <w:fldChar w:fldCharType="begin"/>
        </w:r>
        <w:r>
          <w:rPr>
            <w:noProof/>
            <w:webHidden/>
          </w:rPr>
          <w:instrText xml:space="preserve"> PAGEREF _Toc236387229 \h </w:instrText>
        </w:r>
        <w:r>
          <w:rPr>
            <w:noProof/>
            <w:webHidden/>
          </w:rPr>
        </w:r>
        <w:r>
          <w:rPr>
            <w:noProof/>
            <w:webHidden/>
          </w:rPr>
          <w:fldChar w:fldCharType="separate"/>
        </w:r>
        <w:r>
          <w:rPr>
            <w:noProof/>
            <w:webHidden/>
          </w:rPr>
          <w:t>13</w:t>
        </w:r>
        <w:r>
          <w:rPr>
            <w:noProof/>
            <w:webHidden/>
          </w:rPr>
          <w:fldChar w:fldCharType="end"/>
        </w:r>
      </w:hyperlink>
    </w:p>
    <w:p w14:paraId="6FBFC241" w14:textId="0D2C4D85" w:rsidR="00A017D7" w:rsidRDefault="00A017D7">
      <w:pPr>
        <w:pStyle w:val="TOC1"/>
        <w:tabs>
          <w:tab w:val="right" w:leader="dot" w:pos="9962"/>
        </w:tabs>
        <w:rPr>
          <w:rFonts w:eastAsiaTheme="minorEastAsia"/>
          <w:noProof/>
          <w:kern w:val="2"/>
          <w:lang w:val="en-GB" w:eastAsia="en-GB"/>
          <w14:ligatures w14:val="standardContextual"/>
        </w:rPr>
      </w:pPr>
      <w:hyperlink w:anchor="_Toc236387230" w:history="1">
        <w:r w:rsidRPr="00FF3118">
          <w:rPr>
            <w:rStyle w:val="Hyperlink"/>
            <w:noProof/>
            <w:lang w:val="it-IT"/>
          </w:rPr>
          <w:t>7. Universo modelli, trasformazioni e vincoli strutturali</w:t>
        </w:r>
        <w:r>
          <w:rPr>
            <w:noProof/>
            <w:webHidden/>
          </w:rPr>
          <w:tab/>
        </w:r>
        <w:r>
          <w:rPr>
            <w:noProof/>
            <w:webHidden/>
          </w:rPr>
          <w:fldChar w:fldCharType="begin"/>
        </w:r>
        <w:r>
          <w:rPr>
            <w:noProof/>
            <w:webHidden/>
          </w:rPr>
          <w:instrText xml:space="preserve"> PAGEREF _Toc236387230 \h </w:instrText>
        </w:r>
        <w:r>
          <w:rPr>
            <w:noProof/>
            <w:webHidden/>
          </w:rPr>
        </w:r>
        <w:r>
          <w:rPr>
            <w:noProof/>
            <w:webHidden/>
          </w:rPr>
          <w:fldChar w:fldCharType="separate"/>
        </w:r>
        <w:r>
          <w:rPr>
            <w:noProof/>
            <w:webHidden/>
          </w:rPr>
          <w:t>13</w:t>
        </w:r>
        <w:r>
          <w:rPr>
            <w:noProof/>
            <w:webHidden/>
          </w:rPr>
          <w:fldChar w:fldCharType="end"/>
        </w:r>
      </w:hyperlink>
    </w:p>
    <w:p w14:paraId="2A8C1DAB" w14:textId="4D5971BF" w:rsidR="00A017D7" w:rsidRDefault="00A017D7">
      <w:pPr>
        <w:pStyle w:val="TOC2"/>
        <w:tabs>
          <w:tab w:val="right" w:leader="dot" w:pos="9962"/>
        </w:tabs>
        <w:rPr>
          <w:rFonts w:eastAsiaTheme="minorEastAsia"/>
          <w:noProof/>
          <w:kern w:val="2"/>
          <w:lang w:val="en-GB" w:eastAsia="en-GB"/>
          <w14:ligatures w14:val="standardContextual"/>
        </w:rPr>
      </w:pPr>
      <w:hyperlink w:anchor="_Toc236387231" w:history="1">
        <w:r w:rsidRPr="00FF3118">
          <w:rPr>
            <w:rStyle w:val="Hyperlink"/>
            <w:noProof/>
            <w:lang w:val="it-IT"/>
          </w:rPr>
          <w:t>7.1 Modelli selezionabili e benchmark interno</w:t>
        </w:r>
        <w:r>
          <w:rPr>
            <w:noProof/>
            <w:webHidden/>
          </w:rPr>
          <w:tab/>
        </w:r>
        <w:r>
          <w:rPr>
            <w:noProof/>
            <w:webHidden/>
          </w:rPr>
          <w:fldChar w:fldCharType="begin"/>
        </w:r>
        <w:r>
          <w:rPr>
            <w:noProof/>
            <w:webHidden/>
          </w:rPr>
          <w:instrText xml:space="preserve"> PAGEREF _Toc236387231 \h </w:instrText>
        </w:r>
        <w:r>
          <w:rPr>
            <w:noProof/>
            <w:webHidden/>
          </w:rPr>
        </w:r>
        <w:r>
          <w:rPr>
            <w:noProof/>
            <w:webHidden/>
          </w:rPr>
          <w:fldChar w:fldCharType="separate"/>
        </w:r>
        <w:r>
          <w:rPr>
            <w:noProof/>
            <w:webHidden/>
          </w:rPr>
          <w:t>13</w:t>
        </w:r>
        <w:r>
          <w:rPr>
            <w:noProof/>
            <w:webHidden/>
          </w:rPr>
          <w:fldChar w:fldCharType="end"/>
        </w:r>
      </w:hyperlink>
    </w:p>
    <w:p w14:paraId="5C5AF745" w14:textId="335035EB" w:rsidR="00A017D7" w:rsidRDefault="00A017D7">
      <w:pPr>
        <w:pStyle w:val="TOC2"/>
        <w:tabs>
          <w:tab w:val="right" w:leader="dot" w:pos="9962"/>
        </w:tabs>
        <w:rPr>
          <w:rFonts w:eastAsiaTheme="minorEastAsia"/>
          <w:noProof/>
          <w:kern w:val="2"/>
          <w:lang w:val="en-GB" w:eastAsia="en-GB"/>
          <w14:ligatures w14:val="standardContextual"/>
        </w:rPr>
      </w:pPr>
      <w:hyperlink w:anchor="_Toc236387232" w:history="1">
        <w:r w:rsidRPr="00FF3118">
          <w:rPr>
            <w:rStyle w:val="Hyperlink"/>
            <w:noProof/>
            <w:lang w:val="it-IT"/>
          </w:rPr>
          <w:t>7.2 Tabella sintetica dei modelli</w:t>
        </w:r>
        <w:r>
          <w:rPr>
            <w:noProof/>
            <w:webHidden/>
          </w:rPr>
          <w:tab/>
        </w:r>
        <w:r>
          <w:rPr>
            <w:noProof/>
            <w:webHidden/>
          </w:rPr>
          <w:fldChar w:fldCharType="begin"/>
        </w:r>
        <w:r>
          <w:rPr>
            <w:noProof/>
            <w:webHidden/>
          </w:rPr>
          <w:instrText xml:space="preserve"> PAGEREF _Toc236387232 \h </w:instrText>
        </w:r>
        <w:r>
          <w:rPr>
            <w:noProof/>
            <w:webHidden/>
          </w:rPr>
        </w:r>
        <w:r>
          <w:rPr>
            <w:noProof/>
            <w:webHidden/>
          </w:rPr>
          <w:fldChar w:fldCharType="separate"/>
        </w:r>
        <w:r>
          <w:rPr>
            <w:noProof/>
            <w:webHidden/>
          </w:rPr>
          <w:t>14</w:t>
        </w:r>
        <w:r>
          <w:rPr>
            <w:noProof/>
            <w:webHidden/>
          </w:rPr>
          <w:fldChar w:fldCharType="end"/>
        </w:r>
      </w:hyperlink>
    </w:p>
    <w:p w14:paraId="28CCFD37" w14:textId="2615625E" w:rsidR="00A017D7" w:rsidRDefault="00A017D7">
      <w:pPr>
        <w:pStyle w:val="TOC2"/>
        <w:tabs>
          <w:tab w:val="right" w:leader="dot" w:pos="9962"/>
        </w:tabs>
        <w:rPr>
          <w:rFonts w:eastAsiaTheme="minorEastAsia"/>
          <w:noProof/>
          <w:kern w:val="2"/>
          <w:lang w:val="en-GB" w:eastAsia="en-GB"/>
          <w14:ligatures w14:val="standardContextual"/>
        </w:rPr>
      </w:pPr>
      <w:hyperlink w:anchor="_Toc236387233" w:history="1">
        <w:r w:rsidRPr="00FF3118">
          <w:rPr>
            <w:rStyle w:val="Hyperlink"/>
            <w:noProof/>
            <w:lang w:val="it-IT"/>
          </w:rPr>
          <w:t>7.3 SARIMA</w:t>
        </w:r>
        <w:r>
          <w:rPr>
            <w:noProof/>
            <w:webHidden/>
          </w:rPr>
          <w:tab/>
        </w:r>
        <w:r>
          <w:rPr>
            <w:noProof/>
            <w:webHidden/>
          </w:rPr>
          <w:fldChar w:fldCharType="begin"/>
        </w:r>
        <w:r>
          <w:rPr>
            <w:noProof/>
            <w:webHidden/>
          </w:rPr>
          <w:instrText xml:space="preserve"> PAGEREF _Toc236387233 \h </w:instrText>
        </w:r>
        <w:r>
          <w:rPr>
            <w:noProof/>
            <w:webHidden/>
          </w:rPr>
        </w:r>
        <w:r>
          <w:rPr>
            <w:noProof/>
            <w:webHidden/>
          </w:rPr>
          <w:fldChar w:fldCharType="separate"/>
        </w:r>
        <w:r>
          <w:rPr>
            <w:noProof/>
            <w:webHidden/>
          </w:rPr>
          <w:t>15</w:t>
        </w:r>
        <w:r>
          <w:rPr>
            <w:noProof/>
            <w:webHidden/>
          </w:rPr>
          <w:fldChar w:fldCharType="end"/>
        </w:r>
      </w:hyperlink>
    </w:p>
    <w:p w14:paraId="5B1AF714" w14:textId="3C5DFCD9" w:rsidR="00A017D7" w:rsidRDefault="00A017D7">
      <w:pPr>
        <w:pStyle w:val="TOC2"/>
        <w:tabs>
          <w:tab w:val="right" w:leader="dot" w:pos="9962"/>
        </w:tabs>
        <w:rPr>
          <w:rFonts w:eastAsiaTheme="minorEastAsia"/>
          <w:noProof/>
          <w:kern w:val="2"/>
          <w:lang w:val="en-GB" w:eastAsia="en-GB"/>
          <w14:ligatures w14:val="standardContextual"/>
        </w:rPr>
      </w:pPr>
      <w:hyperlink w:anchor="_Toc236387234" w:history="1">
        <w:r w:rsidRPr="00FF3118">
          <w:rPr>
            <w:rStyle w:val="Hyperlink"/>
            <w:noProof/>
            <w:lang w:val="it-IT"/>
          </w:rPr>
          <w:t>7.4 Prophet</w:t>
        </w:r>
        <w:r>
          <w:rPr>
            <w:noProof/>
            <w:webHidden/>
          </w:rPr>
          <w:tab/>
        </w:r>
        <w:r>
          <w:rPr>
            <w:noProof/>
            <w:webHidden/>
          </w:rPr>
          <w:fldChar w:fldCharType="begin"/>
        </w:r>
        <w:r>
          <w:rPr>
            <w:noProof/>
            <w:webHidden/>
          </w:rPr>
          <w:instrText xml:space="preserve"> PAGEREF _Toc236387234 \h </w:instrText>
        </w:r>
        <w:r>
          <w:rPr>
            <w:noProof/>
            <w:webHidden/>
          </w:rPr>
        </w:r>
        <w:r>
          <w:rPr>
            <w:noProof/>
            <w:webHidden/>
          </w:rPr>
          <w:fldChar w:fldCharType="separate"/>
        </w:r>
        <w:r>
          <w:rPr>
            <w:noProof/>
            <w:webHidden/>
          </w:rPr>
          <w:t>16</w:t>
        </w:r>
        <w:r>
          <w:rPr>
            <w:noProof/>
            <w:webHidden/>
          </w:rPr>
          <w:fldChar w:fldCharType="end"/>
        </w:r>
      </w:hyperlink>
    </w:p>
    <w:p w14:paraId="34859AC6" w14:textId="03B1970E" w:rsidR="00A017D7" w:rsidRDefault="00A017D7">
      <w:pPr>
        <w:pStyle w:val="TOC2"/>
        <w:tabs>
          <w:tab w:val="right" w:leader="dot" w:pos="9962"/>
        </w:tabs>
        <w:rPr>
          <w:rFonts w:eastAsiaTheme="minorEastAsia"/>
          <w:noProof/>
          <w:kern w:val="2"/>
          <w:lang w:val="en-GB" w:eastAsia="en-GB"/>
          <w14:ligatures w14:val="standardContextual"/>
        </w:rPr>
      </w:pPr>
      <w:hyperlink w:anchor="_Toc236387235" w:history="1">
        <w:r w:rsidRPr="00FF3118">
          <w:rPr>
            <w:rStyle w:val="Hyperlink"/>
            <w:noProof/>
            <w:lang w:val="it-IT"/>
          </w:rPr>
          <w:t>7.5 TBATS</w:t>
        </w:r>
        <w:r>
          <w:rPr>
            <w:noProof/>
            <w:webHidden/>
          </w:rPr>
          <w:tab/>
        </w:r>
        <w:r>
          <w:rPr>
            <w:noProof/>
            <w:webHidden/>
          </w:rPr>
          <w:fldChar w:fldCharType="begin"/>
        </w:r>
        <w:r>
          <w:rPr>
            <w:noProof/>
            <w:webHidden/>
          </w:rPr>
          <w:instrText xml:space="preserve"> PAGEREF _Toc236387235 \h </w:instrText>
        </w:r>
        <w:r>
          <w:rPr>
            <w:noProof/>
            <w:webHidden/>
          </w:rPr>
        </w:r>
        <w:r>
          <w:rPr>
            <w:noProof/>
            <w:webHidden/>
          </w:rPr>
          <w:fldChar w:fldCharType="separate"/>
        </w:r>
        <w:r>
          <w:rPr>
            <w:noProof/>
            <w:webHidden/>
          </w:rPr>
          <w:t>18</w:t>
        </w:r>
        <w:r>
          <w:rPr>
            <w:noProof/>
            <w:webHidden/>
          </w:rPr>
          <w:fldChar w:fldCharType="end"/>
        </w:r>
      </w:hyperlink>
    </w:p>
    <w:p w14:paraId="048F75F9" w14:textId="50167591" w:rsidR="00A017D7" w:rsidRDefault="00A017D7">
      <w:pPr>
        <w:pStyle w:val="TOC2"/>
        <w:tabs>
          <w:tab w:val="right" w:leader="dot" w:pos="9962"/>
        </w:tabs>
        <w:rPr>
          <w:rFonts w:eastAsiaTheme="minorEastAsia"/>
          <w:noProof/>
          <w:kern w:val="2"/>
          <w:lang w:val="en-GB" w:eastAsia="en-GB"/>
          <w14:ligatures w14:val="standardContextual"/>
        </w:rPr>
      </w:pPr>
      <w:hyperlink w:anchor="_Toc236387236" w:history="1">
        <w:r w:rsidRPr="00FF3118">
          <w:rPr>
            <w:rStyle w:val="Hyperlink"/>
            <w:noProof/>
            <w:lang w:val="it-IT"/>
          </w:rPr>
          <w:t>7.6 ETS</w:t>
        </w:r>
        <w:r>
          <w:rPr>
            <w:noProof/>
            <w:webHidden/>
          </w:rPr>
          <w:tab/>
        </w:r>
        <w:r>
          <w:rPr>
            <w:noProof/>
            <w:webHidden/>
          </w:rPr>
          <w:fldChar w:fldCharType="begin"/>
        </w:r>
        <w:r>
          <w:rPr>
            <w:noProof/>
            <w:webHidden/>
          </w:rPr>
          <w:instrText xml:space="preserve"> PAGEREF _Toc236387236 \h </w:instrText>
        </w:r>
        <w:r>
          <w:rPr>
            <w:noProof/>
            <w:webHidden/>
          </w:rPr>
        </w:r>
        <w:r>
          <w:rPr>
            <w:noProof/>
            <w:webHidden/>
          </w:rPr>
          <w:fldChar w:fldCharType="separate"/>
        </w:r>
        <w:r>
          <w:rPr>
            <w:noProof/>
            <w:webHidden/>
          </w:rPr>
          <w:t>19</w:t>
        </w:r>
        <w:r>
          <w:rPr>
            <w:noProof/>
            <w:webHidden/>
          </w:rPr>
          <w:fldChar w:fldCharType="end"/>
        </w:r>
      </w:hyperlink>
    </w:p>
    <w:p w14:paraId="0EAD9558" w14:textId="5AE76C66" w:rsidR="00A017D7" w:rsidRDefault="00A017D7">
      <w:pPr>
        <w:pStyle w:val="TOC2"/>
        <w:tabs>
          <w:tab w:val="right" w:leader="dot" w:pos="9962"/>
        </w:tabs>
        <w:rPr>
          <w:rFonts w:eastAsiaTheme="minorEastAsia"/>
          <w:noProof/>
          <w:kern w:val="2"/>
          <w:lang w:val="en-GB" w:eastAsia="en-GB"/>
          <w14:ligatures w14:val="standardContextual"/>
        </w:rPr>
      </w:pPr>
      <w:hyperlink w:anchor="_Toc236387237" w:history="1">
        <w:r w:rsidRPr="00FF3118">
          <w:rPr>
            <w:rStyle w:val="Hyperlink"/>
            <w:noProof/>
            <w:lang w:val="it-IT"/>
          </w:rPr>
          <w:t>7.7 Theta</w:t>
        </w:r>
        <w:r>
          <w:rPr>
            <w:noProof/>
            <w:webHidden/>
          </w:rPr>
          <w:tab/>
        </w:r>
        <w:r>
          <w:rPr>
            <w:noProof/>
            <w:webHidden/>
          </w:rPr>
          <w:fldChar w:fldCharType="begin"/>
        </w:r>
        <w:r>
          <w:rPr>
            <w:noProof/>
            <w:webHidden/>
          </w:rPr>
          <w:instrText xml:space="preserve"> PAGEREF _Toc236387237 \h </w:instrText>
        </w:r>
        <w:r>
          <w:rPr>
            <w:noProof/>
            <w:webHidden/>
          </w:rPr>
        </w:r>
        <w:r>
          <w:rPr>
            <w:noProof/>
            <w:webHidden/>
          </w:rPr>
          <w:fldChar w:fldCharType="separate"/>
        </w:r>
        <w:r>
          <w:rPr>
            <w:noProof/>
            <w:webHidden/>
          </w:rPr>
          <w:t>20</w:t>
        </w:r>
        <w:r>
          <w:rPr>
            <w:noProof/>
            <w:webHidden/>
          </w:rPr>
          <w:fldChar w:fldCharType="end"/>
        </w:r>
      </w:hyperlink>
    </w:p>
    <w:p w14:paraId="34471A2D" w14:textId="70E03D7B" w:rsidR="00A017D7" w:rsidRDefault="00A017D7">
      <w:pPr>
        <w:pStyle w:val="TOC2"/>
        <w:tabs>
          <w:tab w:val="right" w:leader="dot" w:pos="9962"/>
        </w:tabs>
        <w:rPr>
          <w:rFonts w:eastAsiaTheme="minorEastAsia"/>
          <w:noProof/>
          <w:kern w:val="2"/>
          <w:lang w:val="en-GB" w:eastAsia="en-GB"/>
          <w14:ligatures w14:val="standardContextual"/>
        </w:rPr>
      </w:pPr>
      <w:hyperlink w:anchor="_Toc236387238" w:history="1">
        <w:r w:rsidRPr="00FF3118">
          <w:rPr>
            <w:rStyle w:val="Hyperlink"/>
            <w:noProof/>
            <w:lang w:val="it-IT"/>
          </w:rPr>
          <w:t>7.8 LightGBM e CatBoost</w:t>
        </w:r>
        <w:r>
          <w:rPr>
            <w:noProof/>
            <w:webHidden/>
          </w:rPr>
          <w:tab/>
        </w:r>
        <w:r>
          <w:rPr>
            <w:noProof/>
            <w:webHidden/>
          </w:rPr>
          <w:fldChar w:fldCharType="begin"/>
        </w:r>
        <w:r>
          <w:rPr>
            <w:noProof/>
            <w:webHidden/>
          </w:rPr>
          <w:instrText xml:space="preserve"> PAGEREF _Toc236387238 \h </w:instrText>
        </w:r>
        <w:r>
          <w:rPr>
            <w:noProof/>
            <w:webHidden/>
          </w:rPr>
        </w:r>
        <w:r>
          <w:rPr>
            <w:noProof/>
            <w:webHidden/>
          </w:rPr>
          <w:fldChar w:fldCharType="separate"/>
        </w:r>
        <w:r>
          <w:rPr>
            <w:noProof/>
            <w:webHidden/>
          </w:rPr>
          <w:t>21</w:t>
        </w:r>
        <w:r>
          <w:rPr>
            <w:noProof/>
            <w:webHidden/>
          </w:rPr>
          <w:fldChar w:fldCharType="end"/>
        </w:r>
      </w:hyperlink>
    </w:p>
    <w:p w14:paraId="26C3F595" w14:textId="4D604FBB" w:rsidR="00A017D7" w:rsidRDefault="00A017D7">
      <w:pPr>
        <w:pStyle w:val="TOC2"/>
        <w:tabs>
          <w:tab w:val="right" w:leader="dot" w:pos="9962"/>
        </w:tabs>
        <w:rPr>
          <w:rFonts w:eastAsiaTheme="minorEastAsia"/>
          <w:noProof/>
          <w:kern w:val="2"/>
          <w:lang w:val="en-GB" w:eastAsia="en-GB"/>
          <w14:ligatures w14:val="standardContextual"/>
        </w:rPr>
      </w:pPr>
      <w:hyperlink w:anchor="_Toc236387239" w:history="1">
        <w:r w:rsidRPr="00FF3118">
          <w:rPr>
            <w:rStyle w:val="Hyperlink"/>
            <w:noProof/>
            <w:lang w:val="it-IT"/>
          </w:rPr>
          <w:t>7.9 NBEATS</w:t>
        </w:r>
        <w:r>
          <w:rPr>
            <w:noProof/>
            <w:webHidden/>
          </w:rPr>
          <w:tab/>
        </w:r>
        <w:r>
          <w:rPr>
            <w:noProof/>
            <w:webHidden/>
          </w:rPr>
          <w:fldChar w:fldCharType="begin"/>
        </w:r>
        <w:r>
          <w:rPr>
            <w:noProof/>
            <w:webHidden/>
          </w:rPr>
          <w:instrText xml:space="preserve"> PAGEREF _Toc236387239 \h </w:instrText>
        </w:r>
        <w:r>
          <w:rPr>
            <w:noProof/>
            <w:webHidden/>
          </w:rPr>
        </w:r>
        <w:r>
          <w:rPr>
            <w:noProof/>
            <w:webHidden/>
          </w:rPr>
          <w:fldChar w:fldCharType="separate"/>
        </w:r>
        <w:r>
          <w:rPr>
            <w:noProof/>
            <w:webHidden/>
          </w:rPr>
          <w:t>22</w:t>
        </w:r>
        <w:r>
          <w:rPr>
            <w:noProof/>
            <w:webHidden/>
          </w:rPr>
          <w:fldChar w:fldCharType="end"/>
        </w:r>
      </w:hyperlink>
    </w:p>
    <w:p w14:paraId="46B128AD" w14:textId="590E0512" w:rsidR="00A017D7" w:rsidRDefault="00A017D7">
      <w:pPr>
        <w:pStyle w:val="TOC1"/>
        <w:tabs>
          <w:tab w:val="right" w:leader="dot" w:pos="9962"/>
        </w:tabs>
        <w:rPr>
          <w:rFonts w:eastAsiaTheme="minorEastAsia"/>
          <w:noProof/>
          <w:kern w:val="2"/>
          <w:lang w:val="en-GB" w:eastAsia="en-GB"/>
          <w14:ligatures w14:val="standardContextual"/>
        </w:rPr>
      </w:pPr>
      <w:hyperlink w:anchor="_Toc236387240" w:history="1">
        <w:r w:rsidRPr="00FF3118">
          <w:rPr>
            <w:rStyle w:val="Hyperlink"/>
            <w:noProof/>
            <w:lang w:val="it-IT"/>
          </w:rPr>
          <w:t>8. Routing di frequenza e cap della storia</w:t>
        </w:r>
        <w:r>
          <w:rPr>
            <w:noProof/>
            <w:webHidden/>
          </w:rPr>
          <w:tab/>
        </w:r>
        <w:r>
          <w:rPr>
            <w:noProof/>
            <w:webHidden/>
          </w:rPr>
          <w:fldChar w:fldCharType="begin"/>
        </w:r>
        <w:r>
          <w:rPr>
            <w:noProof/>
            <w:webHidden/>
          </w:rPr>
          <w:instrText xml:space="preserve"> PAGEREF _Toc236387240 \h </w:instrText>
        </w:r>
        <w:r>
          <w:rPr>
            <w:noProof/>
            <w:webHidden/>
          </w:rPr>
        </w:r>
        <w:r>
          <w:rPr>
            <w:noProof/>
            <w:webHidden/>
          </w:rPr>
          <w:fldChar w:fldCharType="separate"/>
        </w:r>
        <w:r>
          <w:rPr>
            <w:noProof/>
            <w:webHidden/>
          </w:rPr>
          <w:t>23</w:t>
        </w:r>
        <w:r>
          <w:rPr>
            <w:noProof/>
            <w:webHidden/>
          </w:rPr>
          <w:fldChar w:fldCharType="end"/>
        </w:r>
      </w:hyperlink>
    </w:p>
    <w:p w14:paraId="15723CA2" w14:textId="40FF869C" w:rsidR="00A017D7" w:rsidRDefault="00A017D7">
      <w:pPr>
        <w:pStyle w:val="TOC2"/>
        <w:tabs>
          <w:tab w:val="right" w:leader="dot" w:pos="9962"/>
        </w:tabs>
        <w:rPr>
          <w:rFonts w:eastAsiaTheme="minorEastAsia"/>
          <w:noProof/>
          <w:kern w:val="2"/>
          <w:lang w:val="en-GB" w:eastAsia="en-GB"/>
          <w14:ligatures w14:val="standardContextual"/>
        </w:rPr>
      </w:pPr>
      <w:hyperlink w:anchor="_Toc236387241" w:history="1">
        <w:r w:rsidRPr="00FF3118">
          <w:rPr>
            <w:rStyle w:val="Hyperlink"/>
            <w:noProof/>
            <w:lang w:val="it-IT"/>
          </w:rPr>
          <w:t>8.1 Regola di frequenza desiderata per regime</w:t>
        </w:r>
        <w:r>
          <w:rPr>
            <w:noProof/>
            <w:webHidden/>
          </w:rPr>
          <w:tab/>
        </w:r>
        <w:r>
          <w:rPr>
            <w:noProof/>
            <w:webHidden/>
          </w:rPr>
          <w:fldChar w:fldCharType="begin"/>
        </w:r>
        <w:r>
          <w:rPr>
            <w:noProof/>
            <w:webHidden/>
          </w:rPr>
          <w:instrText xml:space="preserve"> PAGEREF _Toc236387241 \h </w:instrText>
        </w:r>
        <w:r>
          <w:rPr>
            <w:noProof/>
            <w:webHidden/>
          </w:rPr>
        </w:r>
        <w:r>
          <w:rPr>
            <w:noProof/>
            <w:webHidden/>
          </w:rPr>
          <w:fldChar w:fldCharType="separate"/>
        </w:r>
        <w:r>
          <w:rPr>
            <w:noProof/>
            <w:webHidden/>
          </w:rPr>
          <w:t>23</w:t>
        </w:r>
        <w:r>
          <w:rPr>
            <w:noProof/>
            <w:webHidden/>
          </w:rPr>
          <w:fldChar w:fldCharType="end"/>
        </w:r>
      </w:hyperlink>
    </w:p>
    <w:p w14:paraId="5A8CC6C7" w14:textId="7FCD02C2" w:rsidR="00A017D7" w:rsidRDefault="00A017D7">
      <w:pPr>
        <w:pStyle w:val="TOC2"/>
        <w:tabs>
          <w:tab w:val="right" w:leader="dot" w:pos="9962"/>
        </w:tabs>
        <w:rPr>
          <w:rFonts w:eastAsiaTheme="minorEastAsia"/>
          <w:noProof/>
          <w:kern w:val="2"/>
          <w:lang w:val="en-GB" w:eastAsia="en-GB"/>
          <w14:ligatures w14:val="standardContextual"/>
        </w:rPr>
      </w:pPr>
      <w:hyperlink w:anchor="_Toc236387242" w:history="1">
        <w:r w:rsidRPr="00FF3118">
          <w:rPr>
            <w:rStyle w:val="Hyperlink"/>
            <w:noProof/>
          </w:rPr>
          <w:t>8.2 Frequenze native e resampling OHLCV</w:t>
        </w:r>
        <w:r>
          <w:rPr>
            <w:noProof/>
            <w:webHidden/>
          </w:rPr>
          <w:tab/>
        </w:r>
        <w:r>
          <w:rPr>
            <w:noProof/>
            <w:webHidden/>
          </w:rPr>
          <w:fldChar w:fldCharType="begin"/>
        </w:r>
        <w:r>
          <w:rPr>
            <w:noProof/>
            <w:webHidden/>
          </w:rPr>
          <w:instrText xml:space="preserve"> PAGEREF _Toc236387242 \h </w:instrText>
        </w:r>
        <w:r>
          <w:rPr>
            <w:noProof/>
            <w:webHidden/>
          </w:rPr>
        </w:r>
        <w:r>
          <w:rPr>
            <w:noProof/>
            <w:webHidden/>
          </w:rPr>
          <w:fldChar w:fldCharType="separate"/>
        </w:r>
        <w:r>
          <w:rPr>
            <w:noProof/>
            <w:webHidden/>
          </w:rPr>
          <w:t>24</w:t>
        </w:r>
        <w:r>
          <w:rPr>
            <w:noProof/>
            <w:webHidden/>
          </w:rPr>
          <w:fldChar w:fldCharType="end"/>
        </w:r>
      </w:hyperlink>
    </w:p>
    <w:p w14:paraId="65B29569" w14:textId="69CDF279" w:rsidR="00A017D7" w:rsidRDefault="00A017D7">
      <w:pPr>
        <w:pStyle w:val="TOC2"/>
        <w:tabs>
          <w:tab w:val="right" w:leader="dot" w:pos="9962"/>
        </w:tabs>
        <w:rPr>
          <w:rFonts w:eastAsiaTheme="minorEastAsia"/>
          <w:noProof/>
          <w:kern w:val="2"/>
          <w:lang w:val="en-GB" w:eastAsia="en-GB"/>
          <w14:ligatures w14:val="standardContextual"/>
        </w:rPr>
      </w:pPr>
      <w:hyperlink w:anchor="_Toc236387243" w:history="1">
        <w:r w:rsidRPr="00FF3118">
          <w:rPr>
            <w:rStyle w:val="Hyperlink"/>
            <w:noProof/>
            <w:lang w:val="it-IT"/>
          </w:rPr>
          <w:t>8.3 Cap della storia per forecast finale</w:t>
        </w:r>
        <w:r>
          <w:rPr>
            <w:noProof/>
            <w:webHidden/>
          </w:rPr>
          <w:tab/>
        </w:r>
        <w:r>
          <w:rPr>
            <w:noProof/>
            <w:webHidden/>
          </w:rPr>
          <w:fldChar w:fldCharType="begin"/>
        </w:r>
        <w:r>
          <w:rPr>
            <w:noProof/>
            <w:webHidden/>
          </w:rPr>
          <w:instrText xml:space="preserve"> PAGEREF _Toc236387243 \h </w:instrText>
        </w:r>
        <w:r>
          <w:rPr>
            <w:noProof/>
            <w:webHidden/>
          </w:rPr>
        </w:r>
        <w:r>
          <w:rPr>
            <w:noProof/>
            <w:webHidden/>
          </w:rPr>
          <w:fldChar w:fldCharType="separate"/>
        </w:r>
        <w:r>
          <w:rPr>
            <w:noProof/>
            <w:webHidden/>
          </w:rPr>
          <w:t>25</w:t>
        </w:r>
        <w:r>
          <w:rPr>
            <w:noProof/>
            <w:webHidden/>
          </w:rPr>
          <w:fldChar w:fldCharType="end"/>
        </w:r>
      </w:hyperlink>
    </w:p>
    <w:p w14:paraId="0F1AC42D" w14:textId="3BDA8B78" w:rsidR="00A017D7" w:rsidRDefault="00A017D7">
      <w:pPr>
        <w:pStyle w:val="TOC1"/>
        <w:tabs>
          <w:tab w:val="right" w:leader="dot" w:pos="9962"/>
        </w:tabs>
        <w:rPr>
          <w:rFonts w:eastAsiaTheme="minorEastAsia"/>
          <w:noProof/>
          <w:kern w:val="2"/>
          <w:lang w:val="en-GB" w:eastAsia="en-GB"/>
          <w14:ligatures w14:val="standardContextual"/>
        </w:rPr>
      </w:pPr>
      <w:hyperlink w:anchor="_Toc236387244" w:history="1">
        <w:r w:rsidRPr="00FF3118">
          <w:rPr>
            <w:rStyle w:val="Hyperlink"/>
            <w:noProof/>
            <w:lang w:val="it-IT"/>
          </w:rPr>
          <w:t>9. Backtest storico profilo-centrico</w:t>
        </w:r>
        <w:r>
          <w:rPr>
            <w:noProof/>
            <w:webHidden/>
          </w:rPr>
          <w:tab/>
        </w:r>
        <w:r>
          <w:rPr>
            <w:noProof/>
            <w:webHidden/>
          </w:rPr>
          <w:fldChar w:fldCharType="begin"/>
        </w:r>
        <w:r>
          <w:rPr>
            <w:noProof/>
            <w:webHidden/>
          </w:rPr>
          <w:instrText xml:space="preserve"> PAGEREF _Toc236387244 \h </w:instrText>
        </w:r>
        <w:r>
          <w:rPr>
            <w:noProof/>
            <w:webHidden/>
          </w:rPr>
        </w:r>
        <w:r>
          <w:rPr>
            <w:noProof/>
            <w:webHidden/>
          </w:rPr>
          <w:fldChar w:fldCharType="separate"/>
        </w:r>
        <w:r>
          <w:rPr>
            <w:noProof/>
            <w:webHidden/>
          </w:rPr>
          <w:t>25</w:t>
        </w:r>
        <w:r>
          <w:rPr>
            <w:noProof/>
            <w:webHidden/>
          </w:rPr>
          <w:fldChar w:fldCharType="end"/>
        </w:r>
      </w:hyperlink>
    </w:p>
    <w:p w14:paraId="10E49C76" w14:textId="169AA730" w:rsidR="00A017D7" w:rsidRDefault="00A017D7">
      <w:pPr>
        <w:pStyle w:val="TOC2"/>
        <w:tabs>
          <w:tab w:val="right" w:leader="dot" w:pos="9962"/>
        </w:tabs>
        <w:rPr>
          <w:rFonts w:eastAsiaTheme="minorEastAsia"/>
          <w:noProof/>
          <w:kern w:val="2"/>
          <w:lang w:val="en-GB" w:eastAsia="en-GB"/>
          <w14:ligatures w14:val="standardContextual"/>
        </w:rPr>
      </w:pPr>
      <w:hyperlink w:anchor="_Toc236387245" w:history="1">
        <w:r w:rsidRPr="00FF3118">
          <w:rPr>
            <w:rStyle w:val="Hyperlink"/>
            <w:noProof/>
            <w:lang w:val="it-IT"/>
          </w:rPr>
          <w:t>9.1 Scopo del backtest</w:t>
        </w:r>
        <w:r>
          <w:rPr>
            <w:noProof/>
            <w:webHidden/>
          </w:rPr>
          <w:tab/>
        </w:r>
        <w:r>
          <w:rPr>
            <w:noProof/>
            <w:webHidden/>
          </w:rPr>
          <w:fldChar w:fldCharType="begin"/>
        </w:r>
        <w:r>
          <w:rPr>
            <w:noProof/>
            <w:webHidden/>
          </w:rPr>
          <w:instrText xml:space="preserve"> PAGEREF _Toc236387245 \h </w:instrText>
        </w:r>
        <w:r>
          <w:rPr>
            <w:noProof/>
            <w:webHidden/>
          </w:rPr>
        </w:r>
        <w:r>
          <w:rPr>
            <w:noProof/>
            <w:webHidden/>
          </w:rPr>
          <w:fldChar w:fldCharType="separate"/>
        </w:r>
        <w:r>
          <w:rPr>
            <w:noProof/>
            <w:webHidden/>
          </w:rPr>
          <w:t>25</w:t>
        </w:r>
        <w:r>
          <w:rPr>
            <w:noProof/>
            <w:webHidden/>
          </w:rPr>
          <w:fldChar w:fldCharType="end"/>
        </w:r>
      </w:hyperlink>
    </w:p>
    <w:p w14:paraId="2D53117E" w14:textId="6B1C5420" w:rsidR="00A017D7" w:rsidRDefault="00A017D7">
      <w:pPr>
        <w:pStyle w:val="TOC2"/>
        <w:tabs>
          <w:tab w:val="right" w:leader="dot" w:pos="9962"/>
        </w:tabs>
        <w:rPr>
          <w:rFonts w:eastAsiaTheme="minorEastAsia"/>
          <w:noProof/>
          <w:kern w:val="2"/>
          <w:lang w:val="en-GB" w:eastAsia="en-GB"/>
          <w14:ligatures w14:val="standardContextual"/>
        </w:rPr>
      </w:pPr>
      <w:hyperlink w:anchor="_Toc236387246" w:history="1">
        <w:r w:rsidRPr="00FF3118">
          <w:rPr>
            <w:rStyle w:val="Hyperlink"/>
            <w:noProof/>
            <w:lang w:val="it-IT"/>
          </w:rPr>
          <w:t>9.2 Profili</w:t>
        </w:r>
        <w:r>
          <w:rPr>
            <w:noProof/>
            <w:webHidden/>
          </w:rPr>
          <w:tab/>
        </w:r>
        <w:r>
          <w:rPr>
            <w:noProof/>
            <w:webHidden/>
          </w:rPr>
          <w:fldChar w:fldCharType="begin"/>
        </w:r>
        <w:r>
          <w:rPr>
            <w:noProof/>
            <w:webHidden/>
          </w:rPr>
          <w:instrText xml:space="preserve"> PAGEREF _Toc236387246 \h </w:instrText>
        </w:r>
        <w:r>
          <w:rPr>
            <w:noProof/>
            <w:webHidden/>
          </w:rPr>
        </w:r>
        <w:r>
          <w:rPr>
            <w:noProof/>
            <w:webHidden/>
          </w:rPr>
          <w:fldChar w:fldCharType="separate"/>
        </w:r>
        <w:r>
          <w:rPr>
            <w:noProof/>
            <w:webHidden/>
          </w:rPr>
          <w:t>25</w:t>
        </w:r>
        <w:r>
          <w:rPr>
            <w:noProof/>
            <w:webHidden/>
          </w:rPr>
          <w:fldChar w:fldCharType="end"/>
        </w:r>
      </w:hyperlink>
    </w:p>
    <w:p w14:paraId="66D2D235" w14:textId="424C9DAE" w:rsidR="00A017D7" w:rsidRDefault="00A017D7">
      <w:pPr>
        <w:pStyle w:val="TOC2"/>
        <w:tabs>
          <w:tab w:val="right" w:leader="dot" w:pos="9962"/>
        </w:tabs>
        <w:rPr>
          <w:rFonts w:eastAsiaTheme="minorEastAsia"/>
          <w:noProof/>
          <w:kern w:val="2"/>
          <w:lang w:val="en-GB" w:eastAsia="en-GB"/>
          <w14:ligatures w14:val="standardContextual"/>
        </w:rPr>
      </w:pPr>
      <w:hyperlink w:anchor="_Toc236387247" w:history="1">
        <w:r w:rsidRPr="00FF3118">
          <w:rPr>
            <w:rStyle w:val="Hyperlink"/>
            <w:noProof/>
            <w:lang w:val="en-GB"/>
          </w:rPr>
          <w:t>9.3 Anchor candidati</w:t>
        </w:r>
        <w:r>
          <w:rPr>
            <w:noProof/>
            <w:webHidden/>
          </w:rPr>
          <w:tab/>
        </w:r>
        <w:r>
          <w:rPr>
            <w:noProof/>
            <w:webHidden/>
          </w:rPr>
          <w:fldChar w:fldCharType="begin"/>
        </w:r>
        <w:r>
          <w:rPr>
            <w:noProof/>
            <w:webHidden/>
          </w:rPr>
          <w:instrText xml:space="preserve"> PAGEREF _Toc236387247 \h </w:instrText>
        </w:r>
        <w:r>
          <w:rPr>
            <w:noProof/>
            <w:webHidden/>
          </w:rPr>
        </w:r>
        <w:r>
          <w:rPr>
            <w:noProof/>
            <w:webHidden/>
          </w:rPr>
          <w:fldChar w:fldCharType="separate"/>
        </w:r>
        <w:r>
          <w:rPr>
            <w:noProof/>
            <w:webHidden/>
          </w:rPr>
          <w:t>26</w:t>
        </w:r>
        <w:r>
          <w:rPr>
            <w:noProof/>
            <w:webHidden/>
          </w:rPr>
          <w:fldChar w:fldCharType="end"/>
        </w:r>
      </w:hyperlink>
    </w:p>
    <w:p w14:paraId="40D72760" w14:textId="7ECA9567" w:rsidR="00A017D7" w:rsidRDefault="00A017D7">
      <w:pPr>
        <w:pStyle w:val="TOC2"/>
        <w:tabs>
          <w:tab w:val="right" w:leader="dot" w:pos="9962"/>
        </w:tabs>
        <w:rPr>
          <w:rFonts w:eastAsiaTheme="minorEastAsia"/>
          <w:noProof/>
          <w:kern w:val="2"/>
          <w:lang w:val="en-GB" w:eastAsia="en-GB"/>
          <w14:ligatures w14:val="standardContextual"/>
        </w:rPr>
      </w:pPr>
      <w:hyperlink w:anchor="_Toc236387248" w:history="1">
        <w:r w:rsidRPr="00FF3118">
          <w:rPr>
            <w:rStyle w:val="Hyperlink"/>
            <w:noProof/>
            <w:lang w:val="it-IT"/>
          </w:rPr>
          <w:t>9.4 Seed deterministico</w:t>
        </w:r>
        <w:r>
          <w:rPr>
            <w:noProof/>
            <w:webHidden/>
          </w:rPr>
          <w:tab/>
        </w:r>
        <w:r>
          <w:rPr>
            <w:noProof/>
            <w:webHidden/>
          </w:rPr>
          <w:fldChar w:fldCharType="begin"/>
        </w:r>
        <w:r>
          <w:rPr>
            <w:noProof/>
            <w:webHidden/>
          </w:rPr>
          <w:instrText xml:space="preserve"> PAGEREF _Toc236387248 \h </w:instrText>
        </w:r>
        <w:r>
          <w:rPr>
            <w:noProof/>
            <w:webHidden/>
          </w:rPr>
        </w:r>
        <w:r>
          <w:rPr>
            <w:noProof/>
            <w:webHidden/>
          </w:rPr>
          <w:fldChar w:fldCharType="separate"/>
        </w:r>
        <w:r>
          <w:rPr>
            <w:noProof/>
            <w:webHidden/>
          </w:rPr>
          <w:t>27</w:t>
        </w:r>
        <w:r>
          <w:rPr>
            <w:noProof/>
            <w:webHidden/>
          </w:rPr>
          <w:fldChar w:fldCharType="end"/>
        </w:r>
      </w:hyperlink>
    </w:p>
    <w:p w14:paraId="190E6BD6" w14:textId="73BE2432" w:rsidR="00A017D7" w:rsidRDefault="00A017D7">
      <w:pPr>
        <w:pStyle w:val="TOC2"/>
        <w:tabs>
          <w:tab w:val="right" w:leader="dot" w:pos="9962"/>
        </w:tabs>
        <w:rPr>
          <w:rFonts w:eastAsiaTheme="minorEastAsia"/>
          <w:noProof/>
          <w:kern w:val="2"/>
          <w:lang w:val="en-GB" w:eastAsia="en-GB"/>
          <w14:ligatures w14:val="standardContextual"/>
        </w:rPr>
      </w:pPr>
      <w:hyperlink w:anchor="_Toc236387249" w:history="1">
        <w:r w:rsidRPr="00FF3118">
          <w:rPr>
            <w:rStyle w:val="Hyperlink"/>
            <w:noProof/>
            <w:lang w:val="en-GB"/>
          </w:rPr>
          <w:t>9.5 Selezione date-deterministica degli anchor su griglia calendariale</w:t>
        </w:r>
        <w:r>
          <w:rPr>
            <w:noProof/>
            <w:webHidden/>
          </w:rPr>
          <w:tab/>
        </w:r>
        <w:r>
          <w:rPr>
            <w:noProof/>
            <w:webHidden/>
          </w:rPr>
          <w:fldChar w:fldCharType="begin"/>
        </w:r>
        <w:r>
          <w:rPr>
            <w:noProof/>
            <w:webHidden/>
          </w:rPr>
          <w:instrText xml:space="preserve"> PAGEREF _Toc236387249 \h </w:instrText>
        </w:r>
        <w:r>
          <w:rPr>
            <w:noProof/>
            <w:webHidden/>
          </w:rPr>
        </w:r>
        <w:r>
          <w:rPr>
            <w:noProof/>
            <w:webHidden/>
          </w:rPr>
          <w:fldChar w:fldCharType="separate"/>
        </w:r>
        <w:r>
          <w:rPr>
            <w:noProof/>
            <w:webHidden/>
          </w:rPr>
          <w:t>27</w:t>
        </w:r>
        <w:r>
          <w:rPr>
            <w:noProof/>
            <w:webHidden/>
          </w:rPr>
          <w:fldChar w:fldCharType="end"/>
        </w:r>
      </w:hyperlink>
    </w:p>
    <w:p w14:paraId="594BC20A" w14:textId="1630B3BA" w:rsidR="00A017D7" w:rsidRDefault="00A017D7">
      <w:pPr>
        <w:pStyle w:val="TOC2"/>
        <w:tabs>
          <w:tab w:val="right" w:leader="dot" w:pos="9962"/>
        </w:tabs>
        <w:rPr>
          <w:rFonts w:eastAsiaTheme="minorEastAsia"/>
          <w:noProof/>
          <w:kern w:val="2"/>
          <w:lang w:val="en-GB" w:eastAsia="en-GB"/>
          <w14:ligatures w14:val="standardContextual"/>
        </w:rPr>
      </w:pPr>
      <w:hyperlink w:anchor="_Toc236387250" w:history="1">
        <w:r w:rsidRPr="00FF3118">
          <w:rPr>
            <w:rStyle w:val="Hyperlink"/>
            <w:noProof/>
            <w:lang w:val="it-IT"/>
          </w:rPr>
          <w:t>9.6 Numero di punti storici usati per trial</w:t>
        </w:r>
        <w:r>
          <w:rPr>
            <w:noProof/>
            <w:webHidden/>
          </w:rPr>
          <w:tab/>
        </w:r>
        <w:r>
          <w:rPr>
            <w:noProof/>
            <w:webHidden/>
          </w:rPr>
          <w:fldChar w:fldCharType="begin"/>
        </w:r>
        <w:r>
          <w:rPr>
            <w:noProof/>
            <w:webHidden/>
          </w:rPr>
          <w:instrText xml:space="preserve"> PAGEREF _Toc236387250 \h </w:instrText>
        </w:r>
        <w:r>
          <w:rPr>
            <w:noProof/>
            <w:webHidden/>
          </w:rPr>
        </w:r>
        <w:r>
          <w:rPr>
            <w:noProof/>
            <w:webHidden/>
          </w:rPr>
          <w:fldChar w:fldCharType="separate"/>
        </w:r>
        <w:r>
          <w:rPr>
            <w:noProof/>
            <w:webHidden/>
          </w:rPr>
          <w:t>28</w:t>
        </w:r>
        <w:r>
          <w:rPr>
            <w:noProof/>
            <w:webHidden/>
          </w:rPr>
          <w:fldChar w:fldCharType="end"/>
        </w:r>
      </w:hyperlink>
    </w:p>
    <w:p w14:paraId="4A5FD68B" w14:textId="6E3D964B" w:rsidR="00A017D7" w:rsidRDefault="00A017D7">
      <w:pPr>
        <w:pStyle w:val="TOC2"/>
        <w:tabs>
          <w:tab w:val="right" w:leader="dot" w:pos="9962"/>
        </w:tabs>
        <w:rPr>
          <w:rFonts w:eastAsiaTheme="minorEastAsia"/>
          <w:noProof/>
          <w:kern w:val="2"/>
          <w:lang w:val="en-GB" w:eastAsia="en-GB"/>
          <w14:ligatures w14:val="standardContextual"/>
        </w:rPr>
      </w:pPr>
      <w:hyperlink w:anchor="_Toc236387251" w:history="1">
        <w:r w:rsidRPr="00FF3118">
          <w:rPr>
            <w:rStyle w:val="Hyperlink"/>
            <w:noProof/>
            <w:lang w:val="it-IT"/>
          </w:rPr>
          <w:t>9.7 Errore per trial e aggregazione</w:t>
        </w:r>
        <w:r>
          <w:rPr>
            <w:noProof/>
            <w:webHidden/>
          </w:rPr>
          <w:tab/>
        </w:r>
        <w:r>
          <w:rPr>
            <w:noProof/>
            <w:webHidden/>
          </w:rPr>
          <w:fldChar w:fldCharType="begin"/>
        </w:r>
        <w:r>
          <w:rPr>
            <w:noProof/>
            <w:webHidden/>
          </w:rPr>
          <w:instrText xml:space="preserve"> PAGEREF _Toc236387251 \h </w:instrText>
        </w:r>
        <w:r>
          <w:rPr>
            <w:noProof/>
            <w:webHidden/>
          </w:rPr>
        </w:r>
        <w:r>
          <w:rPr>
            <w:noProof/>
            <w:webHidden/>
          </w:rPr>
          <w:fldChar w:fldCharType="separate"/>
        </w:r>
        <w:r>
          <w:rPr>
            <w:noProof/>
            <w:webHidden/>
          </w:rPr>
          <w:t>29</w:t>
        </w:r>
        <w:r>
          <w:rPr>
            <w:noProof/>
            <w:webHidden/>
          </w:rPr>
          <w:fldChar w:fldCharType="end"/>
        </w:r>
      </w:hyperlink>
    </w:p>
    <w:p w14:paraId="59B67553" w14:textId="79D6F62F" w:rsidR="00A017D7" w:rsidRDefault="00A017D7">
      <w:pPr>
        <w:pStyle w:val="TOC2"/>
        <w:tabs>
          <w:tab w:val="right" w:leader="dot" w:pos="9962"/>
        </w:tabs>
        <w:rPr>
          <w:rFonts w:eastAsiaTheme="minorEastAsia"/>
          <w:noProof/>
          <w:kern w:val="2"/>
          <w:lang w:val="en-GB" w:eastAsia="en-GB"/>
          <w14:ligatures w14:val="standardContextual"/>
        </w:rPr>
      </w:pPr>
      <w:hyperlink w:anchor="_Toc236387252" w:history="1">
        <w:r w:rsidRPr="00FF3118">
          <w:rPr>
            <w:rStyle w:val="Hyperlink"/>
            <w:noProof/>
            <w:lang w:val="it-IT"/>
          </w:rPr>
          <w:t>9.8 Escalation</w:t>
        </w:r>
        <w:r>
          <w:rPr>
            <w:noProof/>
            <w:webHidden/>
          </w:rPr>
          <w:tab/>
        </w:r>
        <w:r>
          <w:rPr>
            <w:noProof/>
            <w:webHidden/>
          </w:rPr>
          <w:fldChar w:fldCharType="begin"/>
        </w:r>
        <w:r>
          <w:rPr>
            <w:noProof/>
            <w:webHidden/>
          </w:rPr>
          <w:instrText xml:space="preserve"> PAGEREF _Toc236387252 \h </w:instrText>
        </w:r>
        <w:r>
          <w:rPr>
            <w:noProof/>
            <w:webHidden/>
          </w:rPr>
        </w:r>
        <w:r>
          <w:rPr>
            <w:noProof/>
            <w:webHidden/>
          </w:rPr>
          <w:fldChar w:fldCharType="separate"/>
        </w:r>
        <w:r>
          <w:rPr>
            <w:noProof/>
            <w:webHidden/>
          </w:rPr>
          <w:t>30</w:t>
        </w:r>
        <w:r>
          <w:rPr>
            <w:noProof/>
            <w:webHidden/>
          </w:rPr>
          <w:fldChar w:fldCharType="end"/>
        </w:r>
      </w:hyperlink>
    </w:p>
    <w:p w14:paraId="47BFE165" w14:textId="4EC064A5" w:rsidR="00A017D7" w:rsidRDefault="00A017D7">
      <w:pPr>
        <w:pStyle w:val="TOC1"/>
        <w:tabs>
          <w:tab w:val="right" w:leader="dot" w:pos="9962"/>
        </w:tabs>
        <w:rPr>
          <w:rFonts w:eastAsiaTheme="minorEastAsia"/>
          <w:noProof/>
          <w:kern w:val="2"/>
          <w:lang w:val="en-GB" w:eastAsia="en-GB"/>
          <w14:ligatures w14:val="standardContextual"/>
        </w:rPr>
      </w:pPr>
      <w:hyperlink w:anchor="_Toc236387253" w:history="1">
        <w:r w:rsidRPr="00FF3118">
          <w:rPr>
            <w:rStyle w:val="Hyperlink"/>
            <w:noProof/>
            <w:lang w:val="it-IT"/>
          </w:rPr>
          <w:t>10. Calcolo dei pesi ensemble</w:t>
        </w:r>
        <w:r>
          <w:rPr>
            <w:noProof/>
            <w:webHidden/>
          </w:rPr>
          <w:tab/>
        </w:r>
        <w:r>
          <w:rPr>
            <w:noProof/>
            <w:webHidden/>
          </w:rPr>
          <w:fldChar w:fldCharType="begin"/>
        </w:r>
        <w:r>
          <w:rPr>
            <w:noProof/>
            <w:webHidden/>
          </w:rPr>
          <w:instrText xml:space="preserve"> PAGEREF _Toc236387253 \h </w:instrText>
        </w:r>
        <w:r>
          <w:rPr>
            <w:noProof/>
            <w:webHidden/>
          </w:rPr>
        </w:r>
        <w:r>
          <w:rPr>
            <w:noProof/>
            <w:webHidden/>
          </w:rPr>
          <w:fldChar w:fldCharType="separate"/>
        </w:r>
        <w:r>
          <w:rPr>
            <w:noProof/>
            <w:webHidden/>
          </w:rPr>
          <w:t>30</w:t>
        </w:r>
        <w:r>
          <w:rPr>
            <w:noProof/>
            <w:webHidden/>
          </w:rPr>
          <w:fldChar w:fldCharType="end"/>
        </w:r>
      </w:hyperlink>
    </w:p>
    <w:p w14:paraId="2736BD47" w14:textId="0809C3DF" w:rsidR="00A017D7" w:rsidRDefault="00A017D7">
      <w:pPr>
        <w:pStyle w:val="TOC2"/>
        <w:tabs>
          <w:tab w:val="right" w:leader="dot" w:pos="9962"/>
        </w:tabs>
        <w:rPr>
          <w:rFonts w:eastAsiaTheme="minorEastAsia"/>
          <w:noProof/>
          <w:kern w:val="2"/>
          <w:lang w:val="en-GB" w:eastAsia="en-GB"/>
          <w14:ligatures w14:val="standardContextual"/>
        </w:rPr>
      </w:pPr>
      <w:hyperlink w:anchor="_Toc236387254" w:history="1">
        <w:r w:rsidRPr="00FF3118">
          <w:rPr>
            <w:rStyle w:val="Hyperlink"/>
            <w:noProof/>
            <w:lang w:val="it-IT"/>
          </w:rPr>
          <w:t>10.1 Peso inverso di potenza</w:t>
        </w:r>
        <w:r>
          <w:rPr>
            <w:noProof/>
            <w:webHidden/>
          </w:rPr>
          <w:tab/>
        </w:r>
        <w:r>
          <w:rPr>
            <w:noProof/>
            <w:webHidden/>
          </w:rPr>
          <w:fldChar w:fldCharType="begin"/>
        </w:r>
        <w:r>
          <w:rPr>
            <w:noProof/>
            <w:webHidden/>
          </w:rPr>
          <w:instrText xml:space="preserve"> PAGEREF _Toc236387254 \h </w:instrText>
        </w:r>
        <w:r>
          <w:rPr>
            <w:noProof/>
            <w:webHidden/>
          </w:rPr>
        </w:r>
        <w:r>
          <w:rPr>
            <w:noProof/>
            <w:webHidden/>
          </w:rPr>
          <w:fldChar w:fldCharType="separate"/>
        </w:r>
        <w:r>
          <w:rPr>
            <w:noProof/>
            <w:webHidden/>
          </w:rPr>
          <w:t>30</w:t>
        </w:r>
        <w:r>
          <w:rPr>
            <w:noProof/>
            <w:webHidden/>
          </w:rPr>
          <w:fldChar w:fldCharType="end"/>
        </w:r>
      </w:hyperlink>
    </w:p>
    <w:p w14:paraId="7A08219C" w14:textId="57C14DE1" w:rsidR="00A017D7" w:rsidRDefault="00A017D7">
      <w:pPr>
        <w:pStyle w:val="TOC2"/>
        <w:tabs>
          <w:tab w:val="right" w:leader="dot" w:pos="9962"/>
        </w:tabs>
        <w:rPr>
          <w:rFonts w:eastAsiaTheme="minorEastAsia"/>
          <w:noProof/>
          <w:kern w:val="2"/>
          <w:lang w:val="en-GB" w:eastAsia="en-GB"/>
          <w14:ligatures w14:val="standardContextual"/>
        </w:rPr>
      </w:pPr>
      <w:hyperlink w:anchor="_Toc236387255" w:history="1">
        <w:r w:rsidRPr="00FF3118">
          <w:rPr>
            <w:rStyle w:val="Hyperlink"/>
            <w:noProof/>
            <w:lang w:val="it-IT"/>
          </w:rPr>
          <w:t>10.2 Blend full + recent (percorso base)</w:t>
        </w:r>
        <w:r>
          <w:rPr>
            <w:noProof/>
            <w:webHidden/>
          </w:rPr>
          <w:tab/>
        </w:r>
        <w:r>
          <w:rPr>
            <w:noProof/>
            <w:webHidden/>
          </w:rPr>
          <w:fldChar w:fldCharType="begin"/>
        </w:r>
        <w:r>
          <w:rPr>
            <w:noProof/>
            <w:webHidden/>
          </w:rPr>
          <w:instrText xml:space="preserve"> PAGEREF _Toc236387255 \h </w:instrText>
        </w:r>
        <w:r>
          <w:rPr>
            <w:noProof/>
            <w:webHidden/>
          </w:rPr>
        </w:r>
        <w:r>
          <w:rPr>
            <w:noProof/>
            <w:webHidden/>
          </w:rPr>
          <w:fldChar w:fldCharType="separate"/>
        </w:r>
        <w:r>
          <w:rPr>
            <w:noProof/>
            <w:webHidden/>
          </w:rPr>
          <w:t>30</w:t>
        </w:r>
        <w:r>
          <w:rPr>
            <w:noProof/>
            <w:webHidden/>
          </w:rPr>
          <w:fldChar w:fldCharType="end"/>
        </w:r>
      </w:hyperlink>
    </w:p>
    <w:p w14:paraId="24FE4F31" w14:textId="75969166" w:rsidR="00A017D7" w:rsidRDefault="00A017D7">
      <w:pPr>
        <w:pStyle w:val="TOC2"/>
        <w:tabs>
          <w:tab w:val="right" w:leader="dot" w:pos="9962"/>
        </w:tabs>
        <w:rPr>
          <w:rFonts w:eastAsiaTheme="minorEastAsia"/>
          <w:noProof/>
          <w:kern w:val="2"/>
          <w:lang w:val="en-GB" w:eastAsia="en-GB"/>
          <w14:ligatures w14:val="standardContextual"/>
        </w:rPr>
      </w:pPr>
      <w:hyperlink w:anchor="_Toc236387256" w:history="1">
        <w:r w:rsidRPr="00FF3118">
          <w:rPr>
            <w:rStyle w:val="Hyperlink"/>
            <w:noProof/>
          </w:rPr>
          <w:t>10.3 Pesatura tail-aware (percorso primario)</w:t>
        </w:r>
        <w:r>
          <w:rPr>
            <w:noProof/>
            <w:webHidden/>
          </w:rPr>
          <w:tab/>
        </w:r>
        <w:r>
          <w:rPr>
            <w:noProof/>
            <w:webHidden/>
          </w:rPr>
          <w:fldChar w:fldCharType="begin"/>
        </w:r>
        <w:r>
          <w:rPr>
            <w:noProof/>
            <w:webHidden/>
          </w:rPr>
          <w:instrText xml:space="preserve"> PAGEREF _Toc236387256 \h </w:instrText>
        </w:r>
        <w:r>
          <w:rPr>
            <w:noProof/>
            <w:webHidden/>
          </w:rPr>
        </w:r>
        <w:r>
          <w:rPr>
            <w:noProof/>
            <w:webHidden/>
          </w:rPr>
          <w:fldChar w:fldCharType="separate"/>
        </w:r>
        <w:r>
          <w:rPr>
            <w:noProof/>
            <w:webHidden/>
          </w:rPr>
          <w:t>31</w:t>
        </w:r>
        <w:r>
          <w:rPr>
            <w:noProof/>
            <w:webHidden/>
          </w:rPr>
          <w:fldChar w:fldCharType="end"/>
        </w:r>
      </w:hyperlink>
    </w:p>
    <w:p w14:paraId="4B30C578" w14:textId="508F69B5" w:rsidR="00A017D7" w:rsidRDefault="00A017D7">
      <w:pPr>
        <w:pStyle w:val="TOC1"/>
        <w:tabs>
          <w:tab w:val="right" w:leader="dot" w:pos="9962"/>
        </w:tabs>
        <w:rPr>
          <w:rFonts w:eastAsiaTheme="minorEastAsia"/>
          <w:noProof/>
          <w:kern w:val="2"/>
          <w:lang w:val="en-GB" w:eastAsia="en-GB"/>
          <w14:ligatures w14:val="standardContextual"/>
        </w:rPr>
      </w:pPr>
      <w:hyperlink w:anchor="_Toc236387257" w:history="1">
        <w:r w:rsidRPr="00FF3118">
          <w:rPr>
            <w:rStyle w:val="Hyperlink"/>
            <w:noProof/>
            <w:lang w:val="it-IT"/>
          </w:rPr>
          <w:t>11. Esecuzione del pannello di forecast</w:t>
        </w:r>
        <w:r>
          <w:rPr>
            <w:noProof/>
            <w:webHidden/>
          </w:rPr>
          <w:tab/>
        </w:r>
        <w:r>
          <w:rPr>
            <w:noProof/>
            <w:webHidden/>
          </w:rPr>
          <w:fldChar w:fldCharType="begin"/>
        </w:r>
        <w:r>
          <w:rPr>
            <w:noProof/>
            <w:webHidden/>
          </w:rPr>
          <w:instrText xml:space="preserve"> PAGEREF _Toc236387257 \h </w:instrText>
        </w:r>
        <w:r>
          <w:rPr>
            <w:noProof/>
            <w:webHidden/>
          </w:rPr>
        </w:r>
        <w:r>
          <w:rPr>
            <w:noProof/>
            <w:webHidden/>
          </w:rPr>
          <w:fldChar w:fldCharType="separate"/>
        </w:r>
        <w:r>
          <w:rPr>
            <w:noProof/>
            <w:webHidden/>
          </w:rPr>
          <w:t>31</w:t>
        </w:r>
        <w:r>
          <w:rPr>
            <w:noProof/>
            <w:webHidden/>
          </w:rPr>
          <w:fldChar w:fldCharType="end"/>
        </w:r>
      </w:hyperlink>
    </w:p>
    <w:p w14:paraId="29146F0D" w14:textId="6238C24F" w:rsidR="00A017D7" w:rsidRDefault="00A017D7">
      <w:pPr>
        <w:pStyle w:val="TOC2"/>
        <w:tabs>
          <w:tab w:val="right" w:leader="dot" w:pos="9962"/>
        </w:tabs>
        <w:rPr>
          <w:rFonts w:eastAsiaTheme="minorEastAsia"/>
          <w:noProof/>
          <w:kern w:val="2"/>
          <w:lang w:val="en-GB" w:eastAsia="en-GB"/>
          <w14:ligatures w14:val="standardContextual"/>
        </w:rPr>
      </w:pPr>
      <w:hyperlink w:anchor="_Toc236387258" w:history="1">
        <w:r w:rsidRPr="00FF3118">
          <w:rPr>
            <w:rStyle w:val="Hyperlink"/>
            <w:noProof/>
            <w:lang w:val="it-IT"/>
          </w:rPr>
          <w:t>11.1 Costruzione del contesto di run</w:t>
        </w:r>
        <w:r>
          <w:rPr>
            <w:noProof/>
            <w:webHidden/>
          </w:rPr>
          <w:tab/>
        </w:r>
        <w:r>
          <w:rPr>
            <w:noProof/>
            <w:webHidden/>
          </w:rPr>
          <w:fldChar w:fldCharType="begin"/>
        </w:r>
        <w:r>
          <w:rPr>
            <w:noProof/>
            <w:webHidden/>
          </w:rPr>
          <w:instrText xml:space="preserve"> PAGEREF _Toc236387258 \h </w:instrText>
        </w:r>
        <w:r>
          <w:rPr>
            <w:noProof/>
            <w:webHidden/>
          </w:rPr>
        </w:r>
        <w:r>
          <w:rPr>
            <w:noProof/>
            <w:webHidden/>
          </w:rPr>
          <w:fldChar w:fldCharType="separate"/>
        </w:r>
        <w:r>
          <w:rPr>
            <w:noProof/>
            <w:webHidden/>
          </w:rPr>
          <w:t>31</w:t>
        </w:r>
        <w:r>
          <w:rPr>
            <w:noProof/>
            <w:webHidden/>
          </w:rPr>
          <w:fldChar w:fldCharType="end"/>
        </w:r>
      </w:hyperlink>
    </w:p>
    <w:p w14:paraId="0FF51320" w14:textId="6270D161" w:rsidR="00A017D7" w:rsidRDefault="00A017D7">
      <w:pPr>
        <w:pStyle w:val="TOC2"/>
        <w:tabs>
          <w:tab w:val="right" w:leader="dot" w:pos="9962"/>
        </w:tabs>
        <w:rPr>
          <w:rFonts w:eastAsiaTheme="minorEastAsia"/>
          <w:noProof/>
          <w:kern w:val="2"/>
          <w:lang w:val="en-GB" w:eastAsia="en-GB"/>
          <w14:ligatures w14:val="standardContextual"/>
        </w:rPr>
      </w:pPr>
      <w:hyperlink w:anchor="_Toc236387259" w:history="1">
        <w:r w:rsidRPr="00FF3118">
          <w:rPr>
            <w:rStyle w:val="Hyperlink"/>
            <w:noProof/>
            <w:lang w:val="it-IT"/>
          </w:rPr>
          <w:t>11.2 Esclusione di policy</w:t>
        </w:r>
        <w:r>
          <w:rPr>
            <w:noProof/>
            <w:webHidden/>
          </w:rPr>
          <w:tab/>
        </w:r>
        <w:r>
          <w:rPr>
            <w:noProof/>
            <w:webHidden/>
          </w:rPr>
          <w:fldChar w:fldCharType="begin"/>
        </w:r>
        <w:r>
          <w:rPr>
            <w:noProof/>
            <w:webHidden/>
          </w:rPr>
          <w:instrText xml:space="preserve"> PAGEREF _Toc236387259 \h </w:instrText>
        </w:r>
        <w:r>
          <w:rPr>
            <w:noProof/>
            <w:webHidden/>
          </w:rPr>
        </w:r>
        <w:r>
          <w:rPr>
            <w:noProof/>
            <w:webHidden/>
          </w:rPr>
          <w:fldChar w:fldCharType="separate"/>
        </w:r>
        <w:r>
          <w:rPr>
            <w:noProof/>
            <w:webHidden/>
          </w:rPr>
          <w:t>32</w:t>
        </w:r>
        <w:r>
          <w:rPr>
            <w:noProof/>
            <w:webHidden/>
          </w:rPr>
          <w:fldChar w:fldCharType="end"/>
        </w:r>
      </w:hyperlink>
    </w:p>
    <w:p w14:paraId="47EB7E74" w14:textId="0A92AA0D" w:rsidR="00A017D7" w:rsidRDefault="00A017D7">
      <w:pPr>
        <w:pStyle w:val="TOC2"/>
        <w:tabs>
          <w:tab w:val="right" w:leader="dot" w:pos="9962"/>
        </w:tabs>
        <w:rPr>
          <w:rFonts w:eastAsiaTheme="minorEastAsia"/>
          <w:noProof/>
          <w:kern w:val="2"/>
          <w:lang w:val="en-GB" w:eastAsia="en-GB"/>
          <w14:ligatures w14:val="standardContextual"/>
        </w:rPr>
      </w:pPr>
      <w:hyperlink w:anchor="_Toc236387260" w:history="1">
        <w:r w:rsidRPr="00FF3118">
          <w:rPr>
            <w:rStyle w:val="Hyperlink"/>
            <w:noProof/>
          </w:rPr>
          <w:t>11.3 Stati runtime</w:t>
        </w:r>
        <w:r>
          <w:rPr>
            <w:noProof/>
            <w:webHidden/>
          </w:rPr>
          <w:tab/>
        </w:r>
        <w:r>
          <w:rPr>
            <w:noProof/>
            <w:webHidden/>
          </w:rPr>
          <w:fldChar w:fldCharType="begin"/>
        </w:r>
        <w:r>
          <w:rPr>
            <w:noProof/>
            <w:webHidden/>
          </w:rPr>
          <w:instrText xml:space="preserve"> PAGEREF _Toc236387260 \h </w:instrText>
        </w:r>
        <w:r>
          <w:rPr>
            <w:noProof/>
            <w:webHidden/>
          </w:rPr>
        </w:r>
        <w:r>
          <w:rPr>
            <w:noProof/>
            <w:webHidden/>
          </w:rPr>
          <w:fldChar w:fldCharType="separate"/>
        </w:r>
        <w:r>
          <w:rPr>
            <w:noProof/>
            <w:webHidden/>
          </w:rPr>
          <w:t>32</w:t>
        </w:r>
        <w:r>
          <w:rPr>
            <w:noProof/>
            <w:webHidden/>
          </w:rPr>
          <w:fldChar w:fldCharType="end"/>
        </w:r>
      </w:hyperlink>
    </w:p>
    <w:p w14:paraId="305EFB16" w14:textId="068EDFE2" w:rsidR="00A017D7" w:rsidRDefault="00A017D7">
      <w:pPr>
        <w:pStyle w:val="TOC2"/>
        <w:tabs>
          <w:tab w:val="right" w:leader="dot" w:pos="9962"/>
        </w:tabs>
        <w:rPr>
          <w:rFonts w:eastAsiaTheme="minorEastAsia"/>
          <w:noProof/>
          <w:kern w:val="2"/>
          <w:lang w:val="en-GB" w:eastAsia="en-GB"/>
          <w14:ligatures w14:val="standardContextual"/>
        </w:rPr>
      </w:pPr>
      <w:hyperlink w:anchor="_Toc236387261" w:history="1">
        <w:r w:rsidRPr="00FF3118">
          <w:rPr>
            <w:rStyle w:val="Hyperlink"/>
            <w:noProof/>
          </w:rPr>
          <w:t>11.4 Guardrail su forecast negativi</w:t>
        </w:r>
        <w:r>
          <w:rPr>
            <w:noProof/>
            <w:webHidden/>
          </w:rPr>
          <w:tab/>
        </w:r>
        <w:r>
          <w:rPr>
            <w:noProof/>
            <w:webHidden/>
          </w:rPr>
          <w:fldChar w:fldCharType="begin"/>
        </w:r>
        <w:r>
          <w:rPr>
            <w:noProof/>
            <w:webHidden/>
          </w:rPr>
          <w:instrText xml:space="preserve"> PAGEREF _Toc236387261 \h </w:instrText>
        </w:r>
        <w:r>
          <w:rPr>
            <w:noProof/>
            <w:webHidden/>
          </w:rPr>
        </w:r>
        <w:r>
          <w:rPr>
            <w:noProof/>
            <w:webHidden/>
          </w:rPr>
          <w:fldChar w:fldCharType="separate"/>
        </w:r>
        <w:r>
          <w:rPr>
            <w:noProof/>
            <w:webHidden/>
          </w:rPr>
          <w:t>32</w:t>
        </w:r>
        <w:r>
          <w:rPr>
            <w:noProof/>
            <w:webHidden/>
          </w:rPr>
          <w:fldChar w:fldCharType="end"/>
        </w:r>
      </w:hyperlink>
    </w:p>
    <w:p w14:paraId="46D357C1" w14:textId="689A09F5" w:rsidR="00A017D7" w:rsidRDefault="00A017D7">
      <w:pPr>
        <w:pStyle w:val="TOC1"/>
        <w:tabs>
          <w:tab w:val="right" w:leader="dot" w:pos="9962"/>
        </w:tabs>
        <w:rPr>
          <w:rFonts w:eastAsiaTheme="minorEastAsia"/>
          <w:noProof/>
          <w:kern w:val="2"/>
          <w:lang w:val="en-GB" w:eastAsia="en-GB"/>
          <w14:ligatures w14:val="standardContextual"/>
        </w:rPr>
      </w:pPr>
      <w:hyperlink w:anchor="_Toc236387262" w:history="1">
        <w:r w:rsidRPr="00FF3118">
          <w:rPr>
            <w:rStyle w:val="Hyperlink"/>
            <w:noProof/>
            <w:lang w:val="it-IT"/>
          </w:rPr>
          <w:t>12. Filtro outlier sul pannello modelli</w:t>
        </w:r>
        <w:r>
          <w:rPr>
            <w:noProof/>
            <w:webHidden/>
          </w:rPr>
          <w:tab/>
        </w:r>
        <w:r>
          <w:rPr>
            <w:noProof/>
            <w:webHidden/>
          </w:rPr>
          <w:fldChar w:fldCharType="begin"/>
        </w:r>
        <w:r>
          <w:rPr>
            <w:noProof/>
            <w:webHidden/>
          </w:rPr>
          <w:instrText xml:space="preserve"> PAGEREF _Toc236387262 \h </w:instrText>
        </w:r>
        <w:r>
          <w:rPr>
            <w:noProof/>
            <w:webHidden/>
          </w:rPr>
        </w:r>
        <w:r>
          <w:rPr>
            <w:noProof/>
            <w:webHidden/>
          </w:rPr>
          <w:fldChar w:fldCharType="separate"/>
        </w:r>
        <w:r>
          <w:rPr>
            <w:noProof/>
            <w:webHidden/>
          </w:rPr>
          <w:t>32</w:t>
        </w:r>
        <w:r>
          <w:rPr>
            <w:noProof/>
            <w:webHidden/>
          </w:rPr>
          <w:fldChar w:fldCharType="end"/>
        </w:r>
      </w:hyperlink>
    </w:p>
    <w:p w14:paraId="34DA5C02" w14:textId="6CE47A6F" w:rsidR="00A017D7" w:rsidRDefault="00A017D7">
      <w:pPr>
        <w:pStyle w:val="TOC2"/>
        <w:tabs>
          <w:tab w:val="right" w:leader="dot" w:pos="9962"/>
        </w:tabs>
        <w:rPr>
          <w:rFonts w:eastAsiaTheme="minorEastAsia"/>
          <w:noProof/>
          <w:kern w:val="2"/>
          <w:lang w:val="en-GB" w:eastAsia="en-GB"/>
          <w14:ligatures w14:val="standardContextual"/>
        </w:rPr>
      </w:pPr>
      <w:hyperlink w:anchor="_Toc236387263" w:history="1">
        <w:r w:rsidRPr="00FF3118">
          <w:rPr>
            <w:rStyle w:val="Hyperlink"/>
            <w:noProof/>
            <w:lang w:val="it-IT"/>
          </w:rPr>
          <w:t>12.1 Classificazione a tre zone</w:t>
        </w:r>
        <w:r>
          <w:rPr>
            <w:noProof/>
            <w:webHidden/>
          </w:rPr>
          <w:tab/>
        </w:r>
        <w:r>
          <w:rPr>
            <w:noProof/>
            <w:webHidden/>
          </w:rPr>
          <w:fldChar w:fldCharType="begin"/>
        </w:r>
        <w:r>
          <w:rPr>
            <w:noProof/>
            <w:webHidden/>
          </w:rPr>
          <w:instrText xml:space="preserve"> PAGEREF _Toc236387263 \h </w:instrText>
        </w:r>
        <w:r>
          <w:rPr>
            <w:noProof/>
            <w:webHidden/>
          </w:rPr>
        </w:r>
        <w:r>
          <w:rPr>
            <w:noProof/>
            <w:webHidden/>
          </w:rPr>
          <w:fldChar w:fldCharType="separate"/>
        </w:r>
        <w:r>
          <w:rPr>
            <w:noProof/>
            <w:webHidden/>
          </w:rPr>
          <w:t>33</w:t>
        </w:r>
        <w:r>
          <w:rPr>
            <w:noProof/>
            <w:webHidden/>
          </w:rPr>
          <w:fldChar w:fldCharType="end"/>
        </w:r>
      </w:hyperlink>
    </w:p>
    <w:p w14:paraId="38088AD9" w14:textId="0BD18E8A" w:rsidR="00A017D7" w:rsidRDefault="00A017D7">
      <w:pPr>
        <w:pStyle w:val="TOC2"/>
        <w:tabs>
          <w:tab w:val="right" w:leader="dot" w:pos="9962"/>
        </w:tabs>
        <w:rPr>
          <w:rFonts w:eastAsiaTheme="minorEastAsia"/>
          <w:noProof/>
          <w:kern w:val="2"/>
          <w:lang w:val="en-GB" w:eastAsia="en-GB"/>
          <w14:ligatures w14:val="standardContextual"/>
        </w:rPr>
      </w:pPr>
      <w:hyperlink w:anchor="_Toc236387264" w:history="1">
        <w:r w:rsidRPr="00FF3118">
          <w:rPr>
            <w:rStyle w:val="Hyperlink"/>
            <w:noProof/>
            <w:lang w:val="it-IT"/>
          </w:rPr>
          <w:t>12.2 Guardie di sicurezza</w:t>
        </w:r>
        <w:r>
          <w:rPr>
            <w:noProof/>
            <w:webHidden/>
          </w:rPr>
          <w:tab/>
        </w:r>
        <w:r>
          <w:rPr>
            <w:noProof/>
            <w:webHidden/>
          </w:rPr>
          <w:fldChar w:fldCharType="begin"/>
        </w:r>
        <w:r>
          <w:rPr>
            <w:noProof/>
            <w:webHidden/>
          </w:rPr>
          <w:instrText xml:space="preserve"> PAGEREF _Toc236387264 \h </w:instrText>
        </w:r>
        <w:r>
          <w:rPr>
            <w:noProof/>
            <w:webHidden/>
          </w:rPr>
        </w:r>
        <w:r>
          <w:rPr>
            <w:noProof/>
            <w:webHidden/>
          </w:rPr>
          <w:fldChar w:fldCharType="separate"/>
        </w:r>
        <w:r>
          <w:rPr>
            <w:noProof/>
            <w:webHidden/>
          </w:rPr>
          <w:t>33</w:t>
        </w:r>
        <w:r>
          <w:rPr>
            <w:noProof/>
            <w:webHidden/>
          </w:rPr>
          <w:fldChar w:fldCharType="end"/>
        </w:r>
      </w:hyperlink>
    </w:p>
    <w:p w14:paraId="3AC383AB" w14:textId="5953D57D" w:rsidR="00A017D7" w:rsidRDefault="00A017D7">
      <w:pPr>
        <w:pStyle w:val="TOC2"/>
        <w:tabs>
          <w:tab w:val="right" w:leader="dot" w:pos="9962"/>
        </w:tabs>
        <w:rPr>
          <w:rFonts w:eastAsiaTheme="minorEastAsia"/>
          <w:noProof/>
          <w:kern w:val="2"/>
          <w:lang w:val="en-GB" w:eastAsia="en-GB"/>
          <w14:ligatures w14:val="standardContextual"/>
        </w:rPr>
      </w:pPr>
      <w:hyperlink w:anchor="_Toc236387265" w:history="1">
        <w:r w:rsidRPr="00FF3118">
          <w:rPr>
            <w:rStyle w:val="Hyperlink"/>
            <w:noProof/>
            <w:lang w:val="it-IT"/>
          </w:rPr>
          <w:t>12.3 Rinormalizzazione</w:t>
        </w:r>
        <w:r>
          <w:rPr>
            <w:noProof/>
            <w:webHidden/>
          </w:rPr>
          <w:tab/>
        </w:r>
        <w:r>
          <w:rPr>
            <w:noProof/>
            <w:webHidden/>
          </w:rPr>
          <w:fldChar w:fldCharType="begin"/>
        </w:r>
        <w:r>
          <w:rPr>
            <w:noProof/>
            <w:webHidden/>
          </w:rPr>
          <w:instrText xml:space="preserve"> PAGEREF _Toc236387265 \h </w:instrText>
        </w:r>
        <w:r>
          <w:rPr>
            <w:noProof/>
            <w:webHidden/>
          </w:rPr>
        </w:r>
        <w:r>
          <w:rPr>
            <w:noProof/>
            <w:webHidden/>
          </w:rPr>
          <w:fldChar w:fldCharType="separate"/>
        </w:r>
        <w:r>
          <w:rPr>
            <w:noProof/>
            <w:webHidden/>
          </w:rPr>
          <w:t>33</w:t>
        </w:r>
        <w:r>
          <w:rPr>
            <w:noProof/>
            <w:webHidden/>
          </w:rPr>
          <w:fldChar w:fldCharType="end"/>
        </w:r>
      </w:hyperlink>
    </w:p>
    <w:p w14:paraId="799F12FB" w14:textId="1C194057" w:rsidR="00A017D7" w:rsidRDefault="00A017D7">
      <w:pPr>
        <w:pStyle w:val="TOC1"/>
        <w:tabs>
          <w:tab w:val="right" w:leader="dot" w:pos="9962"/>
        </w:tabs>
        <w:rPr>
          <w:rFonts w:eastAsiaTheme="minorEastAsia"/>
          <w:noProof/>
          <w:kern w:val="2"/>
          <w:lang w:val="en-GB" w:eastAsia="en-GB"/>
          <w14:ligatures w14:val="standardContextual"/>
        </w:rPr>
      </w:pPr>
      <w:hyperlink w:anchor="_Toc236387266" w:history="1">
        <w:r w:rsidRPr="00FF3118">
          <w:rPr>
            <w:rStyle w:val="Hyperlink"/>
            <w:noProof/>
            <w:lang w:val="it-IT"/>
          </w:rPr>
          <w:t>13. Forecast ensemble finale</w:t>
        </w:r>
        <w:r>
          <w:rPr>
            <w:noProof/>
            <w:webHidden/>
          </w:rPr>
          <w:tab/>
        </w:r>
        <w:r>
          <w:rPr>
            <w:noProof/>
            <w:webHidden/>
          </w:rPr>
          <w:fldChar w:fldCharType="begin"/>
        </w:r>
        <w:r>
          <w:rPr>
            <w:noProof/>
            <w:webHidden/>
          </w:rPr>
          <w:instrText xml:space="preserve"> PAGEREF _Toc236387266 \h </w:instrText>
        </w:r>
        <w:r>
          <w:rPr>
            <w:noProof/>
            <w:webHidden/>
          </w:rPr>
        </w:r>
        <w:r>
          <w:rPr>
            <w:noProof/>
            <w:webHidden/>
          </w:rPr>
          <w:fldChar w:fldCharType="separate"/>
        </w:r>
        <w:r>
          <w:rPr>
            <w:noProof/>
            <w:webHidden/>
          </w:rPr>
          <w:t>33</w:t>
        </w:r>
        <w:r>
          <w:rPr>
            <w:noProof/>
            <w:webHidden/>
          </w:rPr>
          <w:fldChar w:fldCharType="end"/>
        </w:r>
      </w:hyperlink>
    </w:p>
    <w:p w14:paraId="66A81B8C" w14:textId="3ABBA0FB" w:rsidR="00A017D7" w:rsidRDefault="00A017D7">
      <w:pPr>
        <w:pStyle w:val="TOC1"/>
        <w:tabs>
          <w:tab w:val="right" w:leader="dot" w:pos="9962"/>
        </w:tabs>
        <w:rPr>
          <w:rFonts w:eastAsiaTheme="minorEastAsia"/>
          <w:noProof/>
          <w:kern w:val="2"/>
          <w:lang w:val="en-GB" w:eastAsia="en-GB"/>
          <w14:ligatures w14:val="standardContextual"/>
        </w:rPr>
      </w:pPr>
      <w:hyperlink w:anchor="_Toc236387267" w:history="1">
        <w:r w:rsidRPr="00FF3118">
          <w:rPr>
            <w:rStyle w:val="Hyperlink"/>
            <w:noProof/>
            <w:lang w:val="it-IT"/>
          </w:rPr>
          <w:t>14. Prediction intervals: calibrazione, selezione metodo e costruzione dell’intervallo</w:t>
        </w:r>
        <w:r>
          <w:rPr>
            <w:noProof/>
            <w:webHidden/>
          </w:rPr>
          <w:tab/>
        </w:r>
        <w:r>
          <w:rPr>
            <w:noProof/>
            <w:webHidden/>
          </w:rPr>
          <w:fldChar w:fldCharType="begin"/>
        </w:r>
        <w:r>
          <w:rPr>
            <w:noProof/>
            <w:webHidden/>
          </w:rPr>
          <w:instrText xml:space="preserve"> PAGEREF _Toc236387267 \h </w:instrText>
        </w:r>
        <w:r>
          <w:rPr>
            <w:noProof/>
            <w:webHidden/>
          </w:rPr>
        </w:r>
        <w:r>
          <w:rPr>
            <w:noProof/>
            <w:webHidden/>
          </w:rPr>
          <w:fldChar w:fldCharType="separate"/>
        </w:r>
        <w:r>
          <w:rPr>
            <w:noProof/>
            <w:webHidden/>
          </w:rPr>
          <w:t>34</w:t>
        </w:r>
        <w:r>
          <w:rPr>
            <w:noProof/>
            <w:webHidden/>
          </w:rPr>
          <w:fldChar w:fldCharType="end"/>
        </w:r>
      </w:hyperlink>
    </w:p>
    <w:p w14:paraId="5A35A725" w14:textId="797B3582" w:rsidR="00A017D7" w:rsidRDefault="00A017D7">
      <w:pPr>
        <w:pStyle w:val="TOC2"/>
        <w:tabs>
          <w:tab w:val="right" w:leader="dot" w:pos="9962"/>
        </w:tabs>
        <w:rPr>
          <w:rFonts w:eastAsiaTheme="minorEastAsia"/>
          <w:noProof/>
          <w:kern w:val="2"/>
          <w:lang w:val="en-GB" w:eastAsia="en-GB"/>
          <w14:ligatures w14:val="standardContextual"/>
        </w:rPr>
      </w:pPr>
      <w:hyperlink w:anchor="_Toc236387268" w:history="1">
        <w:r w:rsidRPr="00FF3118">
          <w:rPr>
            <w:rStyle w:val="Hyperlink"/>
            <w:noProof/>
            <w:lang w:val="it-IT"/>
          </w:rPr>
          <w:t>14.1 Quando il motore PI viene eseguito</w:t>
        </w:r>
        <w:r>
          <w:rPr>
            <w:noProof/>
            <w:webHidden/>
          </w:rPr>
          <w:tab/>
        </w:r>
        <w:r>
          <w:rPr>
            <w:noProof/>
            <w:webHidden/>
          </w:rPr>
          <w:fldChar w:fldCharType="begin"/>
        </w:r>
        <w:r>
          <w:rPr>
            <w:noProof/>
            <w:webHidden/>
          </w:rPr>
          <w:instrText xml:space="preserve"> PAGEREF _Toc236387268 \h </w:instrText>
        </w:r>
        <w:r>
          <w:rPr>
            <w:noProof/>
            <w:webHidden/>
          </w:rPr>
        </w:r>
        <w:r>
          <w:rPr>
            <w:noProof/>
            <w:webHidden/>
          </w:rPr>
          <w:fldChar w:fldCharType="separate"/>
        </w:r>
        <w:r>
          <w:rPr>
            <w:noProof/>
            <w:webHidden/>
          </w:rPr>
          <w:t>34</w:t>
        </w:r>
        <w:r>
          <w:rPr>
            <w:noProof/>
            <w:webHidden/>
          </w:rPr>
          <w:fldChar w:fldCharType="end"/>
        </w:r>
      </w:hyperlink>
    </w:p>
    <w:p w14:paraId="575A15C0" w14:textId="29C1E874" w:rsidR="00A017D7" w:rsidRDefault="00A017D7">
      <w:pPr>
        <w:pStyle w:val="TOC2"/>
        <w:tabs>
          <w:tab w:val="right" w:leader="dot" w:pos="9962"/>
        </w:tabs>
        <w:rPr>
          <w:rFonts w:eastAsiaTheme="minorEastAsia"/>
          <w:noProof/>
          <w:kern w:val="2"/>
          <w:lang w:val="en-GB" w:eastAsia="en-GB"/>
          <w14:ligatures w14:val="standardContextual"/>
        </w:rPr>
      </w:pPr>
      <w:hyperlink w:anchor="_Toc236387269" w:history="1">
        <w:r w:rsidRPr="00FF3118">
          <w:rPr>
            <w:rStyle w:val="Hyperlink"/>
            <w:noProof/>
          </w:rPr>
          <w:t>14.2 Base di calibrazione</w:t>
        </w:r>
        <w:r>
          <w:rPr>
            <w:noProof/>
            <w:webHidden/>
          </w:rPr>
          <w:tab/>
        </w:r>
        <w:r>
          <w:rPr>
            <w:noProof/>
            <w:webHidden/>
          </w:rPr>
          <w:fldChar w:fldCharType="begin"/>
        </w:r>
        <w:r>
          <w:rPr>
            <w:noProof/>
            <w:webHidden/>
          </w:rPr>
          <w:instrText xml:space="preserve"> PAGEREF _Toc236387269 \h </w:instrText>
        </w:r>
        <w:r>
          <w:rPr>
            <w:noProof/>
            <w:webHidden/>
          </w:rPr>
        </w:r>
        <w:r>
          <w:rPr>
            <w:noProof/>
            <w:webHidden/>
          </w:rPr>
          <w:fldChar w:fldCharType="separate"/>
        </w:r>
        <w:r>
          <w:rPr>
            <w:noProof/>
            <w:webHidden/>
          </w:rPr>
          <w:t>35</w:t>
        </w:r>
        <w:r>
          <w:rPr>
            <w:noProof/>
            <w:webHidden/>
          </w:rPr>
          <w:fldChar w:fldCharType="end"/>
        </w:r>
      </w:hyperlink>
    </w:p>
    <w:p w14:paraId="36014263" w14:textId="781B8C85" w:rsidR="00A017D7" w:rsidRDefault="00A017D7">
      <w:pPr>
        <w:pStyle w:val="TOC2"/>
        <w:tabs>
          <w:tab w:val="right" w:leader="dot" w:pos="9962"/>
        </w:tabs>
        <w:rPr>
          <w:rFonts w:eastAsiaTheme="minorEastAsia"/>
          <w:noProof/>
          <w:kern w:val="2"/>
          <w:lang w:val="en-GB" w:eastAsia="en-GB"/>
          <w14:ligatures w14:val="standardContextual"/>
        </w:rPr>
      </w:pPr>
      <w:hyperlink w:anchor="_Toc236387270" w:history="1">
        <w:r w:rsidRPr="00FF3118">
          <w:rPr>
            <w:rStyle w:val="Hyperlink"/>
            <w:noProof/>
            <w:lang w:val="it-IT"/>
          </w:rPr>
          <w:t>14.3 Residui</w:t>
        </w:r>
        <w:r>
          <w:rPr>
            <w:noProof/>
            <w:webHidden/>
          </w:rPr>
          <w:tab/>
        </w:r>
        <w:r>
          <w:rPr>
            <w:noProof/>
            <w:webHidden/>
          </w:rPr>
          <w:fldChar w:fldCharType="begin"/>
        </w:r>
        <w:r>
          <w:rPr>
            <w:noProof/>
            <w:webHidden/>
          </w:rPr>
          <w:instrText xml:space="preserve"> PAGEREF _Toc236387270 \h </w:instrText>
        </w:r>
        <w:r>
          <w:rPr>
            <w:noProof/>
            <w:webHidden/>
          </w:rPr>
        </w:r>
        <w:r>
          <w:rPr>
            <w:noProof/>
            <w:webHidden/>
          </w:rPr>
          <w:fldChar w:fldCharType="separate"/>
        </w:r>
        <w:r>
          <w:rPr>
            <w:noProof/>
            <w:webHidden/>
          </w:rPr>
          <w:t>35</w:t>
        </w:r>
        <w:r>
          <w:rPr>
            <w:noProof/>
            <w:webHidden/>
          </w:rPr>
          <w:fldChar w:fldCharType="end"/>
        </w:r>
      </w:hyperlink>
    </w:p>
    <w:p w14:paraId="695CAF6C" w14:textId="72063B06" w:rsidR="00A017D7" w:rsidRDefault="00A017D7">
      <w:pPr>
        <w:pStyle w:val="TOC2"/>
        <w:tabs>
          <w:tab w:val="right" w:leader="dot" w:pos="9962"/>
        </w:tabs>
        <w:rPr>
          <w:rFonts w:eastAsiaTheme="minorEastAsia"/>
          <w:noProof/>
          <w:kern w:val="2"/>
          <w:lang w:val="en-GB" w:eastAsia="en-GB"/>
          <w14:ligatures w14:val="standardContextual"/>
        </w:rPr>
      </w:pPr>
      <w:hyperlink w:anchor="_Toc236387271" w:history="1">
        <w:r w:rsidRPr="00FF3118">
          <w:rPr>
            <w:rStyle w:val="Hyperlink"/>
            <w:noProof/>
            <w:lang w:val="it-IT"/>
          </w:rPr>
          <w:t>14.4 Filtro anomalie sulla calibrazione</w:t>
        </w:r>
        <w:r>
          <w:rPr>
            <w:noProof/>
            <w:webHidden/>
          </w:rPr>
          <w:tab/>
        </w:r>
        <w:r>
          <w:rPr>
            <w:noProof/>
            <w:webHidden/>
          </w:rPr>
          <w:fldChar w:fldCharType="begin"/>
        </w:r>
        <w:r>
          <w:rPr>
            <w:noProof/>
            <w:webHidden/>
          </w:rPr>
          <w:instrText xml:space="preserve"> PAGEREF _Toc236387271 \h </w:instrText>
        </w:r>
        <w:r>
          <w:rPr>
            <w:noProof/>
            <w:webHidden/>
          </w:rPr>
        </w:r>
        <w:r>
          <w:rPr>
            <w:noProof/>
            <w:webHidden/>
          </w:rPr>
          <w:fldChar w:fldCharType="separate"/>
        </w:r>
        <w:r>
          <w:rPr>
            <w:noProof/>
            <w:webHidden/>
          </w:rPr>
          <w:t>36</w:t>
        </w:r>
        <w:r>
          <w:rPr>
            <w:noProof/>
            <w:webHidden/>
          </w:rPr>
          <w:fldChar w:fldCharType="end"/>
        </w:r>
      </w:hyperlink>
    </w:p>
    <w:p w14:paraId="23C2ABCF" w14:textId="218C2749" w:rsidR="00A017D7" w:rsidRDefault="00A017D7">
      <w:pPr>
        <w:pStyle w:val="TOC2"/>
        <w:tabs>
          <w:tab w:val="right" w:leader="dot" w:pos="9962"/>
        </w:tabs>
        <w:rPr>
          <w:rFonts w:eastAsiaTheme="minorEastAsia"/>
          <w:noProof/>
          <w:kern w:val="2"/>
          <w:lang w:val="en-GB" w:eastAsia="en-GB"/>
          <w14:ligatures w14:val="standardContextual"/>
        </w:rPr>
      </w:pPr>
      <w:hyperlink w:anchor="_Toc236387272" w:history="1">
        <w:r w:rsidRPr="00FF3118">
          <w:rPr>
            <w:rStyle w:val="Hyperlink"/>
            <w:noProof/>
            <w:lang w:val="it-IT"/>
          </w:rPr>
          <w:t>14.5 Finestra di calibrazione adattiva</w:t>
        </w:r>
        <w:r>
          <w:rPr>
            <w:noProof/>
            <w:webHidden/>
          </w:rPr>
          <w:tab/>
        </w:r>
        <w:r>
          <w:rPr>
            <w:noProof/>
            <w:webHidden/>
          </w:rPr>
          <w:fldChar w:fldCharType="begin"/>
        </w:r>
        <w:r>
          <w:rPr>
            <w:noProof/>
            <w:webHidden/>
          </w:rPr>
          <w:instrText xml:space="preserve"> PAGEREF _Toc236387272 \h </w:instrText>
        </w:r>
        <w:r>
          <w:rPr>
            <w:noProof/>
            <w:webHidden/>
          </w:rPr>
        </w:r>
        <w:r>
          <w:rPr>
            <w:noProof/>
            <w:webHidden/>
          </w:rPr>
          <w:fldChar w:fldCharType="separate"/>
        </w:r>
        <w:r>
          <w:rPr>
            <w:noProof/>
            <w:webHidden/>
          </w:rPr>
          <w:t>36</w:t>
        </w:r>
        <w:r>
          <w:rPr>
            <w:noProof/>
            <w:webHidden/>
          </w:rPr>
          <w:fldChar w:fldCharType="end"/>
        </w:r>
      </w:hyperlink>
    </w:p>
    <w:p w14:paraId="7E45FB6A" w14:textId="5DA2E060" w:rsidR="00A017D7" w:rsidRDefault="00A017D7">
      <w:pPr>
        <w:pStyle w:val="TOC2"/>
        <w:tabs>
          <w:tab w:val="right" w:leader="dot" w:pos="9962"/>
        </w:tabs>
        <w:rPr>
          <w:rFonts w:eastAsiaTheme="minorEastAsia"/>
          <w:noProof/>
          <w:kern w:val="2"/>
          <w:lang w:val="en-GB" w:eastAsia="en-GB"/>
          <w14:ligatures w14:val="standardContextual"/>
        </w:rPr>
      </w:pPr>
      <w:hyperlink w:anchor="_Toc236387273" w:history="1">
        <w:r w:rsidRPr="00FF3118">
          <w:rPr>
            <w:rStyle w:val="Hyperlink"/>
            <w:noProof/>
            <w:lang w:val="it-IT"/>
          </w:rPr>
          <w:t>14.6 Pesatura  dei residui di calibrazione</w:t>
        </w:r>
        <w:r>
          <w:rPr>
            <w:noProof/>
            <w:webHidden/>
          </w:rPr>
          <w:tab/>
        </w:r>
        <w:r>
          <w:rPr>
            <w:noProof/>
            <w:webHidden/>
          </w:rPr>
          <w:fldChar w:fldCharType="begin"/>
        </w:r>
        <w:r>
          <w:rPr>
            <w:noProof/>
            <w:webHidden/>
          </w:rPr>
          <w:instrText xml:space="preserve"> PAGEREF _Toc236387273 \h </w:instrText>
        </w:r>
        <w:r>
          <w:rPr>
            <w:noProof/>
            <w:webHidden/>
          </w:rPr>
        </w:r>
        <w:r>
          <w:rPr>
            <w:noProof/>
            <w:webHidden/>
          </w:rPr>
          <w:fldChar w:fldCharType="separate"/>
        </w:r>
        <w:r>
          <w:rPr>
            <w:noProof/>
            <w:webHidden/>
          </w:rPr>
          <w:t>36</w:t>
        </w:r>
        <w:r>
          <w:rPr>
            <w:noProof/>
            <w:webHidden/>
          </w:rPr>
          <w:fldChar w:fldCharType="end"/>
        </w:r>
      </w:hyperlink>
    </w:p>
    <w:p w14:paraId="5DCAFBD4" w14:textId="67477B56" w:rsidR="00A017D7" w:rsidRDefault="00A017D7">
      <w:pPr>
        <w:pStyle w:val="TOC2"/>
        <w:tabs>
          <w:tab w:val="right" w:leader="dot" w:pos="9962"/>
        </w:tabs>
        <w:rPr>
          <w:rFonts w:eastAsiaTheme="minorEastAsia"/>
          <w:noProof/>
          <w:kern w:val="2"/>
          <w:lang w:val="en-GB" w:eastAsia="en-GB"/>
          <w14:ligatures w14:val="standardContextual"/>
        </w:rPr>
      </w:pPr>
      <w:hyperlink w:anchor="_Toc236387274" w:history="1">
        <w:r w:rsidRPr="00FF3118">
          <w:rPr>
            <w:rStyle w:val="Hyperlink"/>
            <w:noProof/>
          </w:rPr>
          <w:t>14.7 Metodi candidati</w:t>
        </w:r>
        <w:r>
          <w:rPr>
            <w:noProof/>
            <w:webHidden/>
          </w:rPr>
          <w:tab/>
        </w:r>
        <w:r>
          <w:rPr>
            <w:noProof/>
            <w:webHidden/>
          </w:rPr>
          <w:fldChar w:fldCharType="begin"/>
        </w:r>
        <w:r>
          <w:rPr>
            <w:noProof/>
            <w:webHidden/>
          </w:rPr>
          <w:instrText xml:space="preserve"> PAGEREF _Toc236387274 \h </w:instrText>
        </w:r>
        <w:r>
          <w:rPr>
            <w:noProof/>
            <w:webHidden/>
          </w:rPr>
        </w:r>
        <w:r>
          <w:rPr>
            <w:noProof/>
            <w:webHidden/>
          </w:rPr>
          <w:fldChar w:fldCharType="separate"/>
        </w:r>
        <w:r>
          <w:rPr>
            <w:noProof/>
            <w:webHidden/>
          </w:rPr>
          <w:t>37</w:t>
        </w:r>
        <w:r>
          <w:rPr>
            <w:noProof/>
            <w:webHidden/>
          </w:rPr>
          <w:fldChar w:fldCharType="end"/>
        </w:r>
      </w:hyperlink>
    </w:p>
    <w:p w14:paraId="4F2BEAA0" w14:textId="67FBAC93" w:rsidR="00A017D7" w:rsidRDefault="00A017D7">
      <w:pPr>
        <w:pStyle w:val="TOC2"/>
        <w:tabs>
          <w:tab w:val="right" w:leader="dot" w:pos="9962"/>
        </w:tabs>
        <w:rPr>
          <w:rFonts w:eastAsiaTheme="minorEastAsia"/>
          <w:noProof/>
          <w:kern w:val="2"/>
          <w:lang w:val="en-GB" w:eastAsia="en-GB"/>
          <w14:ligatures w14:val="standardContextual"/>
        </w:rPr>
      </w:pPr>
      <w:hyperlink w:anchor="_Toc236387275" w:history="1">
        <w:r w:rsidRPr="00FF3118">
          <w:rPr>
            <w:rStyle w:val="Hyperlink"/>
            <w:noProof/>
          </w:rPr>
          <w:t>14.8 Quantili simmetrici</w:t>
        </w:r>
        <w:r>
          <w:rPr>
            <w:noProof/>
            <w:webHidden/>
          </w:rPr>
          <w:tab/>
        </w:r>
        <w:r>
          <w:rPr>
            <w:noProof/>
            <w:webHidden/>
          </w:rPr>
          <w:fldChar w:fldCharType="begin"/>
        </w:r>
        <w:r>
          <w:rPr>
            <w:noProof/>
            <w:webHidden/>
          </w:rPr>
          <w:instrText xml:space="preserve"> PAGEREF _Toc236387275 \h </w:instrText>
        </w:r>
        <w:r>
          <w:rPr>
            <w:noProof/>
            <w:webHidden/>
          </w:rPr>
        </w:r>
        <w:r>
          <w:rPr>
            <w:noProof/>
            <w:webHidden/>
          </w:rPr>
          <w:fldChar w:fldCharType="separate"/>
        </w:r>
        <w:r>
          <w:rPr>
            <w:noProof/>
            <w:webHidden/>
          </w:rPr>
          <w:t>37</w:t>
        </w:r>
        <w:r>
          <w:rPr>
            <w:noProof/>
            <w:webHidden/>
          </w:rPr>
          <w:fldChar w:fldCharType="end"/>
        </w:r>
      </w:hyperlink>
    </w:p>
    <w:p w14:paraId="62D4EA91" w14:textId="6D0E0A8D" w:rsidR="00A017D7" w:rsidRDefault="00A017D7">
      <w:pPr>
        <w:pStyle w:val="TOC2"/>
        <w:tabs>
          <w:tab w:val="right" w:leader="dot" w:pos="9962"/>
        </w:tabs>
        <w:rPr>
          <w:rFonts w:eastAsiaTheme="minorEastAsia"/>
          <w:noProof/>
          <w:kern w:val="2"/>
          <w:lang w:val="en-GB" w:eastAsia="en-GB"/>
          <w14:ligatures w14:val="standardContextual"/>
        </w:rPr>
      </w:pPr>
      <w:hyperlink w:anchor="_Toc236387276" w:history="1">
        <w:r w:rsidRPr="00FF3118">
          <w:rPr>
            <w:rStyle w:val="Hyperlink"/>
            <w:noProof/>
            <w:lang w:val="it-IT"/>
          </w:rPr>
          <w:t>14.9 Quantili asimmetrici</w:t>
        </w:r>
        <w:r>
          <w:rPr>
            <w:noProof/>
            <w:webHidden/>
          </w:rPr>
          <w:tab/>
        </w:r>
        <w:r>
          <w:rPr>
            <w:noProof/>
            <w:webHidden/>
          </w:rPr>
          <w:fldChar w:fldCharType="begin"/>
        </w:r>
        <w:r>
          <w:rPr>
            <w:noProof/>
            <w:webHidden/>
          </w:rPr>
          <w:instrText xml:space="preserve"> PAGEREF _Toc236387276 \h </w:instrText>
        </w:r>
        <w:r>
          <w:rPr>
            <w:noProof/>
            <w:webHidden/>
          </w:rPr>
        </w:r>
        <w:r>
          <w:rPr>
            <w:noProof/>
            <w:webHidden/>
          </w:rPr>
          <w:fldChar w:fldCharType="separate"/>
        </w:r>
        <w:r>
          <w:rPr>
            <w:noProof/>
            <w:webHidden/>
          </w:rPr>
          <w:t>37</w:t>
        </w:r>
        <w:r>
          <w:rPr>
            <w:noProof/>
            <w:webHidden/>
          </w:rPr>
          <w:fldChar w:fldCharType="end"/>
        </w:r>
      </w:hyperlink>
    </w:p>
    <w:p w14:paraId="1D37B2D7" w14:textId="7A0207A7" w:rsidR="00A017D7" w:rsidRDefault="00A017D7">
      <w:pPr>
        <w:pStyle w:val="TOC3"/>
        <w:tabs>
          <w:tab w:val="right" w:leader="dot" w:pos="9962"/>
        </w:tabs>
        <w:rPr>
          <w:rFonts w:eastAsiaTheme="minorEastAsia"/>
          <w:noProof/>
          <w:kern w:val="2"/>
          <w:lang w:val="en-GB" w:eastAsia="en-GB"/>
          <w14:ligatures w14:val="standardContextual"/>
        </w:rPr>
      </w:pPr>
      <w:hyperlink w:anchor="_Toc236387277" w:history="1">
        <w:r w:rsidRPr="00FF3118">
          <w:rPr>
            <w:rStyle w:val="Hyperlink"/>
            <w:noProof/>
          </w:rPr>
          <w:t>14.9.1 Stima parametrica a code pesanti (v3.4)</w:t>
        </w:r>
        <w:r>
          <w:rPr>
            <w:noProof/>
            <w:webHidden/>
          </w:rPr>
          <w:tab/>
        </w:r>
        <w:r>
          <w:rPr>
            <w:noProof/>
            <w:webHidden/>
          </w:rPr>
          <w:fldChar w:fldCharType="begin"/>
        </w:r>
        <w:r>
          <w:rPr>
            <w:noProof/>
            <w:webHidden/>
          </w:rPr>
          <w:instrText xml:space="preserve"> PAGEREF _Toc236387277 \h </w:instrText>
        </w:r>
        <w:r>
          <w:rPr>
            <w:noProof/>
            <w:webHidden/>
          </w:rPr>
        </w:r>
        <w:r>
          <w:rPr>
            <w:noProof/>
            <w:webHidden/>
          </w:rPr>
          <w:fldChar w:fldCharType="separate"/>
        </w:r>
        <w:r>
          <w:rPr>
            <w:noProof/>
            <w:webHidden/>
          </w:rPr>
          <w:t>38</w:t>
        </w:r>
        <w:r>
          <w:rPr>
            <w:noProof/>
            <w:webHidden/>
          </w:rPr>
          <w:fldChar w:fldCharType="end"/>
        </w:r>
      </w:hyperlink>
    </w:p>
    <w:p w14:paraId="7CD4A6BD" w14:textId="2018102C" w:rsidR="00A017D7" w:rsidRDefault="00A017D7">
      <w:pPr>
        <w:pStyle w:val="TOC2"/>
        <w:tabs>
          <w:tab w:val="right" w:leader="dot" w:pos="9962"/>
        </w:tabs>
        <w:rPr>
          <w:rFonts w:eastAsiaTheme="minorEastAsia"/>
          <w:noProof/>
          <w:kern w:val="2"/>
          <w:lang w:val="en-GB" w:eastAsia="en-GB"/>
          <w14:ligatures w14:val="standardContextual"/>
        </w:rPr>
      </w:pPr>
      <w:hyperlink w:anchor="_Toc236387278" w:history="1">
        <w:r w:rsidRPr="00FF3118">
          <w:rPr>
            <w:rStyle w:val="Hyperlink"/>
            <w:noProof/>
            <w:lang w:val="it-IT"/>
          </w:rPr>
          <w:t>14.10 Winsorization</w:t>
        </w:r>
        <w:r>
          <w:rPr>
            <w:noProof/>
            <w:webHidden/>
          </w:rPr>
          <w:tab/>
        </w:r>
        <w:r>
          <w:rPr>
            <w:noProof/>
            <w:webHidden/>
          </w:rPr>
          <w:fldChar w:fldCharType="begin"/>
        </w:r>
        <w:r>
          <w:rPr>
            <w:noProof/>
            <w:webHidden/>
          </w:rPr>
          <w:instrText xml:space="preserve"> PAGEREF _Toc236387278 \h </w:instrText>
        </w:r>
        <w:r>
          <w:rPr>
            <w:noProof/>
            <w:webHidden/>
          </w:rPr>
        </w:r>
        <w:r>
          <w:rPr>
            <w:noProof/>
            <w:webHidden/>
          </w:rPr>
          <w:fldChar w:fldCharType="separate"/>
        </w:r>
        <w:r>
          <w:rPr>
            <w:noProof/>
            <w:webHidden/>
          </w:rPr>
          <w:t>38</w:t>
        </w:r>
        <w:r>
          <w:rPr>
            <w:noProof/>
            <w:webHidden/>
          </w:rPr>
          <w:fldChar w:fldCharType="end"/>
        </w:r>
      </w:hyperlink>
    </w:p>
    <w:p w14:paraId="050D8930" w14:textId="3880C6CD" w:rsidR="00A017D7" w:rsidRDefault="00A017D7">
      <w:pPr>
        <w:pStyle w:val="TOC2"/>
        <w:tabs>
          <w:tab w:val="right" w:leader="dot" w:pos="9962"/>
        </w:tabs>
        <w:rPr>
          <w:rFonts w:eastAsiaTheme="minorEastAsia"/>
          <w:noProof/>
          <w:kern w:val="2"/>
          <w:lang w:val="en-GB" w:eastAsia="en-GB"/>
          <w14:ligatures w14:val="standardContextual"/>
        </w:rPr>
      </w:pPr>
      <w:hyperlink w:anchor="_Toc236387279" w:history="1">
        <w:r w:rsidRPr="00FF3118">
          <w:rPr>
            <w:rStyle w:val="Hyperlink"/>
            <w:noProof/>
            <w:lang w:val="it-IT"/>
          </w:rPr>
          <w:t>14.11 Clamping horizon-aware</w:t>
        </w:r>
        <w:r>
          <w:rPr>
            <w:noProof/>
            <w:webHidden/>
          </w:rPr>
          <w:tab/>
        </w:r>
        <w:r>
          <w:rPr>
            <w:noProof/>
            <w:webHidden/>
          </w:rPr>
          <w:fldChar w:fldCharType="begin"/>
        </w:r>
        <w:r>
          <w:rPr>
            <w:noProof/>
            <w:webHidden/>
          </w:rPr>
          <w:instrText xml:space="preserve"> PAGEREF _Toc236387279 \h </w:instrText>
        </w:r>
        <w:r>
          <w:rPr>
            <w:noProof/>
            <w:webHidden/>
          </w:rPr>
        </w:r>
        <w:r>
          <w:rPr>
            <w:noProof/>
            <w:webHidden/>
          </w:rPr>
          <w:fldChar w:fldCharType="separate"/>
        </w:r>
        <w:r>
          <w:rPr>
            <w:noProof/>
            <w:webHidden/>
          </w:rPr>
          <w:t>38</w:t>
        </w:r>
        <w:r>
          <w:rPr>
            <w:noProof/>
            <w:webHidden/>
          </w:rPr>
          <w:fldChar w:fldCharType="end"/>
        </w:r>
      </w:hyperlink>
    </w:p>
    <w:p w14:paraId="7354B8E5" w14:textId="1BBFA4C7" w:rsidR="00A017D7" w:rsidRDefault="00A017D7">
      <w:pPr>
        <w:pStyle w:val="TOC2"/>
        <w:tabs>
          <w:tab w:val="right" w:leader="dot" w:pos="9962"/>
        </w:tabs>
        <w:rPr>
          <w:rFonts w:eastAsiaTheme="minorEastAsia"/>
          <w:noProof/>
          <w:kern w:val="2"/>
          <w:lang w:val="en-GB" w:eastAsia="en-GB"/>
          <w14:ligatures w14:val="standardContextual"/>
        </w:rPr>
      </w:pPr>
      <w:hyperlink w:anchor="_Toc236387280" w:history="1">
        <w:r w:rsidRPr="00FF3118">
          <w:rPr>
            <w:rStyle w:val="Hyperlink"/>
            <w:noProof/>
            <w:lang w:val="it-IT"/>
          </w:rPr>
          <w:t>14.12 Conversione in spazio prezzo</w:t>
        </w:r>
        <w:r>
          <w:rPr>
            <w:noProof/>
            <w:webHidden/>
          </w:rPr>
          <w:tab/>
        </w:r>
        <w:r>
          <w:rPr>
            <w:noProof/>
            <w:webHidden/>
          </w:rPr>
          <w:fldChar w:fldCharType="begin"/>
        </w:r>
        <w:r>
          <w:rPr>
            <w:noProof/>
            <w:webHidden/>
          </w:rPr>
          <w:instrText xml:space="preserve"> PAGEREF _Toc236387280 \h </w:instrText>
        </w:r>
        <w:r>
          <w:rPr>
            <w:noProof/>
            <w:webHidden/>
          </w:rPr>
        </w:r>
        <w:r>
          <w:rPr>
            <w:noProof/>
            <w:webHidden/>
          </w:rPr>
          <w:fldChar w:fldCharType="separate"/>
        </w:r>
        <w:r>
          <w:rPr>
            <w:noProof/>
            <w:webHidden/>
          </w:rPr>
          <w:t>38</w:t>
        </w:r>
        <w:r>
          <w:rPr>
            <w:noProof/>
            <w:webHidden/>
          </w:rPr>
          <w:fldChar w:fldCharType="end"/>
        </w:r>
      </w:hyperlink>
    </w:p>
    <w:p w14:paraId="14462DD1" w14:textId="6F055CC6" w:rsidR="00A017D7" w:rsidRDefault="00A017D7">
      <w:pPr>
        <w:pStyle w:val="TOC2"/>
        <w:tabs>
          <w:tab w:val="right" w:leader="dot" w:pos="9962"/>
        </w:tabs>
        <w:rPr>
          <w:rFonts w:eastAsiaTheme="minorEastAsia"/>
          <w:noProof/>
          <w:kern w:val="2"/>
          <w:lang w:val="en-GB" w:eastAsia="en-GB"/>
          <w14:ligatures w14:val="standardContextual"/>
        </w:rPr>
      </w:pPr>
      <w:hyperlink w:anchor="_Toc236387281" w:history="1">
        <w:r w:rsidRPr="00FF3118">
          <w:rPr>
            <w:rStyle w:val="Hyperlink"/>
            <w:noProof/>
            <w:lang w:val="it-IT"/>
          </w:rPr>
          <w:t>14.13 Recentering</w:t>
        </w:r>
        <w:r>
          <w:rPr>
            <w:noProof/>
            <w:webHidden/>
          </w:rPr>
          <w:tab/>
        </w:r>
        <w:r>
          <w:rPr>
            <w:noProof/>
            <w:webHidden/>
          </w:rPr>
          <w:fldChar w:fldCharType="begin"/>
        </w:r>
        <w:r>
          <w:rPr>
            <w:noProof/>
            <w:webHidden/>
          </w:rPr>
          <w:instrText xml:space="preserve"> PAGEREF _Toc236387281 \h </w:instrText>
        </w:r>
        <w:r>
          <w:rPr>
            <w:noProof/>
            <w:webHidden/>
          </w:rPr>
        </w:r>
        <w:r>
          <w:rPr>
            <w:noProof/>
            <w:webHidden/>
          </w:rPr>
          <w:fldChar w:fldCharType="separate"/>
        </w:r>
        <w:r>
          <w:rPr>
            <w:noProof/>
            <w:webHidden/>
          </w:rPr>
          <w:t>39</w:t>
        </w:r>
        <w:r>
          <w:rPr>
            <w:noProof/>
            <w:webHidden/>
          </w:rPr>
          <w:fldChar w:fldCharType="end"/>
        </w:r>
      </w:hyperlink>
    </w:p>
    <w:p w14:paraId="635871E2" w14:textId="10BA9EDE" w:rsidR="00A017D7" w:rsidRDefault="00A017D7">
      <w:pPr>
        <w:pStyle w:val="TOC2"/>
        <w:tabs>
          <w:tab w:val="right" w:leader="dot" w:pos="9962"/>
        </w:tabs>
        <w:rPr>
          <w:rFonts w:eastAsiaTheme="minorEastAsia"/>
          <w:noProof/>
          <w:kern w:val="2"/>
          <w:lang w:val="en-GB" w:eastAsia="en-GB"/>
          <w14:ligatures w14:val="standardContextual"/>
        </w:rPr>
      </w:pPr>
      <w:hyperlink w:anchor="_Toc236387282" w:history="1">
        <w:r w:rsidRPr="00FF3118">
          <w:rPr>
            <w:rStyle w:val="Hyperlink"/>
            <w:noProof/>
            <w:lang w:val="it-IT"/>
          </w:rPr>
          <w:t>14.14 Scoring e selezione metodo</w:t>
        </w:r>
        <w:r>
          <w:rPr>
            <w:noProof/>
            <w:webHidden/>
          </w:rPr>
          <w:tab/>
        </w:r>
        <w:r>
          <w:rPr>
            <w:noProof/>
            <w:webHidden/>
          </w:rPr>
          <w:fldChar w:fldCharType="begin"/>
        </w:r>
        <w:r>
          <w:rPr>
            <w:noProof/>
            <w:webHidden/>
          </w:rPr>
          <w:instrText xml:space="preserve"> PAGEREF _Toc236387282 \h </w:instrText>
        </w:r>
        <w:r>
          <w:rPr>
            <w:noProof/>
            <w:webHidden/>
          </w:rPr>
        </w:r>
        <w:r>
          <w:rPr>
            <w:noProof/>
            <w:webHidden/>
          </w:rPr>
          <w:fldChar w:fldCharType="separate"/>
        </w:r>
        <w:r>
          <w:rPr>
            <w:noProof/>
            <w:webHidden/>
          </w:rPr>
          <w:t>39</w:t>
        </w:r>
        <w:r>
          <w:rPr>
            <w:noProof/>
            <w:webHidden/>
          </w:rPr>
          <w:fldChar w:fldCharType="end"/>
        </w:r>
      </w:hyperlink>
    </w:p>
    <w:p w14:paraId="5315C577" w14:textId="186D670D" w:rsidR="00A017D7" w:rsidRDefault="00A017D7">
      <w:pPr>
        <w:pStyle w:val="TOC2"/>
        <w:tabs>
          <w:tab w:val="right" w:leader="dot" w:pos="9962"/>
        </w:tabs>
        <w:rPr>
          <w:rFonts w:eastAsiaTheme="minorEastAsia"/>
          <w:noProof/>
          <w:kern w:val="2"/>
          <w:lang w:val="en-GB" w:eastAsia="en-GB"/>
          <w14:ligatures w14:val="standardContextual"/>
        </w:rPr>
      </w:pPr>
      <w:hyperlink w:anchor="_Toc236387283" w:history="1">
        <w:r w:rsidRPr="00FF3118">
          <w:rPr>
            <w:rStyle w:val="Hyperlink"/>
            <w:noProof/>
          </w:rPr>
          <w:t>14.15 Coverage-gap confidence downgrade (v3.4)</w:t>
        </w:r>
        <w:r>
          <w:rPr>
            <w:noProof/>
            <w:webHidden/>
          </w:rPr>
          <w:tab/>
        </w:r>
        <w:r>
          <w:rPr>
            <w:noProof/>
            <w:webHidden/>
          </w:rPr>
          <w:fldChar w:fldCharType="begin"/>
        </w:r>
        <w:r>
          <w:rPr>
            <w:noProof/>
            <w:webHidden/>
          </w:rPr>
          <w:instrText xml:space="preserve"> PAGEREF _Toc236387283 \h </w:instrText>
        </w:r>
        <w:r>
          <w:rPr>
            <w:noProof/>
            <w:webHidden/>
          </w:rPr>
        </w:r>
        <w:r>
          <w:rPr>
            <w:noProof/>
            <w:webHidden/>
          </w:rPr>
          <w:fldChar w:fldCharType="separate"/>
        </w:r>
        <w:r>
          <w:rPr>
            <w:noProof/>
            <w:webHidden/>
          </w:rPr>
          <w:t>39</w:t>
        </w:r>
        <w:r>
          <w:rPr>
            <w:noProof/>
            <w:webHidden/>
          </w:rPr>
          <w:fldChar w:fldCharType="end"/>
        </w:r>
      </w:hyperlink>
    </w:p>
    <w:p w14:paraId="05454252" w14:textId="6893FC58" w:rsidR="00A017D7" w:rsidRDefault="00A017D7">
      <w:pPr>
        <w:pStyle w:val="TOC2"/>
        <w:tabs>
          <w:tab w:val="right" w:leader="dot" w:pos="9962"/>
        </w:tabs>
        <w:rPr>
          <w:rFonts w:eastAsiaTheme="minorEastAsia"/>
          <w:noProof/>
          <w:kern w:val="2"/>
          <w:lang w:val="en-GB" w:eastAsia="en-GB"/>
          <w14:ligatures w14:val="standardContextual"/>
        </w:rPr>
      </w:pPr>
      <w:hyperlink w:anchor="_Toc236387284" w:history="1">
        <w:r w:rsidRPr="00FF3118">
          <w:rPr>
            <w:rStyle w:val="Hyperlink"/>
            <w:noProof/>
          </w:rPr>
          <w:t>14.16 Calibrazione esterna empirica (moltiplicatore outer, v3.8)</w:t>
        </w:r>
        <w:r>
          <w:rPr>
            <w:noProof/>
            <w:webHidden/>
          </w:rPr>
          <w:tab/>
        </w:r>
        <w:r>
          <w:rPr>
            <w:noProof/>
            <w:webHidden/>
          </w:rPr>
          <w:fldChar w:fldCharType="begin"/>
        </w:r>
        <w:r>
          <w:rPr>
            <w:noProof/>
            <w:webHidden/>
          </w:rPr>
          <w:instrText xml:space="preserve"> PAGEREF _Toc236387284 \h </w:instrText>
        </w:r>
        <w:r>
          <w:rPr>
            <w:noProof/>
            <w:webHidden/>
          </w:rPr>
        </w:r>
        <w:r>
          <w:rPr>
            <w:noProof/>
            <w:webHidden/>
          </w:rPr>
          <w:fldChar w:fldCharType="separate"/>
        </w:r>
        <w:r>
          <w:rPr>
            <w:noProof/>
            <w:webHidden/>
          </w:rPr>
          <w:t>40</w:t>
        </w:r>
        <w:r>
          <w:rPr>
            <w:noProof/>
            <w:webHidden/>
          </w:rPr>
          <w:fldChar w:fldCharType="end"/>
        </w:r>
      </w:hyperlink>
    </w:p>
    <w:p w14:paraId="4D0E0055" w14:textId="33E60458" w:rsidR="00A017D7" w:rsidRDefault="00A017D7">
      <w:pPr>
        <w:pStyle w:val="TOC2"/>
        <w:tabs>
          <w:tab w:val="right" w:leader="dot" w:pos="9962"/>
        </w:tabs>
        <w:rPr>
          <w:rFonts w:eastAsiaTheme="minorEastAsia"/>
          <w:noProof/>
          <w:kern w:val="2"/>
          <w:lang w:val="en-GB" w:eastAsia="en-GB"/>
          <w14:ligatures w14:val="standardContextual"/>
        </w:rPr>
      </w:pPr>
      <w:hyperlink w:anchor="_Toc236387285" w:history="1">
        <w:r w:rsidRPr="00FF3118">
          <w:rPr>
            <w:rStyle w:val="Hyperlink"/>
            <w:noProof/>
          </w:rPr>
          <w:t>14.17 Controllo utente della storia di validazione walk-forward</w:t>
        </w:r>
        <w:r>
          <w:rPr>
            <w:noProof/>
            <w:webHidden/>
          </w:rPr>
          <w:tab/>
        </w:r>
        <w:r>
          <w:rPr>
            <w:noProof/>
            <w:webHidden/>
          </w:rPr>
          <w:fldChar w:fldCharType="begin"/>
        </w:r>
        <w:r>
          <w:rPr>
            <w:noProof/>
            <w:webHidden/>
          </w:rPr>
          <w:instrText xml:space="preserve"> PAGEREF _Toc236387285 \h </w:instrText>
        </w:r>
        <w:r>
          <w:rPr>
            <w:noProof/>
            <w:webHidden/>
          </w:rPr>
        </w:r>
        <w:r>
          <w:rPr>
            <w:noProof/>
            <w:webHidden/>
          </w:rPr>
          <w:fldChar w:fldCharType="separate"/>
        </w:r>
        <w:r>
          <w:rPr>
            <w:noProof/>
            <w:webHidden/>
          </w:rPr>
          <w:t>41</w:t>
        </w:r>
        <w:r>
          <w:rPr>
            <w:noProof/>
            <w:webHidden/>
          </w:rPr>
          <w:fldChar w:fldCharType="end"/>
        </w:r>
      </w:hyperlink>
    </w:p>
    <w:p w14:paraId="2D2F8DBA" w14:textId="5C2E2F42" w:rsidR="00A017D7" w:rsidRDefault="00A017D7">
      <w:pPr>
        <w:pStyle w:val="TOC1"/>
        <w:tabs>
          <w:tab w:val="right" w:leader="dot" w:pos="9962"/>
        </w:tabs>
        <w:rPr>
          <w:rFonts w:eastAsiaTheme="minorEastAsia"/>
          <w:noProof/>
          <w:kern w:val="2"/>
          <w:lang w:val="en-GB" w:eastAsia="en-GB"/>
          <w14:ligatures w14:val="standardContextual"/>
        </w:rPr>
      </w:pPr>
      <w:hyperlink w:anchor="_Toc236387286" w:history="1">
        <w:r w:rsidRPr="00FF3118">
          <w:rPr>
            <w:rStyle w:val="Hyperlink"/>
            <w:noProof/>
            <w:lang w:val="it-IT"/>
          </w:rPr>
          <w:t>15. Probabilità target price e intervallo utente</w:t>
        </w:r>
        <w:r>
          <w:rPr>
            <w:noProof/>
            <w:webHidden/>
          </w:rPr>
          <w:tab/>
        </w:r>
        <w:r>
          <w:rPr>
            <w:noProof/>
            <w:webHidden/>
          </w:rPr>
          <w:fldChar w:fldCharType="begin"/>
        </w:r>
        <w:r>
          <w:rPr>
            <w:noProof/>
            <w:webHidden/>
          </w:rPr>
          <w:instrText xml:space="preserve"> PAGEREF _Toc236387286 \h </w:instrText>
        </w:r>
        <w:r>
          <w:rPr>
            <w:noProof/>
            <w:webHidden/>
          </w:rPr>
        </w:r>
        <w:r>
          <w:rPr>
            <w:noProof/>
            <w:webHidden/>
          </w:rPr>
          <w:fldChar w:fldCharType="separate"/>
        </w:r>
        <w:r>
          <w:rPr>
            <w:noProof/>
            <w:webHidden/>
          </w:rPr>
          <w:t>42</w:t>
        </w:r>
        <w:r>
          <w:rPr>
            <w:noProof/>
            <w:webHidden/>
          </w:rPr>
          <w:fldChar w:fldCharType="end"/>
        </w:r>
      </w:hyperlink>
    </w:p>
    <w:p w14:paraId="145CF20A" w14:textId="60E22083" w:rsidR="00A017D7" w:rsidRDefault="00A017D7">
      <w:pPr>
        <w:pStyle w:val="TOC2"/>
        <w:tabs>
          <w:tab w:val="right" w:leader="dot" w:pos="9962"/>
        </w:tabs>
        <w:rPr>
          <w:rFonts w:eastAsiaTheme="minorEastAsia"/>
          <w:noProof/>
          <w:kern w:val="2"/>
          <w:lang w:val="en-GB" w:eastAsia="en-GB"/>
          <w14:ligatures w14:val="standardContextual"/>
        </w:rPr>
      </w:pPr>
      <w:hyperlink w:anchor="_Toc236387287" w:history="1">
        <w:r w:rsidRPr="00FF3118">
          <w:rPr>
            <w:rStyle w:val="Hyperlink"/>
            <w:noProof/>
            <w:lang w:val="it-IT"/>
          </w:rPr>
          <w:t>15.1 Residui de-biased</w:t>
        </w:r>
        <w:r>
          <w:rPr>
            <w:noProof/>
            <w:webHidden/>
          </w:rPr>
          <w:tab/>
        </w:r>
        <w:r>
          <w:rPr>
            <w:noProof/>
            <w:webHidden/>
          </w:rPr>
          <w:fldChar w:fldCharType="begin"/>
        </w:r>
        <w:r>
          <w:rPr>
            <w:noProof/>
            <w:webHidden/>
          </w:rPr>
          <w:instrText xml:space="preserve"> PAGEREF _Toc236387287 \h </w:instrText>
        </w:r>
        <w:r>
          <w:rPr>
            <w:noProof/>
            <w:webHidden/>
          </w:rPr>
        </w:r>
        <w:r>
          <w:rPr>
            <w:noProof/>
            <w:webHidden/>
          </w:rPr>
          <w:fldChar w:fldCharType="separate"/>
        </w:r>
        <w:r>
          <w:rPr>
            <w:noProof/>
            <w:webHidden/>
          </w:rPr>
          <w:t>42</w:t>
        </w:r>
        <w:r>
          <w:rPr>
            <w:noProof/>
            <w:webHidden/>
          </w:rPr>
          <w:fldChar w:fldCharType="end"/>
        </w:r>
      </w:hyperlink>
    </w:p>
    <w:p w14:paraId="4CBE1876" w14:textId="2E8D37A6" w:rsidR="00A017D7" w:rsidRDefault="00A017D7">
      <w:pPr>
        <w:pStyle w:val="TOC2"/>
        <w:tabs>
          <w:tab w:val="right" w:leader="dot" w:pos="9962"/>
        </w:tabs>
        <w:rPr>
          <w:rFonts w:eastAsiaTheme="minorEastAsia"/>
          <w:noProof/>
          <w:kern w:val="2"/>
          <w:lang w:val="en-GB" w:eastAsia="en-GB"/>
          <w14:ligatures w14:val="standardContextual"/>
        </w:rPr>
      </w:pPr>
      <w:hyperlink w:anchor="_Toc236387288" w:history="1">
        <w:r w:rsidRPr="00FF3118">
          <w:rPr>
            <w:rStyle w:val="Hyperlink"/>
            <w:noProof/>
            <w:lang w:val="it-IT"/>
          </w:rPr>
          <w:t>15.2 Probabilità che il prezzo superi o stia sotto un target</w:t>
        </w:r>
        <w:r>
          <w:rPr>
            <w:noProof/>
            <w:webHidden/>
          </w:rPr>
          <w:tab/>
        </w:r>
        <w:r>
          <w:rPr>
            <w:noProof/>
            <w:webHidden/>
          </w:rPr>
          <w:fldChar w:fldCharType="begin"/>
        </w:r>
        <w:r>
          <w:rPr>
            <w:noProof/>
            <w:webHidden/>
          </w:rPr>
          <w:instrText xml:space="preserve"> PAGEREF _Toc236387288 \h </w:instrText>
        </w:r>
        <w:r>
          <w:rPr>
            <w:noProof/>
            <w:webHidden/>
          </w:rPr>
        </w:r>
        <w:r>
          <w:rPr>
            <w:noProof/>
            <w:webHidden/>
          </w:rPr>
          <w:fldChar w:fldCharType="separate"/>
        </w:r>
        <w:r>
          <w:rPr>
            <w:noProof/>
            <w:webHidden/>
          </w:rPr>
          <w:t>43</w:t>
        </w:r>
        <w:r>
          <w:rPr>
            <w:noProof/>
            <w:webHidden/>
          </w:rPr>
          <w:fldChar w:fldCharType="end"/>
        </w:r>
      </w:hyperlink>
    </w:p>
    <w:p w14:paraId="33BD54DD" w14:textId="64A54EBD" w:rsidR="00A017D7" w:rsidRDefault="00A017D7">
      <w:pPr>
        <w:pStyle w:val="TOC2"/>
        <w:tabs>
          <w:tab w:val="right" w:leader="dot" w:pos="9962"/>
        </w:tabs>
        <w:rPr>
          <w:rFonts w:eastAsiaTheme="minorEastAsia"/>
          <w:noProof/>
          <w:kern w:val="2"/>
          <w:lang w:val="en-GB" w:eastAsia="en-GB"/>
          <w14:ligatures w14:val="standardContextual"/>
        </w:rPr>
      </w:pPr>
      <w:hyperlink w:anchor="_Toc236387289" w:history="1">
        <w:r w:rsidRPr="00FF3118">
          <w:rPr>
            <w:rStyle w:val="Hyperlink"/>
            <w:noProof/>
            <w:lang w:val="it-IT"/>
          </w:rPr>
          <w:t>15.3 Wilson lower bound</w:t>
        </w:r>
        <w:r>
          <w:rPr>
            <w:noProof/>
            <w:webHidden/>
          </w:rPr>
          <w:tab/>
        </w:r>
        <w:r>
          <w:rPr>
            <w:noProof/>
            <w:webHidden/>
          </w:rPr>
          <w:fldChar w:fldCharType="begin"/>
        </w:r>
        <w:r>
          <w:rPr>
            <w:noProof/>
            <w:webHidden/>
          </w:rPr>
          <w:instrText xml:space="preserve"> PAGEREF _Toc236387289 \h </w:instrText>
        </w:r>
        <w:r>
          <w:rPr>
            <w:noProof/>
            <w:webHidden/>
          </w:rPr>
        </w:r>
        <w:r>
          <w:rPr>
            <w:noProof/>
            <w:webHidden/>
          </w:rPr>
          <w:fldChar w:fldCharType="separate"/>
        </w:r>
        <w:r>
          <w:rPr>
            <w:noProof/>
            <w:webHidden/>
          </w:rPr>
          <w:t>43</w:t>
        </w:r>
        <w:r>
          <w:rPr>
            <w:noProof/>
            <w:webHidden/>
          </w:rPr>
          <w:fldChar w:fldCharType="end"/>
        </w:r>
      </w:hyperlink>
    </w:p>
    <w:p w14:paraId="016D6EA4" w14:textId="5A30A0D3" w:rsidR="00A017D7" w:rsidRDefault="00A017D7">
      <w:pPr>
        <w:pStyle w:val="TOC2"/>
        <w:tabs>
          <w:tab w:val="right" w:leader="dot" w:pos="9962"/>
        </w:tabs>
        <w:rPr>
          <w:rFonts w:eastAsiaTheme="minorEastAsia"/>
          <w:noProof/>
          <w:kern w:val="2"/>
          <w:lang w:val="en-GB" w:eastAsia="en-GB"/>
          <w14:ligatures w14:val="standardContextual"/>
        </w:rPr>
      </w:pPr>
      <w:hyperlink w:anchor="_Toc236387290" w:history="1">
        <w:r w:rsidRPr="00FF3118">
          <w:rPr>
            <w:rStyle w:val="Hyperlink"/>
            <w:noProof/>
            <w:lang w:val="it-IT"/>
          </w:rPr>
          <w:t>15.4 Gaussian fallback</w:t>
        </w:r>
        <w:r>
          <w:rPr>
            <w:noProof/>
            <w:webHidden/>
          </w:rPr>
          <w:tab/>
        </w:r>
        <w:r>
          <w:rPr>
            <w:noProof/>
            <w:webHidden/>
          </w:rPr>
          <w:fldChar w:fldCharType="begin"/>
        </w:r>
        <w:r>
          <w:rPr>
            <w:noProof/>
            <w:webHidden/>
          </w:rPr>
          <w:instrText xml:space="preserve"> PAGEREF _Toc236387290 \h </w:instrText>
        </w:r>
        <w:r>
          <w:rPr>
            <w:noProof/>
            <w:webHidden/>
          </w:rPr>
        </w:r>
        <w:r>
          <w:rPr>
            <w:noProof/>
            <w:webHidden/>
          </w:rPr>
          <w:fldChar w:fldCharType="separate"/>
        </w:r>
        <w:r>
          <w:rPr>
            <w:noProof/>
            <w:webHidden/>
          </w:rPr>
          <w:t>43</w:t>
        </w:r>
        <w:r>
          <w:rPr>
            <w:noProof/>
            <w:webHidden/>
          </w:rPr>
          <w:fldChar w:fldCharType="end"/>
        </w:r>
      </w:hyperlink>
    </w:p>
    <w:p w14:paraId="5E3A4093" w14:textId="2A032FD8" w:rsidR="00A017D7" w:rsidRDefault="00A017D7">
      <w:pPr>
        <w:pStyle w:val="TOC2"/>
        <w:tabs>
          <w:tab w:val="right" w:leader="dot" w:pos="9962"/>
        </w:tabs>
        <w:rPr>
          <w:rFonts w:eastAsiaTheme="minorEastAsia"/>
          <w:noProof/>
          <w:kern w:val="2"/>
          <w:lang w:val="en-GB" w:eastAsia="en-GB"/>
          <w14:ligatures w14:val="standardContextual"/>
        </w:rPr>
      </w:pPr>
      <w:hyperlink w:anchor="_Toc236387291" w:history="1">
        <w:r w:rsidRPr="00FF3118">
          <w:rPr>
            <w:rStyle w:val="Hyperlink"/>
            <w:noProof/>
            <w:lang w:val="it-IT"/>
          </w:rPr>
          <w:t>15.5 Probabilità di ricadere in un intervallo utente</w:t>
        </w:r>
        <w:r>
          <w:rPr>
            <w:noProof/>
            <w:webHidden/>
          </w:rPr>
          <w:tab/>
        </w:r>
        <w:r>
          <w:rPr>
            <w:noProof/>
            <w:webHidden/>
          </w:rPr>
          <w:fldChar w:fldCharType="begin"/>
        </w:r>
        <w:r>
          <w:rPr>
            <w:noProof/>
            <w:webHidden/>
          </w:rPr>
          <w:instrText xml:space="preserve"> PAGEREF _Toc236387291 \h </w:instrText>
        </w:r>
        <w:r>
          <w:rPr>
            <w:noProof/>
            <w:webHidden/>
          </w:rPr>
        </w:r>
        <w:r>
          <w:rPr>
            <w:noProof/>
            <w:webHidden/>
          </w:rPr>
          <w:fldChar w:fldCharType="separate"/>
        </w:r>
        <w:r>
          <w:rPr>
            <w:noProof/>
            <w:webHidden/>
          </w:rPr>
          <w:t>43</w:t>
        </w:r>
        <w:r>
          <w:rPr>
            <w:noProof/>
            <w:webHidden/>
          </w:rPr>
          <w:fldChar w:fldCharType="end"/>
        </w:r>
      </w:hyperlink>
    </w:p>
    <w:p w14:paraId="7BCC2DAD" w14:textId="15F7FF2B" w:rsidR="00A017D7" w:rsidRDefault="00A017D7">
      <w:pPr>
        <w:pStyle w:val="TOC1"/>
        <w:tabs>
          <w:tab w:val="right" w:leader="dot" w:pos="9962"/>
        </w:tabs>
        <w:rPr>
          <w:rFonts w:eastAsiaTheme="minorEastAsia"/>
          <w:noProof/>
          <w:kern w:val="2"/>
          <w:lang w:val="en-GB" w:eastAsia="en-GB"/>
          <w14:ligatures w14:val="standardContextual"/>
        </w:rPr>
      </w:pPr>
      <w:hyperlink w:anchor="_Toc236387292" w:history="1">
        <w:r w:rsidRPr="00FF3118">
          <w:rPr>
            <w:rStyle w:val="Hyperlink"/>
            <w:noProof/>
            <w:lang w:val="it-IT"/>
          </w:rPr>
          <w:t>16. Metriche di accuratezza e diagnostiche quantitative di rischio</w:t>
        </w:r>
        <w:r>
          <w:rPr>
            <w:noProof/>
            <w:webHidden/>
          </w:rPr>
          <w:tab/>
        </w:r>
        <w:r>
          <w:rPr>
            <w:noProof/>
            <w:webHidden/>
          </w:rPr>
          <w:fldChar w:fldCharType="begin"/>
        </w:r>
        <w:r>
          <w:rPr>
            <w:noProof/>
            <w:webHidden/>
          </w:rPr>
          <w:instrText xml:space="preserve"> PAGEREF _Toc236387292 \h </w:instrText>
        </w:r>
        <w:r>
          <w:rPr>
            <w:noProof/>
            <w:webHidden/>
          </w:rPr>
        </w:r>
        <w:r>
          <w:rPr>
            <w:noProof/>
            <w:webHidden/>
          </w:rPr>
          <w:fldChar w:fldCharType="separate"/>
        </w:r>
        <w:r>
          <w:rPr>
            <w:noProof/>
            <w:webHidden/>
          </w:rPr>
          <w:t>44</w:t>
        </w:r>
        <w:r>
          <w:rPr>
            <w:noProof/>
            <w:webHidden/>
          </w:rPr>
          <w:fldChar w:fldCharType="end"/>
        </w:r>
      </w:hyperlink>
    </w:p>
    <w:p w14:paraId="63014F30" w14:textId="64D2C6D5" w:rsidR="00A017D7" w:rsidRDefault="00A017D7">
      <w:pPr>
        <w:pStyle w:val="TOC2"/>
        <w:tabs>
          <w:tab w:val="right" w:leader="dot" w:pos="9962"/>
        </w:tabs>
        <w:rPr>
          <w:rFonts w:eastAsiaTheme="minorEastAsia"/>
          <w:noProof/>
          <w:kern w:val="2"/>
          <w:lang w:val="en-GB" w:eastAsia="en-GB"/>
          <w14:ligatures w14:val="standardContextual"/>
        </w:rPr>
      </w:pPr>
      <w:hyperlink w:anchor="_Toc236387293" w:history="1">
        <w:r w:rsidRPr="00FF3118">
          <w:rPr>
            <w:rStyle w:val="Hyperlink"/>
            <w:noProof/>
            <w:lang w:val="it-IT"/>
          </w:rPr>
          <w:t>16.1 Accuratezza su storia walk-forward ensemble</w:t>
        </w:r>
        <w:r>
          <w:rPr>
            <w:noProof/>
            <w:webHidden/>
          </w:rPr>
          <w:tab/>
        </w:r>
        <w:r>
          <w:rPr>
            <w:noProof/>
            <w:webHidden/>
          </w:rPr>
          <w:fldChar w:fldCharType="begin"/>
        </w:r>
        <w:r>
          <w:rPr>
            <w:noProof/>
            <w:webHidden/>
          </w:rPr>
          <w:instrText xml:space="preserve"> PAGEREF _Toc236387293 \h </w:instrText>
        </w:r>
        <w:r>
          <w:rPr>
            <w:noProof/>
            <w:webHidden/>
          </w:rPr>
        </w:r>
        <w:r>
          <w:rPr>
            <w:noProof/>
            <w:webHidden/>
          </w:rPr>
          <w:fldChar w:fldCharType="separate"/>
        </w:r>
        <w:r>
          <w:rPr>
            <w:noProof/>
            <w:webHidden/>
          </w:rPr>
          <w:t>44</w:t>
        </w:r>
        <w:r>
          <w:rPr>
            <w:noProof/>
            <w:webHidden/>
          </w:rPr>
          <w:fldChar w:fldCharType="end"/>
        </w:r>
      </w:hyperlink>
    </w:p>
    <w:p w14:paraId="4447E2B1" w14:textId="22449A5C" w:rsidR="00A017D7" w:rsidRDefault="00A017D7">
      <w:pPr>
        <w:pStyle w:val="TOC2"/>
        <w:tabs>
          <w:tab w:val="right" w:leader="dot" w:pos="9962"/>
        </w:tabs>
        <w:rPr>
          <w:rFonts w:eastAsiaTheme="minorEastAsia"/>
          <w:noProof/>
          <w:kern w:val="2"/>
          <w:lang w:val="en-GB" w:eastAsia="en-GB"/>
          <w14:ligatures w14:val="standardContextual"/>
        </w:rPr>
      </w:pPr>
      <w:hyperlink w:anchor="_Toc236387294" w:history="1">
        <w:r w:rsidRPr="00FF3118">
          <w:rPr>
            <w:rStyle w:val="Hyperlink"/>
            <w:noProof/>
          </w:rPr>
          <w:t>16.2 Confronto contro benchmark Naive (Random Walk)</w:t>
        </w:r>
        <w:r>
          <w:rPr>
            <w:noProof/>
            <w:webHidden/>
          </w:rPr>
          <w:tab/>
        </w:r>
        <w:r>
          <w:rPr>
            <w:noProof/>
            <w:webHidden/>
          </w:rPr>
          <w:fldChar w:fldCharType="begin"/>
        </w:r>
        <w:r>
          <w:rPr>
            <w:noProof/>
            <w:webHidden/>
          </w:rPr>
          <w:instrText xml:space="preserve"> PAGEREF _Toc236387294 \h </w:instrText>
        </w:r>
        <w:r>
          <w:rPr>
            <w:noProof/>
            <w:webHidden/>
          </w:rPr>
        </w:r>
        <w:r>
          <w:rPr>
            <w:noProof/>
            <w:webHidden/>
          </w:rPr>
          <w:fldChar w:fldCharType="separate"/>
        </w:r>
        <w:r>
          <w:rPr>
            <w:noProof/>
            <w:webHidden/>
          </w:rPr>
          <w:t>44</w:t>
        </w:r>
        <w:r>
          <w:rPr>
            <w:noProof/>
            <w:webHidden/>
          </w:rPr>
          <w:fldChar w:fldCharType="end"/>
        </w:r>
      </w:hyperlink>
    </w:p>
    <w:p w14:paraId="14D07C9E" w14:textId="56EA7209" w:rsidR="00A017D7" w:rsidRDefault="00A017D7">
      <w:pPr>
        <w:pStyle w:val="TOC2"/>
        <w:tabs>
          <w:tab w:val="right" w:leader="dot" w:pos="9962"/>
        </w:tabs>
        <w:rPr>
          <w:rFonts w:eastAsiaTheme="minorEastAsia"/>
          <w:noProof/>
          <w:kern w:val="2"/>
          <w:lang w:val="en-GB" w:eastAsia="en-GB"/>
          <w14:ligatures w14:val="standardContextual"/>
        </w:rPr>
      </w:pPr>
      <w:hyperlink w:anchor="_Toc236387295" w:history="1">
        <w:r w:rsidRPr="00FF3118">
          <w:rPr>
            <w:rStyle w:val="Hyperlink"/>
            <w:noProof/>
            <w:lang w:val="it-IT"/>
          </w:rPr>
          <w:t>16.3 Diagnostiche di bias direzionale</w:t>
        </w:r>
        <w:r>
          <w:rPr>
            <w:noProof/>
            <w:webHidden/>
          </w:rPr>
          <w:tab/>
        </w:r>
        <w:r>
          <w:rPr>
            <w:noProof/>
            <w:webHidden/>
          </w:rPr>
          <w:fldChar w:fldCharType="begin"/>
        </w:r>
        <w:r>
          <w:rPr>
            <w:noProof/>
            <w:webHidden/>
          </w:rPr>
          <w:instrText xml:space="preserve"> PAGEREF _Toc236387295 \h </w:instrText>
        </w:r>
        <w:r>
          <w:rPr>
            <w:noProof/>
            <w:webHidden/>
          </w:rPr>
        </w:r>
        <w:r>
          <w:rPr>
            <w:noProof/>
            <w:webHidden/>
          </w:rPr>
          <w:fldChar w:fldCharType="separate"/>
        </w:r>
        <w:r>
          <w:rPr>
            <w:noProof/>
            <w:webHidden/>
          </w:rPr>
          <w:t>45</w:t>
        </w:r>
        <w:r>
          <w:rPr>
            <w:noProof/>
            <w:webHidden/>
          </w:rPr>
          <w:fldChar w:fldCharType="end"/>
        </w:r>
      </w:hyperlink>
    </w:p>
    <w:p w14:paraId="1D49647C" w14:textId="6D370AC6" w:rsidR="00A017D7" w:rsidRDefault="00A017D7">
      <w:pPr>
        <w:pStyle w:val="TOC2"/>
        <w:tabs>
          <w:tab w:val="right" w:leader="dot" w:pos="9962"/>
        </w:tabs>
        <w:rPr>
          <w:rFonts w:eastAsiaTheme="minorEastAsia"/>
          <w:noProof/>
          <w:kern w:val="2"/>
          <w:lang w:val="en-GB" w:eastAsia="en-GB"/>
          <w14:ligatures w14:val="standardContextual"/>
        </w:rPr>
      </w:pPr>
      <w:hyperlink w:anchor="_Toc236387296" w:history="1">
        <w:r w:rsidRPr="00FF3118">
          <w:rPr>
            <w:rStyle w:val="Hyperlink"/>
            <w:noProof/>
            <w:lang w:val="it-IT"/>
          </w:rPr>
          <w:t>16.4 Summary della storia prezzi</w:t>
        </w:r>
        <w:r>
          <w:rPr>
            <w:noProof/>
            <w:webHidden/>
          </w:rPr>
          <w:tab/>
        </w:r>
        <w:r>
          <w:rPr>
            <w:noProof/>
            <w:webHidden/>
          </w:rPr>
          <w:fldChar w:fldCharType="begin"/>
        </w:r>
        <w:r>
          <w:rPr>
            <w:noProof/>
            <w:webHidden/>
          </w:rPr>
          <w:instrText xml:space="preserve"> PAGEREF _Toc236387296 \h </w:instrText>
        </w:r>
        <w:r>
          <w:rPr>
            <w:noProof/>
            <w:webHidden/>
          </w:rPr>
        </w:r>
        <w:r>
          <w:rPr>
            <w:noProof/>
            <w:webHidden/>
          </w:rPr>
          <w:fldChar w:fldCharType="separate"/>
        </w:r>
        <w:r>
          <w:rPr>
            <w:noProof/>
            <w:webHidden/>
          </w:rPr>
          <w:t>45</w:t>
        </w:r>
        <w:r>
          <w:rPr>
            <w:noProof/>
            <w:webHidden/>
          </w:rPr>
          <w:fldChar w:fldCharType="end"/>
        </w:r>
      </w:hyperlink>
    </w:p>
    <w:p w14:paraId="23A0AD89" w14:textId="2385F036" w:rsidR="00A017D7" w:rsidRDefault="00A017D7">
      <w:pPr>
        <w:pStyle w:val="TOC2"/>
        <w:tabs>
          <w:tab w:val="right" w:leader="dot" w:pos="9962"/>
        </w:tabs>
        <w:rPr>
          <w:rFonts w:eastAsiaTheme="minorEastAsia"/>
          <w:noProof/>
          <w:kern w:val="2"/>
          <w:lang w:val="en-GB" w:eastAsia="en-GB"/>
          <w14:ligatures w14:val="standardContextual"/>
        </w:rPr>
      </w:pPr>
      <w:hyperlink w:anchor="_Toc236387297" w:history="1">
        <w:r w:rsidRPr="00FF3118">
          <w:rPr>
            <w:rStyle w:val="Hyperlink"/>
            <w:noProof/>
            <w:lang w:val="it-IT"/>
          </w:rPr>
          <w:t>16.5 Modulo di classificazione direzionale (opt-in)</w:t>
        </w:r>
        <w:r>
          <w:rPr>
            <w:noProof/>
            <w:webHidden/>
          </w:rPr>
          <w:tab/>
        </w:r>
        <w:r>
          <w:rPr>
            <w:noProof/>
            <w:webHidden/>
          </w:rPr>
          <w:fldChar w:fldCharType="begin"/>
        </w:r>
        <w:r>
          <w:rPr>
            <w:noProof/>
            <w:webHidden/>
          </w:rPr>
          <w:instrText xml:space="preserve"> PAGEREF _Toc236387297 \h </w:instrText>
        </w:r>
        <w:r>
          <w:rPr>
            <w:noProof/>
            <w:webHidden/>
          </w:rPr>
        </w:r>
        <w:r>
          <w:rPr>
            <w:noProof/>
            <w:webHidden/>
          </w:rPr>
          <w:fldChar w:fldCharType="separate"/>
        </w:r>
        <w:r>
          <w:rPr>
            <w:noProof/>
            <w:webHidden/>
          </w:rPr>
          <w:t>45</w:t>
        </w:r>
        <w:r>
          <w:rPr>
            <w:noProof/>
            <w:webHidden/>
          </w:rPr>
          <w:fldChar w:fldCharType="end"/>
        </w:r>
      </w:hyperlink>
    </w:p>
    <w:p w14:paraId="662E14FE" w14:textId="5EDD1098" w:rsidR="00A017D7" w:rsidRDefault="00A017D7">
      <w:pPr>
        <w:pStyle w:val="TOC2"/>
        <w:tabs>
          <w:tab w:val="right" w:leader="dot" w:pos="9962"/>
        </w:tabs>
        <w:rPr>
          <w:rFonts w:eastAsiaTheme="minorEastAsia"/>
          <w:noProof/>
          <w:kern w:val="2"/>
          <w:lang w:val="en-GB" w:eastAsia="en-GB"/>
          <w14:ligatures w14:val="standardContextual"/>
        </w:rPr>
      </w:pPr>
      <w:hyperlink w:anchor="_Toc236387298" w:history="1">
        <w:r w:rsidRPr="00FF3118">
          <w:rPr>
            <w:rStyle w:val="Hyperlink"/>
            <w:noProof/>
            <w:lang w:val="it-IT"/>
          </w:rPr>
          <w:t>16.6 Storia walk-forward dedicata e selezione atomica della tripla</w:t>
        </w:r>
        <w:r>
          <w:rPr>
            <w:noProof/>
            <w:webHidden/>
          </w:rPr>
          <w:tab/>
        </w:r>
        <w:r>
          <w:rPr>
            <w:noProof/>
            <w:webHidden/>
          </w:rPr>
          <w:fldChar w:fldCharType="begin"/>
        </w:r>
        <w:r>
          <w:rPr>
            <w:noProof/>
            <w:webHidden/>
          </w:rPr>
          <w:instrText xml:space="preserve"> PAGEREF _Toc236387298 \h </w:instrText>
        </w:r>
        <w:r>
          <w:rPr>
            <w:noProof/>
            <w:webHidden/>
          </w:rPr>
        </w:r>
        <w:r>
          <w:rPr>
            <w:noProof/>
            <w:webHidden/>
          </w:rPr>
          <w:fldChar w:fldCharType="separate"/>
        </w:r>
        <w:r>
          <w:rPr>
            <w:noProof/>
            <w:webHidden/>
          </w:rPr>
          <w:t>45</w:t>
        </w:r>
        <w:r>
          <w:rPr>
            <w:noProof/>
            <w:webHidden/>
          </w:rPr>
          <w:fldChar w:fldCharType="end"/>
        </w:r>
      </w:hyperlink>
    </w:p>
    <w:p w14:paraId="10E84545" w14:textId="653630DB" w:rsidR="00A017D7" w:rsidRDefault="00A017D7">
      <w:pPr>
        <w:pStyle w:val="TOC2"/>
        <w:tabs>
          <w:tab w:val="right" w:leader="dot" w:pos="9962"/>
        </w:tabs>
        <w:rPr>
          <w:rFonts w:eastAsiaTheme="minorEastAsia"/>
          <w:noProof/>
          <w:kern w:val="2"/>
          <w:lang w:val="en-GB" w:eastAsia="en-GB"/>
          <w14:ligatures w14:val="standardContextual"/>
        </w:rPr>
      </w:pPr>
      <w:hyperlink w:anchor="_Toc236387299" w:history="1">
        <w:r w:rsidRPr="00FF3118">
          <w:rPr>
            <w:rStyle w:val="Hyperlink"/>
            <w:noProof/>
            <w:lang w:val="it-IT"/>
          </w:rPr>
          <w:t>16.7 Evento target e feature</w:t>
        </w:r>
        <w:r>
          <w:rPr>
            <w:noProof/>
            <w:webHidden/>
          </w:rPr>
          <w:tab/>
        </w:r>
        <w:r>
          <w:rPr>
            <w:noProof/>
            <w:webHidden/>
          </w:rPr>
          <w:fldChar w:fldCharType="begin"/>
        </w:r>
        <w:r>
          <w:rPr>
            <w:noProof/>
            <w:webHidden/>
          </w:rPr>
          <w:instrText xml:space="preserve"> PAGEREF _Toc236387299 \h </w:instrText>
        </w:r>
        <w:r>
          <w:rPr>
            <w:noProof/>
            <w:webHidden/>
          </w:rPr>
        </w:r>
        <w:r>
          <w:rPr>
            <w:noProof/>
            <w:webHidden/>
          </w:rPr>
          <w:fldChar w:fldCharType="separate"/>
        </w:r>
        <w:r>
          <w:rPr>
            <w:noProof/>
            <w:webHidden/>
          </w:rPr>
          <w:t>46</w:t>
        </w:r>
        <w:r>
          <w:rPr>
            <w:noProof/>
            <w:webHidden/>
          </w:rPr>
          <w:fldChar w:fldCharType="end"/>
        </w:r>
      </w:hyperlink>
    </w:p>
    <w:p w14:paraId="39B6183F" w14:textId="0D4FCFDD" w:rsidR="00A017D7" w:rsidRDefault="00A017D7">
      <w:pPr>
        <w:pStyle w:val="TOC2"/>
        <w:tabs>
          <w:tab w:val="right" w:leader="dot" w:pos="9962"/>
        </w:tabs>
        <w:rPr>
          <w:rFonts w:eastAsiaTheme="minorEastAsia"/>
          <w:noProof/>
          <w:kern w:val="2"/>
          <w:lang w:val="en-GB" w:eastAsia="en-GB"/>
          <w14:ligatures w14:val="standardContextual"/>
        </w:rPr>
      </w:pPr>
      <w:hyperlink w:anchor="_Toc236387300" w:history="1">
        <w:r w:rsidRPr="00FF3118">
          <w:rPr>
            <w:rStyle w:val="Hyperlink"/>
            <w:noProof/>
            <w:lang w:val="it-IT"/>
          </w:rPr>
          <w:t>16.8 Modello e validazione cronologica con purge gap</w:t>
        </w:r>
        <w:r>
          <w:rPr>
            <w:noProof/>
            <w:webHidden/>
          </w:rPr>
          <w:tab/>
        </w:r>
        <w:r>
          <w:rPr>
            <w:noProof/>
            <w:webHidden/>
          </w:rPr>
          <w:fldChar w:fldCharType="begin"/>
        </w:r>
        <w:r>
          <w:rPr>
            <w:noProof/>
            <w:webHidden/>
          </w:rPr>
          <w:instrText xml:space="preserve"> PAGEREF _Toc236387300 \h </w:instrText>
        </w:r>
        <w:r>
          <w:rPr>
            <w:noProof/>
            <w:webHidden/>
          </w:rPr>
        </w:r>
        <w:r>
          <w:rPr>
            <w:noProof/>
            <w:webHidden/>
          </w:rPr>
          <w:fldChar w:fldCharType="separate"/>
        </w:r>
        <w:r>
          <w:rPr>
            <w:noProof/>
            <w:webHidden/>
          </w:rPr>
          <w:t>47</w:t>
        </w:r>
        <w:r>
          <w:rPr>
            <w:noProof/>
            <w:webHidden/>
          </w:rPr>
          <w:fldChar w:fldCharType="end"/>
        </w:r>
      </w:hyperlink>
    </w:p>
    <w:p w14:paraId="19CCFADC" w14:textId="1B3CDCE4" w:rsidR="00A017D7" w:rsidRDefault="00A017D7">
      <w:pPr>
        <w:pStyle w:val="TOC2"/>
        <w:tabs>
          <w:tab w:val="right" w:leader="dot" w:pos="9962"/>
        </w:tabs>
        <w:rPr>
          <w:rFonts w:eastAsiaTheme="minorEastAsia"/>
          <w:noProof/>
          <w:kern w:val="2"/>
          <w:lang w:val="en-GB" w:eastAsia="en-GB"/>
          <w14:ligatures w14:val="standardContextual"/>
        </w:rPr>
      </w:pPr>
      <w:hyperlink w:anchor="_Toc236387301" w:history="1">
        <w:r w:rsidRPr="00FF3118">
          <w:rPr>
            <w:rStyle w:val="Hyperlink"/>
            <w:noProof/>
            <w:lang w:val="it-IT"/>
          </w:rPr>
          <w:t>16.9 Numerosità campionaria effettiva (overlap-adjusted)</w:t>
        </w:r>
        <w:r>
          <w:rPr>
            <w:noProof/>
            <w:webHidden/>
          </w:rPr>
          <w:tab/>
        </w:r>
        <w:r>
          <w:rPr>
            <w:noProof/>
            <w:webHidden/>
          </w:rPr>
          <w:fldChar w:fldCharType="begin"/>
        </w:r>
        <w:r>
          <w:rPr>
            <w:noProof/>
            <w:webHidden/>
          </w:rPr>
          <w:instrText xml:space="preserve"> PAGEREF _Toc236387301 \h </w:instrText>
        </w:r>
        <w:r>
          <w:rPr>
            <w:noProof/>
            <w:webHidden/>
          </w:rPr>
        </w:r>
        <w:r>
          <w:rPr>
            <w:noProof/>
            <w:webHidden/>
          </w:rPr>
          <w:fldChar w:fldCharType="separate"/>
        </w:r>
        <w:r>
          <w:rPr>
            <w:noProof/>
            <w:webHidden/>
          </w:rPr>
          <w:t>47</w:t>
        </w:r>
        <w:r>
          <w:rPr>
            <w:noProof/>
            <w:webHidden/>
          </w:rPr>
          <w:fldChar w:fldCharType="end"/>
        </w:r>
      </w:hyperlink>
    </w:p>
    <w:p w14:paraId="67C098D2" w14:textId="659E2020" w:rsidR="00A017D7" w:rsidRDefault="00A017D7">
      <w:pPr>
        <w:pStyle w:val="TOC2"/>
        <w:tabs>
          <w:tab w:val="right" w:leader="dot" w:pos="9962"/>
        </w:tabs>
        <w:rPr>
          <w:rFonts w:eastAsiaTheme="minorEastAsia"/>
          <w:noProof/>
          <w:kern w:val="2"/>
          <w:lang w:val="en-GB" w:eastAsia="en-GB"/>
          <w14:ligatures w14:val="standardContextual"/>
        </w:rPr>
      </w:pPr>
      <w:hyperlink w:anchor="_Toc236387302" w:history="1">
        <w:r w:rsidRPr="00FF3118">
          <w:rPr>
            <w:rStyle w:val="Hyperlink"/>
            <w:noProof/>
            <w:lang w:val="it-IT"/>
          </w:rPr>
          <w:t>16.10 Gate di affidabilità: pubblicazione o soppressione della probabilità</w:t>
        </w:r>
        <w:r>
          <w:rPr>
            <w:noProof/>
            <w:webHidden/>
          </w:rPr>
          <w:tab/>
        </w:r>
        <w:r>
          <w:rPr>
            <w:noProof/>
            <w:webHidden/>
          </w:rPr>
          <w:fldChar w:fldCharType="begin"/>
        </w:r>
        <w:r>
          <w:rPr>
            <w:noProof/>
            <w:webHidden/>
          </w:rPr>
          <w:instrText xml:space="preserve"> PAGEREF _Toc236387302 \h </w:instrText>
        </w:r>
        <w:r>
          <w:rPr>
            <w:noProof/>
            <w:webHidden/>
          </w:rPr>
        </w:r>
        <w:r>
          <w:rPr>
            <w:noProof/>
            <w:webHidden/>
          </w:rPr>
          <w:fldChar w:fldCharType="separate"/>
        </w:r>
        <w:r>
          <w:rPr>
            <w:noProof/>
            <w:webHidden/>
          </w:rPr>
          <w:t>48</w:t>
        </w:r>
        <w:r>
          <w:rPr>
            <w:noProof/>
            <w:webHidden/>
          </w:rPr>
          <w:fldChar w:fldCharType="end"/>
        </w:r>
      </w:hyperlink>
    </w:p>
    <w:p w14:paraId="62B39464" w14:textId="7A338534" w:rsidR="00A017D7" w:rsidRDefault="00A017D7">
      <w:pPr>
        <w:pStyle w:val="TOC2"/>
        <w:tabs>
          <w:tab w:val="right" w:leader="dot" w:pos="9962"/>
        </w:tabs>
        <w:rPr>
          <w:rFonts w:eastAsiaTheme="minorEastAsia"/>
          <w:noProof/>
          <w:kern w:val="2"/>
          <w:lang w:val="en-GB" w:eastAsia="en-GB"/>
          <w14:ligatures w14:val="standardContextual"/>
        </w:rPr>
      </w:pPr>
      <w:hyperlink w:anchor="_Toc236387303" w:history="1">
        <w:r w:rsidRPr="00FF3118">
          <w:rPr>
            <w:rStyle w:val="Hyperlink"/>
            <w:noProof/>
            <w:lang w:val="it-IT"/>
          </w:rPr>
          <w:t>16.11 Diagnostiche aggiuntive (hit rate grezzo e stima empirica di Jeffreys)</w:t>
        </w:r>
        <w:r>
          <w:rPr>
            <w:noProof/>
            <w:webHidden/>
          </w:rPr>
          <w:tab/>
        </w:r>
        <w:r>
          <w:rPr>
            <w:noProof/>
            <w:webHidden/>
          </w:rPr>
          <w:fldChar w:fldCharType="begin"/>
        </w:r>
        <w:r>
          <w:rPr>
            <w:noProof/>
            <w:webHidden/>
          </w:rPr>
          <w:instrText xml:space="preserve"> PAGEREF _Toc236387303 \h </w:instrText>
        </w:r>
        <w:r>
          <w:rPr>
            <w:noProof/>
            <w:webHidden/>
          </w:rPr>
        </w:r>
        <w:r>
          <w:rPr>
            <w:noProof/>
            <w:webHidden/>
          </w:rPr>
          <w:fldChar w:fldCharType="separate"/>
        </w:r>
        <w:r>
          <w:rPr>
            <w:noProof/>
            <w:webHidden/>
          </w:rPr>
          <w:t>48</w:t>
        </w:r>
        <w:r>
          <w:rPr>
            <w:noProof/>
            <w:webHidden/>
          </w:rPr>
          <w:fldChar w:fldCharType="end"/>
        </w:r>
      </w:hyperlink>
    </w:p>
    <w:p w14:paraId="1E50B3F2" w14:textId="3DB81E3A" w:rsidR="00A017D7" w:rsidRDefault="00A017D7">
      <w:pPr>
        <w:pStyle w:val="TOC2"/>
        <w:tabs>
          <w:tab w:val="right" w:leader="dot" w:pos="9962"/>
        </w:tabs>
        <w:rPr>
          <w:rFonts w:eastAsiaTheme="minorEastAsia"/>
          <w:noProof/>
          <w:kern w:val="2"/>
          <w:lang w:val="en-GB" w:eastAsia="en-GB"/>
          <w14:ligatures w14:val="standardContextual"/>
        </w:rPr>
      </w:pPr>
      <w:hyperlink w:anchor="_Toc236387304" w:history="1">
        <w:r w:rsidRPr="00FF3118">
          <w:rPr>
            <w:rStyle w:val="Hyperlink"/>
            <w:noProof/>
            <w:lang w:val="it-IT"/>
          </w:rPr>
          <w:t>16.12 Parametri di configurazione del modulo direzionale</w:t>
        </w:r>
        <w:r>
          <w:rPr>
            <w:noProof/>
            <w:webHidden/>
          </w:rPr>
          <w:tab/>
        </w:r>
        <w:r>
          <w:rPr>
            <w:noProof/>
            <w:webHidden/>
          </w:rPr>
          <w:fldChar w:fldCharType="begin"/>
        </w:r>
        <w:r>
          <w:rPr>
            <w:noProof/>
            <w:webHidden/>
          </w:rPr>
          <w:instrText xml:space="preserve"> PAGEREF _Toc236387304 \h </w:instrText>
        </w:r>
        <w:r>
          <w:rPr>
            <w:noProof/>
            <w:webHidden/>
          </w:rPr>
        </w:r>
        <w:r>
          <w:rPr>
            <w:noProof/>
            <w:webHidden/>
          </w:rPr>
          <w:fldChar w:fldCharType="separate"/>
        </w:r>
        <w:r>
          <w:rPr>
            <w:noProof/>
            <w:webHidden/>
          </w:rPr>
          <w:t>49</w:t>
        </w:r>
        <w:r>
          <w:rPr>
            <w:noProof/>
            <w:webHidden/>
          </w:rPr>
          <w:fldChar w:fldCharType="end"/>
        </w:r>
      </w:hyperlink>
    </w:p>
    <w:p w14:paraId="191408CF" w14:textId="67FE25CB" w:rsidR="00A017D7" w:rsidRDefault="00A017D7">
      <w:pPr>
        <w:pStyle w:val="TOC2"/>
        <w:tabs>
          <w:tab w:val="right" w:leader="dot" w:pos="9962"/>
        </w:tabs>
        <w:rPr>
          <w:rFonts w:eastAsiaTheme="minorEastAsia"/>
          <w:noProof/>
          <w:kern w:val="2"/>
          <w:lang w:val="en-GB" w:eastAsia="en-GB"/>
          <w14:ligatures w14:val="standardContextual"/>
        </w:rPr>
      </w:pPr>
      <w:hyperlink w:anchor="_Toc236387305" w:history="1">
        <w:r w:rsidRPr="00FF3118">
          <w:rPr>
            <w:rStyle w:val="Hyperlink"/>
            <w:noProof/>
            <w:lang w:val="it-IT"/>
          </w:rPr>
          <w:t>16.13 Probabilità direzionale derivata dal modello (fallback residuale)</w:t>
        </w:r>
        <w:r>
          <w:rPr>
            <w:noProof/>
            <w:webHidden/>
          </w:rPr>
          <w:tab/>
        </w:r>
        <w:r>
          <w:rPr>
            <w:noProof/>
            <w:webHidden/>
          </w:rPr>
          <w:fldChar w:fldCharType="begin"/>
        </w:r>
        <w:r>
          <w:rPr>
            <w:noProof/>
            <w:webHidden/>
          </w:rPr>
          <w:instrText xml:space="preserve"> PAGEREF _Toc236387305 \h </w:instrText>
        </w:r>
        <w:r>
          <w:rPr>
            <w:noProof/>
            <w:webHidden/>
          </w:rPr>
        </w:r>
        <w:r>
          <w:rPr>
            <w:noProof/>
            <w:webHidden/>
          </w:rPr>
          <w:fldChar w:fldCharType="separate"/>
        </w:r>
        <w:r>
          <w:rPr>
            <w:noProof/>
            <w:webHidden/>
          </w:rPr>
          <w:t>49</w:t>
        </w:r>
        <w:r>
          <w:rPr>
            <w:noProof/>
            <w:webHidden/>
          </w:rPr>
          <w:fldChar w:fldCharType="end"/>
        </w:r>
      </w:hyperlink>
    </w:p>
    <w:p w14:paraId="30A2A206" w14:textId="49D2C035" w:rsidR="00A017D7" w:rsidRDefault="00A017D7">
      <w:pPr>
        <w:pStyle w:val="TOC2"/>
        <w:tabs>
          <w:tab w:val="right" w:leader="dot" w:pos="9962"/>
        </w:tabs>
        <w:rPr>
          <w:rFonts w:eastAsiaTheme="minorEastAsia"/>
          <w:noProof/>
          <w:kern w:val="2"/>
          <w:lang w:val="en-GB" w:eastAsia="en-GB"/>
          <w14:ligatures w14:val="standardContextual"/>
        </w:rPr>
      </w:pPr>
      <w:hyperlink w:anchor="_Toc236387306" w:history="1">
        <w:r w:rsidRPr="00FF3118">
          <w:rPr>
            <w:rStyle w:val="Hyperlink"/>
            <w:noProof/>
            <w:lang w:val="it-IT"/>
          </w:rPr>
          <w:t>16.14 Risoluzione della pubblicazione: precedenza del classificatore validato</w:t>
        </w:r>
        <w:r>
          <w:rPr>
            <w:noProof/>
            <w:webHidden/>
          </w:rPr>
          <w:tab/>
        </w:r>
        <w:r>
          <w:rPr>
            <w:noProof/>
            <w:webHidden/>
          </w:rPr>
          <w:fldChar w:fldCharType="begin"/>
        </w:r>
        <w:r>
          <w:rPr>
            <w:noProof/>
            <w:webHidden/>
          </w:rPr>
          <w:instrText xml:space="preserve"> PAGEREF _Toc236387306 \h </w:instrText>
        </w:r>
        <w:r>
          <w:rPr>
            <w:noProof/>
            <w:webHidden/>
          </w:rPr>
        </w:r>
        <w:r>
          <w:rPr>
            <w:noProof/>
            <w:webHidden/>
          </w:rPr>
          <w:fldChar w:fldCharType="separate"/>
        </w:r>
        <w:r>
          <w:rPr>
            <w:noProof/>
            <w:webHidden/>
          </w:rPr>
          <w:t>51</w:t>
        </w:r>
        <w:r>
          <w:rPr>
            <w:noProof/>
            <w:webHidden/>
          </w:rPr>
          <w:fldChar w:fldCharType="end"/>
        </w:r>
      </w:hyperlink>
    </w:p>
    <w:p w14:paraId="6A2E9C30" w14:textId="54581C24" w:rsidR="00A017D7" w:rsidRDefault="00A017D7">
      <w:pPr>
        <w:pStyle w:val="TOC2"/>
        <w:tabs>
          <w:tab w:val="right" w:leader="dot" w:pos="9962"/>
        </w:tabs>
        <w:rPr>
          <w:rFonts w:eastAsiaTheme="minorEastAsia"/>
          <w:noProof/>
          <w:kern w:val="2"/>
          <w:lang w:val="en-GB" w:eastAsia="en-GB"/>
          <w14:ligatures w14:val="standardContextual"/>
        </w:rPr>
      </w:pPr>
      <w:hyperlink w:anchor="_Toc236387307" w:history="1">
        <w:r w:rsidRPr="00FF3118">
          <w:rPr>
            <w:rStyle w:val="Hyperlink"/>
            <w:noProof/>
          </w:rPr>
          <w:t>16.15 Sintesi: i tre sistemi di anchor del motore</w:t>
        </w:r>
        <w:r>
          <w:rPr>
            <w:noProof/>
            <w:webHidden/>
          </w:rPr>
          <w:tab/>
        </w:r>
        <w:r>
          <w:rPr>
            <w:noProof/>
            <w:webHidden/>
          </w:rPr>
          <w:fldChar w:fldCharType="begin"/>
        </w:r>
        <w:r>
          <w:rPr>
            <w:noProof/>
            <w:webHidden/>
          </w:rPr>
          <w:instrText xml:space="preserve"> PAGEREF _Toc236387307 \h </w:instrText>
        </w:r>
        <w:r>
          <w:rPr>
            <w:noProof/>
            <w:webHidden/>
          </w:rPr>
        </w:r>
        <w:r>
          <w:rPr>
            <w:noProof/>
            <w:webHidden/>
          </w:rPr>
          <w:fldChar w:fldCharType="separate"/>
        </w:r>
        <w:r>
          <w:rPr>
            <w:noProof/>
            <w:webHidden/>
          </w:rPr>
          <w:t>51</w:t>
        </w:r>
        <w:r>
          <w:rPr>
            <w:noProof/>
            <w:webHidden/>
          </w:rPr>
          <w:fldChar w:fldCharType="end"/>
        </w:r>
      </w:hyperlink>
    </w:p>
    <w:p w14:paraId="192ADFBE" w14:textId="531D45AB" w:rsidR="00A017D7" w:rsidRDefault="00A017D7">
      <w:pPr>
        <w:pStyle w:val="TOC1"/>
        <w:tabs>
          <w:tab w:val="right" w:leader="dot" w:pos="9962"/>
        </w:tabs>
        <w:rPr>
          <w:rFonts w:eastAsiaTheme="minorEastAsia"/>
          <w:noProof/>
          <w:kern w:val="2"/>
          <w:lang w:val="en-GB" w:eastAsia="en-GB"/>
          <w14:ligatures w14:val="standardContextual"/>
        </w:rPr>
      </w:pPr>
      <w:hyperlink w:anchor="_Toc236387308" w:history="1">
        <w:r w:rsidRPr="00FF3118">
          <w:rPr>
            <w:rStyle w:val="Hyperlink"/>
            <w:noProof/>
            <w:lang w:val="it-IT"/>
          </w:rPr>
          <w:t>17. Payload finale e semantica operativa</w:t>
        </w:r>
        <w:r>
          <w:rPr>
            <w:noProof/>
            <w:webHidden/>
          </w:rPr>
          <w:tab/>
        </w:r>
        <w:r>
          <w:rPr>
            <w:noProof/>
            <w:webHidden/>
          </w:rPr>
          <w:fldChar w:fldCharType="begin"/>
        </w:r>
        <w:r>
          <w:rPr>
            <w:noProof/>
            <w:webHidden/>
          </w:rPr>
          <w:instrText xml:space="preserve"> PAGEREF _Toc236387308 \h </w:instrText>
        </w:r>
        <w:r>
          <w:rPr>
            <w:noProof/>
            <w:webHidden/>
          </w:rPr>
        </w:r>
        <w:r>
          <w:rPr>
            <w:noProof/>
            <w:webHidden/>
          </w:rPr>
          <w:fldChar w:fldCharType="separate"/>
        </w:r>
        <w:r>
          <w:rPr>
            <w:noProof/>
            <w:webHidden/>
          </w:rPr>
          <w:t>52</w:t>
        </w:r>
        <w:r>
          <w:rPr>
            <w:noProof/>
            <w:webHidden/>
          </w:rPr>
          <w:fldChar w:fldCharType="end"/>
        </w:r>
      </w:hyperlink>
    </w:p>
    <w:p w14:paraId="1CD62AA2" w14:textId="06BA74CB" w:rsidR="00A017D7" w:rsidRDefault="00A017D7">
      <w:pPr>
        <w:pStyle w:val="TOC2"/>
        <w:tabs>
          <w:tab w:val="right" w:leader="dot" w:pos="9962"/>
        </w:tabs>
        <w:rPr>
          <w:rFonts w:eastAsiaTheme="minorEastAsia"/>
          <w:noProof/>
          <w:kern w:val="2"/>
          <w:lang w:val="en-GB" w:eastAsia="en-GB"/>
          <w14:ligatures w14:val="standardContextual"/>
        </w:rPr>
      </w:pPr>
      <w:hyperlink w:anchor="_Toc236387309" w:history="1">
        <w:r w:rsidRPr="00FF3118">
          <w:rPr>
            <w:rStyle w:val="Hyperlink"/>
            <w:noProof/>
          </w:rPr>
          <w:t>17.1 Modalità di report del percorso single-asset</w:t>
        </w:r>
        <w:r>
          <w:rPr>
            <w:noProof/>
            <w:webHidden/>
          </w:rPr>
          <w:tab/>
        </w:r>
        <w:r>
          <w:rPr>
            <w:noProof/>
            <w:webHidden/>
          </w:rPr>
          <w:fldChar w:fldCharType="begin"/>
        </w:r>
        <w:r>
          <w:rPr>
            <w:noProof/>
            <w:webHidden/>
          </w:rPr>
          <w:instrText xml:space="preserve"> PAGEREF _Toc236387309 \h </w:instrText>
        </w:r>
        <w:r>
          <w:rPr>
            <w:noProof/>
            <w:webHidden/>
          </w:rPr>
        </w:r>
        <w:r>
          <w:rPr>
            <w:noProof/>
            <w:webHidden/>
          </w:rPr>
          <w:fldChar w:fldCharType="separate"/>
        </w:r>
        <w:r>
          <w:rPr>
            <w:noProof/>
            <w:webHidden/>
          </w:rPr>
          <w:t>53</w:t>
        </w:r>
        <w:r>
          <w:rPr>
            <w:noProof/>
            <w:webHidden/>
          </w:rPr>
          <w:fldChar w:fldCharType="end"/>
        </w:r>
      </w:hyperlink>
    </w:p>
    <w:p w14:paraId="5F2E3B94" w14:textId="5CFB0C86" w:rsidR="00A017D7" w:rsidRDefault="00A017D7">
      <w:pPr>
        <w:pStyle w:val="TOC1"/>
        <w:tabs>
          <w:tab w:val="right" w:leader="dot" w:pos="9962"/>
        </w:tabs>
        <w:rPr>
          <w:rFonts w:eastAsiaTheme="minorEastAsia"/>
          <w:noProof/>
          <w:kern w:val="2"/>
          <w:lang w:val="en-GB" w:eastAsia="en-GB"/>
          <w14:ligatures w14:val="standardContextual"/>
        </w:rPr>
      </w:pPr>
      <w:hyperlink w:anchor="_Toc236387310" w:history="1">
        <w:r w:rsidRPr="00FF3118">
          <w:rPr>
            <w:rStyle w:val="Hyperlink"/>
            <w:noProof/>
            <w:lang w:val="it-IT"/>
          </w:rPr>
          <w:t>18. Deduplicazione job, progress e cache</w:t>
        </w:r>
        <w:r>
          <w:rPr>
            <w:noProof/>
            <w:webHidden/>
          </w:rPr>
          <w:tab/>
        </w:r>
        <w:r>
          <w:rPr>
            <w:noProof/>
            <w:webHidden/>
          </w:rPr>
          <w:fldChar w:fldCharType="begin"/>
        </w:r>
        <w:r>
          <w:rPr>
            <w:noProof/>
            <w:webHidden/>
          </w:rPr>
          <w:instrText xml:space="preserve"> PAGEREF _Toc236387310 \h </w:instrText>
        </w:r>
        <w:r>
          <w:rPr>
            <w:noProof/>
            <w:webHidden/>
          </w:rPr>
        </w:r>
        <w:r>
          <w:rPr>
            <w:noProof/>
            <w:webHidden/>
          </w:rPr>
          <w:fldChar w:fldCharType="separate"/>
        </w:r>
        <w:r>
          <w:rPr>
            <w:noProof/>
            <w:webHidden/>
          </w:rPr>
          <w:t>53</w:t>
        </w:r>
        <w:r>
          <w:rPr>
            <w:noProof/>
            <w:webHidden/>
          </w:rPr>
          <w:fldChar w:fldCharType="end"/>
        </w:r>
      </w:hyperlink>
    </w:p>
    <w:p w14:paraId="0BB0757C" w14:textId="2815AE76" w:rsidR="00A017D7" w:rsidRDefault="00A017D7">
      <w:pPr>
        <w:pStyle w:val="TOC2"/>
        <w:tabs>
          <w:tab w:val="right" w:leader="dot" w:pos="9962"/>
        </w:tabs>
        <w:rPr>
          <w:rFonts w:eastAsiaTheme="minorEastAsia"/>
          <w:noProof/>
          <w:kern w:val="2"/>
          <w:lang w:val="en-GB" w:eastAsia="en-GB"/>
          <w14:ligatures w14:val="standardContextual"/>
        </w:rPr>
      </w:pPr>
      <w:hyperlink w:anchor="_Toc236387311" w:history="1">
        <w:r w:rsidRPr="00FF3118">
          <w:rPr>
            <w:rStyle w:val="Hyperlink"/>
            <w:noProof/>
            <w:lang w:val="it-IT"/>
          </w:rPr>
          <w:t>18.1 Deduplicazione richieste identiche</w:t>
        </w:r>
        <w:r>
          <w:rPr>
            <w:noProof/>
            <w:webHidden/>
          </w:rPr>
          <w:tab/>
        </w:r>
        <w:r>
          <w:rPr>
            <w:noProof/>
            <w:webHidden/>
          </w:rPr>
          <w:fldChar w:fldCharType="begin"/>
        </w:r>
        <w:r>
          <w:rPr>
            <w:noProof/>
            <w:webHidden/>
          </w:rPr>
          <w:instrText xml:space="preserve"> PAGEREF _Toc236387311 \h </w:instrText>
        </w:r>
        <w:r>
          <w:rPr>
            <w:noProof/>
            <w:webHidden/>
          </w:rPr>
        </w:r>
        <w:r>
          <w:rPr>
            <w:noProof/>
            <w:webHidden/>
          </w:rPr>
          <w:fldChar w:fldCharType="separate"/>
        </w:r>
        <w:r>
          <w:rPr>
            <w:noProof/>
            <w:webHidden/>
          </w:rPr>
          <w:t>53</w:t>
        </w:r>
        <w:r>
          <w:rPr>
            <w:noProof/>
            <w:webHidden/>
          </w:rPr>
          <w:fldChar w:fldCharType="end"/>
        </w:r>
      </w:hyperlink>
    </w:p>
    <w:p w14:paraId="0B97CBED" w14:textId="4894E6D1" w:rsidR="00A017D7" w:rsidRDefault="00A017D7">
      <w:pPr>
        <w:pStyle w:val="TOC2"/>
        <w:tabs>
          <w:tab w:val="right" w:leader="dot" w:pos="9962"/>
        </w:tabs>
        <w:rPr>
          <w:rFonts w:eastAsiaTheme="minorEastAsia"/>
          <w:noProof/>
          <w:kern w:val="2"/>
          <w:lang w:val="en-GB" w:eastAsia="en-GB"/>
          <w14:ligatures w14:val="standardContextual"/>
        </w:rPr>
      </w:pPr>
      <w:hyperlink w:anchor="_Toc236387312" w:history="1">
        <w:r w:rsidRPr="00FF3118">
          <w:rPr>
            <w:rStyle w:val="Hyperlink"/>
            <w:noProof/>
            <w:lang w:val="it-IT"/>
          </w:rPr>
          <w:t>18.2 ETA</w:t>
        </w:r>
        <w:r>
          <w:rPr>
            <w:noProof/>
            <w:webHidden/>
          </w:rPr>
          <w:tab/>
        </w:r>
        <w:r>
          <w:rPr>
            <w:noProof/>
            <w:webHidden/>
          </w:rPr>
          <w:fldChar w:fldCharType="begin"/>
        </w:r>
        <w:r>
          <w:rPr>
            <w:noProof/>
            <w:webHidden/>
          </w:rPr>
          <w:instrText xml:space="preserve"> PAGEREF _Toc236387312 \h </w:instrText>
        </w:r>
        <w:r>
          <w:rPr>
            <w:noProof/>
            <w:webHidden/>
          </w:rPr>
        </w:r>
        <w:r>
          <w:rPr>
            <w:noProof/>
            <w:webHidden/>
          </w:rPr>
          <w:fldChar w:fldCharType="separate"/>
        </w:r>
        <w:r>
          <w:rPr>
            <w:noProof/>
            <w:webHidden/>
          </w:rPr>
          <w:t>54</w:t>
        </w:r>
        <w:r>
          <w:rPr>
            <w:noProof/>
            <w:webHidden/>
          </w:rPr>
          <w:fldChar w:fldCharType="end"/>
        </w:r>
      </w:hyperlink>
    </w:p>
    <w:p w14:paraId="5976E736" w14:textId="0BFE1502" w:rsidR="00A017D7" w:rsidRDefault="00A017D7">
      <w:pPr>
        <w:pStyle w:val="TOC2"/>
        <w:tabs>
          <w:tab w:val="right" w:leader="dot" w:pos="9962"/>
        </w:tabs>
        <w:rPr>
          <w:rFonts w:eastAsiaTheme="minorEastAsia"/>
          <w:noProof/>
          <w:kern w:val="2"/>
          <w:lang w:val="en-GB" w:eastAsia="en-GB"/>
          <w14:ligatures w14:val="standardContextual"/>
        </w:rPr>
      </w:pPr>
      <w:hyperlink w:anchor="_Toc236387313" w:history="1">
        <w:r w:rsidRPr="00FF3118">
          <w:rPr>
            <w:rStyle w:val="Hyperlink"/>
            <w:noProof/>
            <w:lang w:val="it-IT"/>
          </w:rPr>
          <w:t>18.3 Cache pesi</w:t>
        </w:r>
        <w:r>
          <w:rPr>
            <w:noProof/>
            <w:webHidden/>
          </w:rPr>
          <w:tab/>
        </w:r>
        <w:r>
          <w:rPr>
            <w:noProof/>
            <w:webHidden/>
          </w:rPr>
          <w:fldChar w:fldCharType="begin"/>
        </w:r>
        <w:r>
          <w:rPr>
            <w:noProof/>
            <w:webHidden/>
          </w:rPr>
          <w:instrText xml:space="preserve"> PAGEREF _Toc236387313 \h </w:instrText>
        </w:r>
        <w:r>
          <w:rPr>
            <w:noProof/>
            <w:webHidden/>
          </w:rPr>
        </w:r>
        <w:r>
          <w:rPr>
            <w:noProof/>
            <w:webHidden/>
          </w:rPr>
          <w:fldChar w:fldCharType="separate"/>
        </w:r>
        <w:r>
          <w:rPr>
            <w:noProof/>
            <w:webHidden/>
          </w:rPr>
          <w:t>54</w:t>
        </w:r>
        <w:r>
          <w:rPr>
            <w:noProof/>
            <w:webHidden/>
          </w:rPr>
          <w:fldChar w:fldCharType="end"/>
        </w:r>
      </w:hyperlink>
    </w:p>
    <w:p w14:paraId="4190F196" w14:textId="0B0054B5" w:rsidR="00A017D7" w:rsidRDefault="00A017D7">
      <w:pPr>
        <w:pStyle w:val="TOC1"/>
        <w:tabs>
          <w:tab w:val="right" w:leader="dot" w:pos="9962"/>
        </w:tabs>
        <w:rPr>
          <w:rFonts w:eastAsiaTheme="minorEastAsia"/>
          <w:noProof/>
          <w:kern w:val="2"/>
          <w:lang w:val="en-GB" w:eastAsia="en-GB"/>
          <w14:ligatures w14:val="standardContextual"/>
        </w:rPr>
      </w:pPr>
      <w:hyperlink w:anchor="_Toc236387314" w:history="1">
        <w:r w:rsidRPr="00FF3118">
          <w:rPr>
            <w:rStyle w:val="Hyperlink"/>
            <w:noProof/>
            <w:lang w:val="it-IT"/>
          </w:rPr>
          <w:t>19. Sintesi normativa finale</w:t>
        </w:r>
        <w:r>
          <w:rPr>
            <w:noProof/>
            <w:webHidden/>
          </w:rPr>
          <w:tab/>
        </w:r>
        <w:r>
          <w:rPr>
            <w:noProof/>
            <w:webHidden/>
          </w:rPr>
          <w:fldChar w:fldCharType="begin"/>
        </w:r>
        <w:r>
          <w:rPr>
            <w:noProof/>
            <w:webHidden/>
          </w:rPr>
          <w:instrText xml:space="preserve"> PAGEREF _Toc236387314 \h </w:instrText>
        </w:r>
        <w:r>
          <w:rPr>
            <w:noProof/>
            <w:webHidden/>
          </w:rPr>
        </w:r>
        <w:r>
          <w:rPr>
            <w:noProof/>
            <w:webHidden/>
          </w:rPr>
          <w:fldChar w:fldCharType="separate"/>
        </w:r>
        <w:r>
          <w:rPr>
            <w:noProof/>
            <w:webHidden/>
          </w:rPr>
          <w:t>54</w:t>
        </w:r>
        <w:r>
          <w:rPr>
            <w:noProof/>
            <w:webHidden/>
          </w:rPr>
          <w:fldChar w:fldCharType="end"/>
        </w:r>
      </w:hyperlink>
    </w:p>
    <w:p w14:paraId="7090E1B4" w14:textId="714A4B67" w:rsidR="00A017D7" w:rsidRDefault="00A017D7">
      <w:pPr>
        <w:pStyle w:val="TOC1"/>
        <w:tabs>
          <w:tab w:val="right" w:leader="dot" w:pos="9962"/>
        </w:tabs>
        <w:rPr>
          <w:rFonts w:eastAsiaTheme="minorEastAsia"/>
          <w:noProof/>
          <w:kern w:val="2"/>
          <w:lang w:val="en-GB" w:eastAsia="en-GB"/>
          <w14:ligatures w14:val="standardContextual"/>
        </w:rPr>
      </w:pPr>
      <w:hyperlink w:anchor="_Toc236387315" w:history="1">
        <w:r w:rsidRPr="00FF3118">
          <w:rPr>
            <w:rStyle w:val="Hyperlink"/>
            <w:noProof/>
            <w:lang w:val="it-IT"/>
          </w:rPr>
          <w:t>20. Portfolio Mode</w:t>
        </w:r>
        <w:r>
          <w:rPr>
            <w:noProof/>
            <w:webHidden/>
          </w:rPr>
          <w:tab/>
        </w:r>
        <w:r>
          <w:rPr>
            <w:noProof/>
            <w:webHidden/>
          </w:rPr>
          <w:fldChar w:fldCharType="begin"/>
        </w:r>
        <w:r>
          <w:rPr>
            <w:noProof/>
            <w:webHidden/>
          </w:rPr>
          <w:instrText xml:space="preserve"> PAGEREF _Toc236387315 \h </w:instrText>
        </w:r>
        <w:r>
          <w:rPr>
            <w:noProof/>
            <w:webHidden/>
          </w:rPr>
        </w:r>
        <w:r>
          <w:rPr>
            <w:noProof/>
            <w:webHidden/>
          </w:rPr>
          <w:fldChar w:fldCharType="separate"/>
        </w:r>
        <w:r>
          <w:rPr>
            <w:noProof/>
            <w:webHidden/>
          </w:rPr>
          <w:t>56</w:t>
        </w:r>
        <w:r>
          <w:rPr>
            <w:noProof/>
            <w:webHidden/>
          </w:rPr>
          <w:fldChar w:fldCharType="end"/>
        </w:r>
      </w:hyperlink>
    </w:p>
    <w:p w14:paraId="012FAAE9" w14:textId="6B9BDE7B" w:rsidR="00A017D7" w:rsidRDefault="00A017D7">
      <w:pPr>
        <w:pStyle w:val="TOC2"/>
        <w:tabs>
          <w:tab w:val="right" w:leader="dot" w:pos="9962"/>
        </w:tabs>
        <w:rPr>
          <w:rFonts w:eastAsiaTheme="minorEastAsia"/>
          <w:noProof/>
          <w:kern w:val="2"/>
          <w:lang w:val="en-GB" w:eastAsia="en-GB"/>
          <w14:ligatures w14:val="standardContextual"/>
        </w:rPr>
      </w:pPr>
      <w:hyperlink w:anchor="_Toc236387316" w:history="1">
        <w:r w:rsidRPr="00FF3118">
          <w:rPr>
            <w:rStyle w:val="Hyperlink"/>
            <w:noProof/>
            <w:lang w:val="it-IT"/>
          </w:rPr>
          <w:t>20.1 Panoramica</w:t>
        </w:r>
        <w:r>
          <w:rPr>
            <w:noProof/>
            <w:webHidden/>
          </w:rPr>
          <w:tab/>
        </w:r>
        <w:r>
          <w:rPr>
            <w:noProof/>
            <w:webHidden/>
          </w:rPr>
          <w:fldChar w:fldCharType="begin"/>
        </w:r>
        <w:r>
          <w:rPr>
            <w:noProof/>
            <w:webHidden/>
          </w:rPr>
          <w:instrText xml:space="preserve"> PAGEREF _Toc236387316 \h </w:instrText>
        </w:r>
        <w:r>
          <w:rPr>
            <w:noProof/>
            <w:webHidden/>
          </w:rPr>
        </w:r>
        <w:r>
          <w:rPr>
            <w:noProof/>
            <w:webHidden/>
          </w:rPr>
          <w:fldChar w:fldCharType="separate"/>
        </w:r>
        <w:r>
          <w:rPr>
            <w:noProof/>
            <w:webHidden/>
          </w:rPr>
          <w:t>56</w:t>
        </w:r>
        <w:r>
          <w:rPr>
            <w:noProof/>
            <w:webHidden/>
          </w:rPr>
          <w:fldChar w:fldCharType="end"/>
        </w:r>
      </w:hyperlink>
    </w:p>
    <w:p w14:paraId="1CBC4B25" w14:textId="4D07F5E8" w:rsidR="00A017D7" w:rsidRDefault="00A017D7">
      <w:pPr>
        <w:pStyle w:val="TOC2"/>
        <w:tabs>
          <w:tab w:val="right" w:leader="dot" w:pos="9962"/>
        </w:tabs>
        <w:rPr>
          <w:rFonts w:eastAsiaTheme="minorEastAsia"/>
          <w:noProof/>
          <w:kern w:val="2"/>
          <w:lang w:val="en-GB" w:eastAsia="en-GB"/>
          <w14:ligatures w14:val="standardContextual"/>
        </w:rPr>
      </w:pPr>
      <w:hyperlink w:anchor="_Toc236387317" w:history="1">
        <w:r w:rsidRPr="00FF3118">
          <w:rPr>
            <w:rStyle w:val="Hyperlink"/>
            <w:noProof/>
          </w:rPr>
          <w:t>20.2 Flusso operativo dell’interfaccia</w:t>
        </w:r>
        <w:r>
          <w:rPr>
            <w:noProof/>
            <w:webHidden/>
          </w:rPr>
          <w:tab/>
        </w:r>
        <w:r>
          <w:rPr>
            <w:noProof/>
            <w:webHidden/>
          </w:rPr>
          <w:fldChar w:fldCharType="begin"/>
        </w:r>
        <w:r>
          <w:rPr>
            <w:noProof/>
            <w:webHidden/>
          </w:rPr>
          <w:instrText xml:space="preserve"> PAGEREF _Toc236387317 \h </w:instrText>
        </w:r>
        <w:r>
          <w:rPr>
            <w:noProof/>
            <w:webHidden/>
          </w:rPr>
        </w:r>
        <w:r>
          <w:rPr>
            <w:noProof/>
            <w:webHidden/>
          </w:rPr>
          <w:fldChar w:fldCharType="separate"/>
        </w:r>
        <w:r>
          <w:rPr>
            <w:noProof/>
            <w:webHidden/>
          </w:rPr>
          <w:t>56</w:t>
        </w:r>
        <w:r>
          <w:rPr>
            <w:noProof/>
            <w:webHidden/>
          </w:rPr>
          <w:fldChar w:fldCharType="end"/>
        </w:r>
      </w:hyperlink>
    </w:p>
    <w:p w14:paraId="7E9B7B24" w14:textId="32376257" w:rsidR="00A017D7" w:rsidRDefault="00A017D7">
      <w:pPr>
        <w:pStyle w:val="TOC2"/>
        <w:tabs>
          <w:tab w:val="right" w:leader="dot" w:pos="9962"/>
        </w:tabs>
        <w:rPr>
          <w:rFonts w:eastAsiaTheme="minorEastAsia"/>
          <w:noProof/>
          <w:kern w:val="2"/>
          <w:lang w:val="en-GB" w:eastAsia="en-GB"/>
          <w14:ligatures w14:val="standardContextual"/>
        </w:rPr>
      </w:pPr>
      <w:hyperlink w:anchor="_Toc236387318" w:history="1">
        <w:r w:rsidRPr="00FF3118">
          <w:rPr>
            <w:rStyle w:val="Hyperlink"/>
            <w:noProof/>
            <w:lang w:val="it-IT"/>
          </w:rPr>
          <w:t>20.3 Frequenza adattiva dei rendimenti</w:t>
        </w:r>
        <w:r>
          <w:rPr>
            <w:noProof/>
            <w:webHidden/>
          </w:rPr>
          <w:tab/>
        </w:r>
        <w:r>
          <w:rPr>
            <w:noProof/>
            <w:webHidden/>
          </w:rPr>
          <w:fldChar w:fldCharType="begin"/>
        </w:r>
        <w:r>
          <w:rPr>
            <w:noProof/>
            <w:webHidden/>
          </w:rPr>
          <w:instrText xml:space="preserve"> PAGEREF _Toc236387318 \h </w:instrText>
        </w:r>
        <w:r>
          <w:rPr>
            <w:noProof/>
            <w:webHidden/>
          </w:rPr>
        </w:r>
        <w:r>
          <w:rPr>
            <w:noProof/>
            <w:webHidden/>
          </w:rPr>
          <w:fldChar w:fldCharType="separate"/>
        </w:r>
        <w:r>
          <w:rPr>
            <w:noProof/>
            <w:webHidden/>
          </w:rPr>
          <w:t>57</w:t>
        </w:r>
        <w:r>
          <w:rPr>
            <w:noProof/>
            <w:webHidden/>
          </w:rPr>
          <w:fldChar w:fldCharType="end"/>
        </w:r>
      </w:hyperlink>
    </w:p>
    <w:p w14:paraId="2DD02255" w14:textId="39E23207" w:rsidR="00A017D7" w:rsidRDefault="00A017D7">
      <w:pPr>
        <w:pStyle w:val="TOC2"/>
        <w:tabs>
          <w:tab w:val="right" w:leader="dot" w:pos="9962"/>
        </w:tabs>
        <w:rPr>
          <w:rFonts w:eastAsiaTheme="minorEastAsia"/>
          <w:noProof/>
          <w:kern w:val="2"/>
          <w:lang w:val="en-GB" w:eastAsia="en-GB"/>
          <w14:ligatures w14:val="standardContextual"/>
        </w:rPr>
      </w:pPr>
      <w:hyperlink w:anchor="_Toc236387319" w:history="1">
        <w:r w:rsidRPr="00FF3118">
          <w:rPr>
            <w:rStyle w:val="Hyperlink"/>
            <w:noProof/>
            <w:lang w:val="it-IT"/>
          </w:rPr>
          <w:t>20.4 Pesi di portafoglio e decomposizione del rischio</w:t>
        </w:r>
        <w:r>
          <w:rPr>
            <w:noProof/>
            <w:webHidden/>
          </w:rPr>
          <w:tab/>
        </w:r>
        <w:r>
          <w:rPr>
            <w:noProof/>
            <w:webHidden/>
          </w:rPr>
          <w:fldChar w:fldCharType="begin"/>
        </w:r>
        <w:r>
          <w:rPr>
            <w:noProof/>
            <w:webHidden/>
          </w:rPr>
          <w:instrText xml:space="preserve"> PAGEREF _Toc236387319 \h </w:instrText>
        </w:r>
        <w:r>
          <w:rPr>
            <w:noProof/>
            <w:webHidden/>
          </w:rPr>
        </w:r>
        <w:r>
          <w:rPr>
            <w:noProof/>
            <w:webHidden/>
          </w:rPr>
          <w:fldChar w:fldCharType="separate"/>
        </w:r>
        <w:r>
          <w:rPr>
            <w:noProof/>
            <w:webHidden/>
          </w:rPr>
          <w:t>57</w:t>
        </w:r>
        <w:r>
          <w:rPr>
            <w:noProof/>
            <w:webHidden/>
          </w:rPr>
          <w:fldChar w:fldCharType="end"/>
        </w:r>
      </w:hyperlink>
    </w:p>
    <w:p w14:paraId="24C1D7B2" w14:textId="3C820BC9" w:rsidR="00A017D7" w:rsidRDefault="00A017D7">
      <w:pPr>
        <w:pStyle w:val="TOC2"/>
        <w:tabs>
          <w:tab w:val="right" w:leader="dot" w:pos="9962"/>
        </w:tabs>
        <w:rPr>
          <w:rFonts w:eastAsiaTheme="minorEastAsia"/>
          <w:noProof/>
          <w:kern w:val="2"/>
          <w:lang w:val="en-GB" w:eastAsia="en-GB"/>
          <w14:ligatures w14:val="standardContextual"/>
        </w:rPr>
      </w:pPr>
      <w:hyperlink w:anchor="_Toc236387320" w:history="1">
        <w:r w:rsidRPr="00FF3118">
          <w:rPr>
            <w:rStyle w:val="Hyperlink"/>
            <w:noProof/>
            <w:lang w:val="it-IT"/>
          </w:rPr>
          <w:t>20.5 Statistiche calcolate e guida interpretativa non vincolante</w:t>
        </w:r>
        <w:r>
          <w:rPr>
            <w:noProof/>
            <w:webHidden/>
          </w:rPr>
          <w:tab/>
        </w:r>
        <w:r>
          <w:rPr>
            <w:noProof/>
            <w:webHidden/>
          </w:rPr>
          <w:fldChar w:fldCharType="begin"/>
        </w:r>
        <w:r>
          <w:rPr>
            <w:noProof/>
            <w:webHidden/>
          </w:rPr>
          <w:instrText xml:space="preserve"> PAGEREF _Toc236387320 \h </w:instrText>
        </w:r>
        <w:r>
          <w:rPr>
            <w:noProof/>
            <w:webHidden/>
          </w:rPr>
        </w:r>
        <w:r>
          <w:rPr>
            <w:noProof/>
            <w:webHidden/>
          </w:rPr>
          <w:fldChar w:fldCharType="separate"/>
        </w:r>
        <w:r>
          <w:rPr>
            <w:noProof/>
            <w:webHidden/>
          </w:rPr>
          <w:t>58</w:t>
        </w:r>
        <w:r>
          <w:rPr>
            <w:noProof/>
            <w:webHidden/>
          </w:rPr>
          <w:fldChar w:fldCharType="end"/>
        </w:r>
      </w:hyperlink>
    </w:p>
    <w:p w14:paraId="3B7C7FB6" w14:textId="13E1E3F3" w:rsidR="00A017D7" w:rsidRDefault="00A017D7">
      <w:pPr>
        <w:pStyle w:val="TOC2"/>
        <w:tabs>
          <w:tab w:val="right" w:leader="dot" w:pos="9962"/>
        </w:tabs>
        <w:rPr>
          <w:rFonts w:eastAsiaTheme="minorEastAsia"/>
          <w:noProof/>
          <w:kern w:val="2"/>
          <w:lang w:val="en-GB" w:eastAsia="en-GB"/>
          <w14:ligatures w14:val="standardContextual"/>
        </w:rPr>
      </w:pPr>
      <w:hyperlink w:anchor="_Toc236387321" w:history="1">
        <w:r w:rsidRPr="00FF3118">
          <w:rPr>
            <w:rStyle w:val="Hyperlink"/>
            <w:noProof/>
            <w:lang w:val="it-IT"/>
          </w:rPr>
          <w:t>20.6 Aggregazione previsioni lato server</w:t>
        </w:r>
        <w:r>
          <w:rPr>
            <w:noProof/>
            <w:webHidden/>
          </w:rPr>
          <w:tab/>
        </w:r>
        <w:r>
          <w:rPr>
            <w:noProof/>
            <w:webHidden/>
          </w:rPr>
          <w:fldChar w:fldCharType="begin"/>
        </w:r>
        <w:r>
          <w:rPr>
            <w:noProof/>
            <w:webHidden/>
          </w:rPr>
          <w:instrText xml:space="preserve"> PAGEREF _Toc236387321 \h </w:instrText>
        </w:r>
        <w:r>
          <w:rPr>
            <w:noProof/>
            <w:webHidden/>
          </w:rPr>
        </w:r>
        <w:r>
          <w:rPr>
            <w:noProof/>
            <w:webHidden/>
          </w:rPr>
          <w:fldChar w:fldCharType="separate"/>
        </w:r>
        <w:r>
          <w:rPr>
            <w:noProof/>
            <w:webHidden/>
          </w:rPr>
          <w:t>62</w:t>
        </w:r>
        <w:r>
          <w:rPr>
            <w:noProof/>
            <w:webHidden/>
          </w:rPr>
          <w:fldChar w:fldCharType="end"/>
        </w:r>
      </w:hyperlink>
    </w:p>
    <w:p w14:paraId="323C3DDD" w14:textId="06D983EA" w:rsidR="00A017D7" w:rsidRDefault="00A017D7">
      <w:pPr>
        <w:pStyle w:val="TOC2"/>
        <w:tabs>
          <w:tab w:val="right" w:leader="dot" w:pos="9962"/>
        </w:tabs>
        <w:rPr>
          <w:rFonts w:eastAsiaTheme="minorEastAsia"/>
          <w:noProof/>
          <w:kern w:val="2"/>
          <w:lang w:val="en-GB" w:eastAsia="en-GB"/>
          <w14:ligatures w14:val="standardContextual"/>
        </w:rPr>
      </w:pPr>
      <w:hyperlink w:anchor="_Toc236387322" w:history="1">
        <w:r w:rsidRPr="00FF3118">
          <w:rPr>
            <w:rStyle w:val="Hyperlink"/>
            <w:noProof/>
          </w:rPr>
          <w:t>20.7 Report generati e notifiche</w:t>
        </w:r>
        <w:r>
          <w:rPr>
            <w:noProof/>
            <w:webHidden/>
          </w:rPr>
          <w:tab/>
        </w:r>
        <w:r>
          <w:rPr>
            <w:noProof/>
            <w:webHidden/>
          </w:rPr>
          <w:fldChar w:fldCharType="begin"/>
        </w:r>
        <w:r>
          <w:rPr>
            <w:noProof/>
            <w:webHidden/>
          </w:rPr>
          <w:instrText xml:space="preserve"> PAGEREF _Toc236387322 \h </w:instrText>
        </w:r>
        <w:r>
          <w:rPr>
            <w:noProof/>
            <w:webHidden/>
          </w:rPr>
        </w:r>
        <w:r>
          <w:rPr>
            <w:noProof/>
            <w:webHidden/>
          </w:rPr>
          <w:fldChar w:fldCharType="separate"/>
        </w:r>
        <w:r>
          <w:rPr>
            <w:noProof/>
            <w:webHidden/>
          </w:rPr>
          <w:t>63</w:t>
        </w:r>
        <w:r>
          <w:rPr>
            <w:noProof/>
            <w:webHidden/>
          </w:rPr>
          <w:fldChar w:fldCharType="end"/>
        </w:r>
      </w:hyperlink>
    </w:p>
    <w:p w14:paraId="4C1E0B78" w14:textId="47104A35" w:rsidR="00A017D7" w:rsidRDefault="00A017D7">
      <w:pPr>
        <w:pStyle w:val="TOC2"/>
        <w:tabs>
          <w:tab w:val="right" w:leader="dot" w:pos="9962"/>
        </w:tabs>
        <w:rPr>
          <w:rFonts w:eastAsiaTheme="minorEastAsia"/>
          <w:noProof/>
          <w:kern w:val="2"/>
          <w:lang w:val="en-GB" w:eastAsia="en-GB"/>
          <w14:ligatures w14:val="standardContextual"/>
        </w:rPr>
      </w:pPr>
      <w:hyperlink w:anchor="_Toc236387323" w:history="1">
        <w:r w:rsidRPr="00FF3118">
          <w:rPr>
            <w:rStyle w:val="Hyperlink"/>
            <w:noProof/>
          </w:rPr>
          <w:t>20.8 Architettura operativa del processo Portfolio</w:t>
        </w:r>
        <w:r>
          <w:rPr>
            <w:noProof/>
            <w:webHidden/>
          </w:rPr>
          <w:tab/>
        </w:r>
        <w:r>
          <w:rPr>
            <w:noProof/>
            <w:webHidden/>
          </w:rPr>
          <w:fldChar w:fldCharType="begin"/>
        </w:r>
        <w:r>
          <w:rPr>
            <w:noProof/>
            <w:webHidden/>
          </w:rPr>
          <w:instrText xml:space="preserve"> PAGEREF _Toc236387323 \h </w:instrText>
        </w:r>
        <w:r>
          <w:rPr>
            <w:noProof/>
            <w:webHidden/>
          </w:rPr>
        </w:r>
        <w:r>
          <w:rPr>
            <w:noProof/>
            <w:webHidden/>
          </w:rPr>
          <w:fldChar w:fldCharType="separate"/>
        </w:r>
        <w:r>
          <w:rPr>
            <w:noProof/>
            <w:webHidden/>
          </w:rPr>
          <w:t>64</w:t>
        </w:r>
        <w:r>
          <w:rPr>
            <w:noProof/>
            <w:webHidden/>
          </w:rPr>
          <w:fldChar w:fldCharType="end"/>
        </w:r>
      </w:hyperlink>
    </w:p>
    <w:p w14:paraId="40E9F12C" w14:textId="37AADFAC" w:rsidR="00035F7E" w:rsidRDefault="008242CC">
      <w:r>
        <w:fldChar w:fldCharType="end"/>
      </w:r>
    </w:p>
    <w:p w14:paraId="69D5EBDD" w14:textId="77777777" w:rsidR="00035F7E" w:rsidRDefault="008242CC">
      <w:r>
        <w:br w:type="page"/>
      </w:r>
    </w:p>
    <w:p w14:paraId="4EC6770B" w14:textId="77777777" w:rsidR="000854B7" w:rsidRPr="00BE3538" w:rsidRDefault="00BE3538">
      <w:pPr>
        <w:pStyle w:val="Heading1"/>
        <w:rPr>
          <w:lang w:val="it-IT"/>
        </w:rPr>
      </w:pPr>
      <w:bookmarkStart w:id="0" w:name="definizioni-notazione-e-convenzioni"/>
      <w:bookmarkStart w:id="1" w:name="_Toc236387203"/>
      <w:r>
        <w:rPr>
          <w:lang w:val="it-IT"/>
        </w:rPr>
        <w:lastRenderedPageBreak/>
        <w:t>1. Definizioni, notazione e convenzioni</w:t>
      </w:r>
      <w:bookmarkEnd w:id="1"/>
    </w:p>
    <w:p w14:paraId="2ED1C135" w14:textId="77777777" w:rsidR="000854B7" w:rsidRPr="00BE3538" w:rsidRDefault="00BE3538">
      <w:pPr>
        <w:pStyle w:val="Heading2"/>
        <w:rPr>
          <w:lang w:val="it-IT"/>
        </w:rPr>
      </w:pPr>
      <w:bookmarkStart w:id="2" w:name="variabili-principali"/>
      <w:bookmarkStart w:id="3" w:name="_Toc236387204"/>
      <w:r>
        <w:rPr>
          <w:lang w:val="it-IT"/>
        </w:rPr>
        <w:t>1.1 Variabili principali</w:t>
      </w:r>
      <w:bookmarkEnd w:id="3"/>
    </w:p>
    <w:p w14:paraId="3FEDCA6C" w14:textId="77777777" w:rsidR="000854B7" w:rsidRDefault="008242CC">
      <w:pPr>
        <w:pStyle w:val="FirstParagraph"/>
      </w:pPr>
      <w:r>
        <w:t>Sia:</w:t>
      </w:r>
    </w:p>
    <w:p w14:paraId="207B659B" w14:textId="77777777" w:rsidR="000854B7" w:rsidRPr="00BE3538" w:rsidRDefault="00C0462E" w:rsidP="008242CC">
      <w:pPr>
        <w:numPr>
          <w:ilvl w:val="0"/>
          <w:numId w:val="2"/>
        </w:numPr>
        <w:rPr>
          <w:lang w:val="it-IT"/>
        </w:rPr>
      </w:pPr>
      <m:oMath>
        <m:sSub>
          <m:sSubPr>
            <m:ctrlPr>
              <w:rPr>
                <w:rFonts w:ascii="Cambria Math" w:hAnsi="Cambria Math"/>
              </w:rPr>
            </m:ctrlPr>
          </m:sSubPr>
          <m:e>
            <m:r>
              <w:rPr>
                <w:rFonts w:ascii="Cambria Math" w:hAnsi="Cambria Math"/>
              </w:rPr>
              <m:t>P</m:t>
            </m:r>
          </m:e>
          <m:sub>
            <m:r>
              <w:rPr>
                <w:rFonts w:ascii="Cambria Math" w:hAnsi="Cambria Math"/>
              </w:rPr>
              <m:t>t</m:t>
            </m:r>
          </m:sub>
        </m:sSub>
      </m:oMath>
      <w:r w:rsidR="00383D83">
        <w:rPr>
          <w:lang w:val="it-IT"/>
        </w:rPr>
        <w:t xml:space="preserve"> il prezzo di chiusura osservato al tempo </w:t>
      </w:r>
      <m:oMath>
        <m:r>
          <w:rPr>
            <w:rFonts w:ascii="Cambria Math" w:hAnsi="Cambria Math"/>
          </w:rPr>
          <m:t>t</m:t>
        </m:r>
      </m:oMath>
      <w:r w:rsidR="00383D83">
        <w:rPr>
          <w:lang w:val="it-IT"/>
        </w:rPr>
        <w:t>;</w:t>
      </w:r>
    </w:p>
    <w:p w14:paraId="38F5B304" w14:textId="77777777" w:rsidR="000854B7" w:rsidRPr="00BE3538" w:rsidRDefault="00C0462E" w:rsidP="008242CC">
      <w:pPr>
        <w:numPr>
          <w:ilvl w:val="0"/>
          <w:numId w:val="2"/>
        </w:numPr>
        <w:rPr>
          <w:lang w:val="it-IT"/>
        </w:rPr>
      </w:p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oMath>
      <w:r w:rsidR="00383D83">
        <w:rPr>
          <w:lang w:val="it-IT"/>
        </w:rPr>
        <w:t xml:space="preserve"> la previsione puntuale del prezzo al tempo </w:t>
      </w:r>
      <m:oMath>
        <m:r>
          <w:rPr>
            <w:rFonts w:ascii="Cambria Math" w:hAnsi="Cambria Math"/>
          </w:rPr>
          <m:t>t</m:t>
        </m:r>
      </m:oMath>
      <w:r w:rsidR="00383D83">
        <w:rPr>
          <w:lang w:val="it-IT"/>
        </w:rPr>
        <w:t>;</w:t>
      </w:r>
    </w:p>
    <w:p w14:paraId="44E173C6" w14:textId="77777777" w:rsidR="000854B7" w:rsidRPr="00BE3538" w:rsidRDefault="00C0462E" w:rsidP="008242CC">
      <w:pPr>
        <w:numPr>
          <w:ilvl w:val="0"/>
          <w:numId w:val="2"/>
        </w:numPr>
        <w:rPr>
          <w:lang w:val="it-IT"/>
        </w:rPr>
      </w:pPr>
      <m:oMath>
        <m:sSub>
          <m:sSubPr>
            <m:ctrlPr>
              <w:rPr>
                <w:rFonts w:ascii="Cambria Math" w:hAnsi="Cambria Math"/>
              </w:rPr>
            </m:ctrlPr>
          </m:sSubPr>
          <m:e>
            <m:r>
              <w:rPr>
                <w:rFonts w:ascii="Cambria Math" w:hAnsi="Cambria Math"/>
              </w:rPr>
              <m:t>r</m:t>
            </m:r>
          </m:e>
          <m:sub>
            <m:r>
              <w:rPr>
                <w:rFonts w:ascii="Cambria Math" w:hAnsi="Cambria Math"/>
              </w:rPr>
              <m:t>t</m:t>
            </m:r>
          </m:sub>
        </m:sSub>
      </m:oMath>
      <w:r w:rsidR="00383D83">
        <w:rPr>
          <w:lang w:val="it-IT"/>
        </w:rPr>
        <w:t xml:space="preserve"> il log-return;</w:t>
      </w:r>
    </w:p>
    <w:p w14:paraId="18234C2C" w14:textId="77777777" w:rsidR="000854B7" w:rsidRPr="00BE3538" w:rsidRDefault="008242CC" w:rsidP="008242CC">
      <w:pPr>
        <w:numPr>
          <w:ilvl w:val="0"/>
          <w:numId w:val="2"/>
        </w:numPr>
        <w:rPr>
          <w:lang w:val="it-IT"/>
        </w:rPr>
      </w:pPr>
      <m:oMath>
        <m:r>
          <w:rPr>
            <w:rFonts w:ascii="Cambria Math" w:hAnsi="Cambria Math"/>
          </w:rPr>
          <m:t>H</m:t>
        </m:r>
      </m:oMath>
      <w:r>
        <w:rPr>
          <w:lang w:val="it-IT"/>
        </w:rPr>
        <w:t xml:space="preserve"> l’orizzonte operativo della previsione espresso in </w:t>
      </w:r>
      <w:r>
        <w:rPr>
          <w:b/>
          <w:bCs/>
          <w:lang w:val="it-IT"/>
        </w:rPr>
        <w:t>step coerenti con il calendario di mercato</w:t>
      </w:r>
      <w:r>
        <w:rPr>
          <w:lang w:val="it-IT"/>
        </w:rPr>
        <w:t>;</w:t>
      </w:r>
    </w:p>
    <w:p w14:paraId="1D2DF446" w14:textId="77777777" w:rsidR="000854B7" w:rsidRPr="00BE3538" w:rsidRDefault="008242CC" w:rsidP="008242CC">
      <w:pPr>
        <w:numPr>
          <w:ilvl w:val="0"/>
          <w:numId w:val="2"/>
        </w:numPr>
        <w:rPr>
          <w:lang w:val="it-IT"/>
        </w:rPr>
      </w:pPr>
      <m:oMath>
        <m:r>
          <w:rPr>
            <w:rFonts w:ascii="Cambria Math" w:hAnsi="Cambria Math"/>
          </w:rPr>
          <m:t>d</m:t>
        </m:r>
      </m:oMath>
      <w:r>
        <w:rPr>
          <w:lang w:val="it-IT"/>
        </w:rPr>
        <w:t xml:space="preserve"> la distanza in </w:t>
      </w:r>
      <w:r>
        <w:rPr>
          <w:b/>
          <w:bCs/>
          <w:lang w:val="it-IT"/>
        </w:rPr>
        <w:t>giorni di calendario</w:t>
      </w:r>
      <w:r>
        <w:rPr>
          <w:lang w:val="it-IT"/>
        </w:rPr>
        <w:t xml:space="preserve"> tra data di riferimento e data target.</w:t>
      </w:r>
    </w:p>
    <w:p w14:paraId="0700F56E" w14:textId="77777777" w:rsidR="000854B7" w:rsidRPr="00BE3538" w:rsidRDefault="00BE3538">
      <w:pPr>
        <w:pStyle w:val="Heading2"/>
        <w:rPr>
          <w:lang w:val="it-IT"/>
        </w:rPr>
      </w:pPr>
      <w:bookmarkStart w:id="4" w:name="log-return"/>
      <w:bookmarkStart w:id="5" w:name="_Toc236387205"/>
      <w:bookmarkEnd w:id="2"/>
      <w:r>
        <w:rPr>
          <w:lang w:val="it-IT"/>
        </w:rPr>
        <w:t>1.2 Log-return</w:t>
      </w:r>
      <w:bookmarkEnd w:id="5"/>
    </w:p>
    <w:p w14:paraId="4AD421D3" w14:textId="77777777" w:rsidR="000854B7" w:rsidRPr="00BE3538" w:rsidRDefault="008242CC">
      <w:pPr>
        <w:pStyle w:val="FirstParagraph"/>
        <w:rPr>
          <w:lang w:val="it-IT"/>
        </w:rPr>
      </w:pPr>
      <w:r>
        <w:rPr>
          <w:lang w:val="it-IT"/>
        </w:rPr>
        <w:t>Quando il modello lavora in spazio dei rendimenti, la trasformazione utilizzata è:</w:t>
      </w:r>
    </w:p>
    <w:p w14:paraId="47228394" w14:textId="77777777" w:rsidR="000854B7" w:rsidRDefault="00C0462E">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en>
              </m:f>
            </m:e>
          </m:d>
        </m:oMath>
      </m:oMathPara>
    </w:p>
    <w:p w14:paraId="121E9C23" w14:textId="77777777" w:rsidR="000854B7" w:rsidRPr="00BE3538" w:rsidRDefault="00BE3538">
      <w:pPr>
        <w:pStyle w:val="Heading2"/>
        <w:rPr>
          <w:lang w:val="it-IT"/>
        </w:rPr>
      </w:pPr>
      <w:bookmarkStart w:id="6" w:name="residuo-logaritmico-di-calibrazione"/>
      <w:bookmarkStart w:id="7" w:name="_Toc236387206"/>
      <w:bookmarkEnd w:id="4"/>
      <w:r>
        <w:rPr>
          <w:lang w:val="it-IT"/>
        </w:rPr>
        <w:t>1.3 Residuo logaritmico di calibrazione</w:t>
      </w:r>
      <w:bookmarkEnd w:id="7"/>
    </w:p>
    <w:p w14:paraId="3B589640" w14:textId="77777777" w:rsidR="000854B7" w:rsidRPr="00BE3538" w:rsidRDefault="008242CC">
      <w:pPr>
        <w:pStyle w:val="FirstParagraph"/>
        <w:rPr>
          <w:lang w:val="it-IT"/>
        </w:rPr>
      </w:pPr>
      <w:r>
        <w:rPr>
          <w:lang w:val="it-IT"/>
        </w:rPr>
        <w:t>Per intervalli e probabilità il residuo fondamentale è:</w:t>
      </w:r>
    </w:p>
    <w:p w14:paraId="5088DD2E" w14:textId="77777777" w:rsidR="000854B7" w:rsidRDefault="00C0462E">
      <w:pPr>
        <w:pStyle w:val="BodyText"/>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den>
              </m:f>
            </m:e>
          </m:d>
        </m:oMath>
      </m:oMathPara>
    </w:p>
    <w:p w14:paraId="2D9A15F0" w14:textId="77777777" w:rsidR="000854B7" w:rsidRPr="00BE3538" w:rsidRDefault="008242CC">
      <w:pPr>
        <w:pStyle w:val="FirstParagraph"/>
        <w:rPr>
          <w:lang w:val="it-IT"/>
        </w:rPr>
      </w:pPr>
      <w:r>
        <w:rPr>
          <w:lang w:val="it-IT"/>
        </w:rPr>
        <w:t xml:space="preserve">Questa scelta rende la struttura dell’errore </w:t>
      </w:r>
      <w:r>
        <w:rPr>
          <w:b/>
          <w:bCs/>
          <w:lang w:val="it-IT"/>
        </w:rPr>
        <w:t>moltiplicativa</w:t>
      </w:r>
      <w:r>
        <w:rPr>
          <w:lang w:val="it-IT"/>
        </w:rPr>
        <w:t xml:space="preserve"> invece che additiva.</w:t>
      </w:r>
    </w:p>
    <w:p w14:paraId="0B486511" w14:textId="77777777" w:rsidR="000854B7" w:rsidRPr="00BE3538" w:rsidRDefault="00BE3538">
      <w:pPr>
        <w:pStyle w:val="Heading2"/>
        <w:rPr>
          <w:lang w:val="it-IT"/>
        </w:rPr>
      </w:pPr>
      <w:bookmarkStart w:id="8" w:name="due-nozioni-distinte-di-orizzonte"/>
      <w:bookmarkStart w:id="9" w:name="_Toc236387207"/>
      <w:bookmarkEnd w:id="6"/>
      <w:r>
        <w:rPr>
          <w:lang w:val="it-IT"/>
        </w:rPr>
        <w:t>1.4 Due nozioni distinte di orizzonte</w:t>
      </w:r>
      <w:bookmarkEnd w:id="9"/>
    </w:p>
    <w:p w14:paraId="7359FE96" w14:textId="77777777" w:rsidR="000854B7" w:rsidRPr="00BE3538" w:rsidRDefault="008242CC">
      <w:pPr>
        <w:pStyle w:val="FirstParagraph"/>
        <w:rPr>
          <w:lang w:val="it-IT"/>
        </w:rPr>
      </w:pPr>
      <w:r>
        <w:rPr>
          <w:lang w:val="it-IT"/>
        </w:rPr>
        <w:t xml:space="preserve">Il sistema usa </w:t>
      </w:r>
      <w:r>
        <w:rPr>
          <w:b/>
          <w:bCs/>
          <w:lang w:val="it-IT"/>
        </w:rPr>
        <w:t>due</w:t>
      </w:r>
      <w:r>
        <w:rPr>
          <w:lang w:val="it-IT"/>
        </w:rPr>
        <w:t xml:space="preserve"> nozioni diverse di orizzonte:</w:t>
      </w:r>
    </w:p>
    <w:p w14:paraId="5E88B049" w14:textId="77777777" w:rsidR="000854B7" w:rsidRPr="00BE3538" w:rsidRDefault="008242CC">
      <w:pPr>
        <w:pStyle w:val="BodyText"/>
        <w:rPr>
          <w:lang w:val="it-IT"/>
        </w:rPr>
      </w:pPr>
      <w:r>
        <w:rPr>
          <w:lang w:val="it-IT"/>
        </w:rPr>
        <w:t xml:space="preserve">1. </w:t>
      </w:r>
      <w:r>
        <w:rPr>
          <w:b/>
          <w:bCs/>
          <w:lang w:val="it-IT"/>
        </w:rPr>
        <w:t>Orizzonte di regime</w:t>
      </w:r>
      <w:r>
        <w:rPr>
          <w:lang w:val="it-IT"/>
        </w:rPr>
        <w:t xml:space="preserve">: basato su giorni di calendario </w:t>
      </w:r>
      <m:oMath>
        <m:r>
          <w:rPr>
            <w:rFonts w:ascii="Cambria Math" w:hAnsi="Cambria Math"/>
          </w:rPr>
          <m:t>d</m:t>
        </m:r>
      </m:oMath>
      <w:r>
        <w:rPr>
          <w:lang w:val="it-IT"/>
        </w:rPr>
        <w:t>.</w:t>
      </w:r>
    </w:p>
    <w:p w14:paraId="3CDFBAA9" w14:textId="77777777" w:rsidR="000854B7" w:rsidRPr="00BE3538" w:rsidRDefault="008242CC">
      <w:pPr>
        <w:pStyle w:val="BodyText"/>
        <w:rPr>
          <w:lang w:val="it-IT"/>
        </w:rPr>
      </w:pPr>
      <w:r>
        <w:rPr>
          <w:lang w:val="it-IT"/>
        </w:rPr>
        <w:t xml:space="preserve">2. </w:t>
      </w:r>
      <w:r>
        <w:rPr>
          <w:b/>
          <w:bCs/>
          <w:lang w:val="it-IT"/>
        </w:rPr>
        <w:t>Orizzonte operativo</w:t>
      </w:r>
      <w:r>
        <w:rPr>
          <w:lang w:val="it-IT"/>
        </w:rPr>
        <w:t xml:space="preserve"> </w:t>
      </w:r>
      <m:oMath>
        <m:r>
          <w:rPr>
            <w:rFonts w:ascii="Cambria Math" w:hAnsi="Cambria Math"/>
          </w:rPr>
          <m:t>H</m:t>
        </m:r>
      </m:oMath>
      <w:r>
        <w:rPr>
          <w:lang w:val="it-IT"/>
        </w:rPr>
        <w:t>: numero di step coerenti con il calendario del mercato e con l’allineamento della data target.</w:t>
      </w:r>
    </w:p>
    <w:p w14:paraId="6E08AC93" w14:textId="77777777" w:rsidR="000854B7" w:rsidRPr="00AA79AF" w:rsidRDefault="00BE3538">
      <w:pPr>
        <w:rPr>
          <w:lang w:val="it-IT"/>
        </w:rPr>
      </w:pPr>
      <w:r>
        <w:rPr>
          <w:lang w:val="it-IT"/>
        </w:rPr>
        <w:t>Questa distinzione è essenziale: la selezione della frequenza operativa del modello (daily, weekly, monthly) dipende dal regime di orizzonte calcolato in giorni di calendario, mentre i calcoli quantitativi effettivi di forecast, backtest, prediction intervals e probabilità usano H, cioè l’orizzonte operativo espresso nel numero di passi coerenti con la frequenza e con il calendario di mercato.</w:t>
      </w:r>
      <w:r w:rsidR="00C0462E">
        <w:pict w14:anchorId="65ABDA45">
          <v:rect id="_x0000_i1025" style="width:0;height:1.5pt" o:hralign="center" o:hrstd="t" o:hr="t"/>
        </w:pict>
      </w:r>
    </w:p>
    <w:p w14:paraId="5DD172AB" w14:textId="77777777" w:rsidR="000854B7" w:rsidRPr="00BE3538" w:rsidRDefault="00BE3538">
      <w:pPr>
        <w:pStyle w:val="Heading1"/>
        <w:rPr>
          <w:lang w:val="it-IT"/>
        </w:rPr>
      </w:pPr>
      <w:bookmarkStart w:id="10" w:name="Xf7fcf39d03a5d28aee3900f21bc321a9f170677"/>
      <w:bookmarkStart w:id="11" w:name="_Toc236387208"/>
      <w:bookmarkEnd w:id="0"/>
      <w:bookmarkEnd w:id="8"/>
      <w:r>
        <w:rPr>
          <w:lang w:val="it-IT"/>
        </w:rPr>
        <w:lastRenderedPageBreak/>
        <w:t>2. Sorgenti dati e struttura dell’universo prezzi</w:t>
      </w:r>
      <w:bookmarkEnd w:id="11"/>
    </w:p>
    <w:p w14:paraId="47290048" w14:textId="77777777" w:rsidR="000854B7" w:rsidRPr="00BE3538" w:rsidRDefault="00BE3538">
      <w:pPr>
        <w:pStyle w:val="Heading2"/>
        <w:rPr>
          <w:lang w:val="it-IT"/>
        </w:rPr>
      </w:pPr>
      <w:bookmarkStart w:id="12" w:name="_Toc236387209"/>
      <w:r>
        <w:rPr>
          <w:lang w:val="it-IT"/>
        </w:rPr>
        <w:t>2.1 Sorgenti effettive dei prezzi</w:t>
      </w:r>
      <w:bookmarkEnd w:id="12"/>
    </w:p>
    <w:p w14:paraId="0AFCB528" w14:textId="77777777" w:rsidR="000854B7" w:rsidRPr="00BE3538" w:rsidRDefault="008242CC">
      <w:pPr>
        <w:pStyle w:val="FirstParagraph"/>
        <w:rPr>
          <w:lang w:val="it-IT"/>
        </w:rPr>
      </w:pPr>
      <w:r>
        <w:rPr>
          <w:lang w:val="it-IT"/>
        </w:rPr>
        <w:t xml:space="preserve">Nei run di produzione il motore di forecasting utilizza esclusivamente dataset caricati e validati dal cliente (l’API rifiuta qualsiasi richiesta priva di un identificativo di dataset valido); per il percorso batch/offline (script di test time-travel) e per l’ambiente di sviluppo la sorgente resta costituita da </w:t>
      </w:r>
      <w:r>
        <w:rPr>
          <w:b/>
          <w:bCs/>
          <w:lang w:val="it-IT"/>
        </w:rPr>
        <w:t>file Excel locali di tipo Bloomberg</w:t>
      </w:r>
      <w:r>
        <w:rPr>
          <w:lang w:val="it-IT"/>
        </w:rPr>
        <w:t>:</w:t>
      </w:r>
    </w:p>
    <w:p w14:paraId="1BBE81B2" w14:textId="77777777" w:rsidR="000854B7" w:rsidRDefault="008242CC" w:rsidP="008242CC">
      <w:pPr>
        <w:numPr>
          <w:ilvl w:val="0"/>
          <w:numId w:val="3"/>
        </w:numPr>
      </w:pPr>
      <w:r>
        <w:t>archivio prezzi giornaliero</w:t>
      </w:r>
    </w:p>
    <w:p w14:paraId="76824C0C" w14:textId="77777777" w:rsidR="000854B7" w:rsidRDefault="008242CC" w:rsidP="008242CC">
      <w:pPr>
        <w:numPr>
          <w:ilvl w:val="0"/>
          <w:numId w:val="3"/>
        </w:numPr>
      </w:pPr>
      <w:r>
        <w:t>archivio prezzi settimanale</w:t>
      </w:r>
    </w:p>
    <w:p w14:paraId="7FAC6603" w14:textId="77777777" w:rsidR="000854B7" w:rsidRDefault="008242CC" w:rsidP="008242CC">
      <w:pPr>
        <w:numPr>
          <w:ilvl w:val="0"/>
          <w:numId w:val="3"/>
        </w:numPr>
      </w:pPr>
      <w:r>
        <w:t>archivio prezzi mensile</w:t>
      </w:r>
    </w:p>
    <w:p w14:paraId="13D27276" w14:textId="77777777" w:rsidR="00035F7E" w:rsidRDefault="008242CC">
      <w:pPr>
        <w:pStyle w:val="Heading2"/>
      </w:pPr>
      <w:bookmarkStart w:id="13" w:name="_Toc236387210"/>
      <w:r>
        <w:t>2.2 Struttura logica delle sorgenti dati</w:t>
      </w:r>
      <w:bookmarkEnd w:id="13"/>
    </w:p>
    <w:p w14:paraId="0B7DC59A" w14:textId="77777777" w:rsidR="00035F7E" w:rsidRPr="00122D14" w:rsidRDefault="008242CC">
      <w:pPr>
        <w:rPr>
          <w:lang w:val="it-IT"/>
        </w:rPr>
      </w:pPr>
      <w:r>
        <w:rPr>
          <w:lang w:val="it-IT"/>
        </w:rPr>
        <w:t>Il sistema distingue due percorsi di acquisizione.</w:t>
      </w:r>
    </w:p>
    <w:p w14:paraId="73126947" w14:textId="77777777" w:rsidR="00035F7E" w:rsidRPr="00122D14" w:rsidRDefault="008242CC">
      <w:pPr>
        <w:rPr>
          <w:lang w:val="it-IT"/>
        </w:rPr>
      </w:pPr>
      <w:r>
        <w:rPr>
          <w:b/>
          <w:lang w:val="it-IT"/>
        </w:rPr>
        <w:t>A) Archivi Bloomberg offline e strumenti batch</w:t>
      </w:r>
    </w:p>
    <w:p w14:paraId="245DBBCF" w14:textId="77777777" w:rsidR="00035F7E" w:rsidRPr="00122D14" w:rsidRDefault="008242CC">
      <w:pPr>
        <w:rPr>
          <w:lang w:val="it-IT"/>
        </w:rPr>
      </w:pPr>
      <w:r>
        <w:rPr>
          <w:lang w:val="it-IT"/>
        </w:rPr>
        <w:t>Gli archivi Bloomberg utilizzati dagli strumenti offline, batch e di sviluppo possono essere organizzati come workbook Excel multi-sheet. Le intestazioni possono contenere ticker in formato Bloomberg-style e il loader costruisce un indice lessicale per supportare il matching del simbolo richiesto.</w:t>
      </w:r>
    </w:p>
    <w:p w14:paraId="3AFAC725" w14:textId="77777777" w:rsidR="00035F7E" w:rsidRPr="00122D14" w:rsidRDefault="008242CC">
      <w:pPr>
        <w:rPr>
          <w:lang w:val="it-IT"/>
        </w:rPr>
      </w:pPr>
      <w:r>
        <w:rPr>
          <w:b/>
          <w:lang w:val="it-IT"/>
        </w:rPr>
        <w:t>B) Dataset caricati dal cliente</w:t>
      </w:r>
    </w:p>
    <w:p w14:paraId="41B6B334" w14:textId="77777777" w:rsidR="00035F7E" w:rsidRPr="00122D14" w:rsidRDefault="008242CC">
      <w:pPr>
        <w:rPr>
          <w:lang w:val="it-IT"/>
        </w:rPr>
      </w:pPr>
      <w:r>
        <w:rPr>
          <w:lang w:val="it-IT"/>
        </w:rPr>
        <w:t>Il percorso di produzione accetta file .xlsx, .xls e .csv. I formati tabellari supportati sono:</w:t>
      </w:r>
    </w:p>
    <w:p w14:paraId="1905A6C9" w14:textId="77777777" w:rsidR="00035F7E" w:rsidRPr="00122D14" w:rsidRDefault="008242CC">
      <w:pPr>
        <w:numPr>
          <w:ilvl w:val="0"/>
          <w:numId w:val="1"/>
        </w:numPr>
        <w:rPr>
          <w:lang w:val="it-IT"/>
        </w:rPr>
      </w:pPr>
      <w:r>
        <w:rPr>
          <w:lang w:val="it-IT"/>
        </w:rPr>
        <w:t>• Bloomberg wide: una colonna data seguita da più colonne di prezzo, con ticker Bloomberg nelle intestazioni;</w:t>
      </w:r>
    </w:p>
    <w:p w14:paraId="08DC3F25" w14:textId="77777777" w:rsidR="00035F7E" w:rsidRPr="00122D14" w:rsidRDefault="008242CC">
      <w:pPr>
        <w:numPr>
          <w:ilvl w:val="0"/>
          <w:numId w:val="1"/>
        </w:numPr>
        <w:rPr>
          <w:lang w:val="it-IT"/>
        </w:rPr>
      </w:pPr>
      <w:r>
        <w:rPr>
          <w:lang w:val="it-IT"/>
        </w:rPr>
        <w:t>• simple wide: una colonna data seguita da più colonne, ciascuna associata a un ticker;</w:t>
      </w:r>
    </w:p>
    <w:p w14:paraId="046F24EB" w14:textId="77777777" w:rsidR="00035F7E" w:rsidRPr="00122D14" w:rsidRDefault="008242CC">
      <w:pPr>
        <w:numPr>
          <w:ilvl w:val="0"/>
          <w:numId w:val="1"/>
        </w:numPr>
        <w:rPr>
          <w:lang w:val="it-IT"/>
        </w:rPr>
      </w:pPr>
      <w:r>
        <w:rPr>
          <w:lang w:val="it-IT"/>
        </w:rPr>
        <w:t>• simple long: colonne distinte per data, ticker e prezzo di chiusura.</w:t>
      </w:r>
    </w:p>
    <w:p w14:paraId="36E800DF" w14:textId="77777777" w:rsidR="00035F7E" w:rsidRPr="00122D14" w:rsidRDefault="008242CC">
      <w:pPr>
        <w:rPr>
          <w:lang w:val="it-IT"/>
        </w:rPr>
      </w:pPr>
      <w:r>
        <w:rPr>
          <w:lang w:val="it-IT"/>
        </w:rPr>
        <w:t>Il parser rileva deterministicamente la struttura del file, normalizza le serie per ticker e produce, per ciascuno strumento, una serie con indice temporale Date e colonna Close.</w:t>
      </w:r>
    </w:p>
    <w:p w14:paraId="7D763902" w14:textId="77777777" w:rsidR="00035F7E" w:rsidRPr="00122D14" w:rsidRDefault="008242CC">
      <w:pPr>
        <w:rPr>
          <w:lang w:val="it-IT"/>
        </w:rPr>
      </w:pPr>
      <w:r>
        <w:rPr>
          <w:lang w:val="it-IT"/>
        </w:rPr>
        <w:t>Nel percorso cliente non è corretto assumere che ogni file sia un workbook multi-sheet o che tutti i ticker si trovino necessariamente nella prima riga di più fogli.</w:t>
      </w:r>
    </w:p>
    <w:p w14:paraId="3B76054D" w14:textId="77777777" w:rsidR="000854B7" w:rsidRPr="00BE3538" w:rsidRDefault="00BE3538">
      <w:pPr>
        <w:pStyle w:val="Heading2"/>
        <w:rPr>
          <w:lang w:val="it-IT"/>
        </w:rPr>
      </w:pPr>
      <w:bookmarkStart w:id="14" w:name="proprietã-fondamentali-del-dato"/>
      <w:bookmarkStart w:id="15" w:name="_Toc236387211"/>
      <w:r>
        <w:rPr>
          <w:lang w:val="it-IT"/>
        </w:rPr>
        <w:t>2.3 Proprietà fondamentali del dato</w:t>
      </w:r>
      <w:bookmarkEnd w:id="15"/>
    </w:p>
    <w:p w14:paraId="39B63350" w14:textId="77777777" w:rsidR="000854B7" w:rsidRPr="00BE3538" w:rsidRDefault="008242CC">
      <w:pPr>
        <w:pStyle w:val="FirstParagraph"/>
        <w:rPr>
          <w:lang w:val="it-IT"/>
        </w:rPr>
      </w:pPr>
      <w:r>
        <w:rPr>
          <w:lang w:val="it-IT"/>
        </w:rPr>
        <w:t>Dopo il caricamento:</w:t>
      </w:r>
    </w:p>
    <w:p w14:paraId="1DDB63D3" w14:textId="77777777" w:rsidR="000854B7" w:rsidRDefault="008242CC" w:rsidP="008242CC">
      <w:pPr>
        <w:numPr>
          <w:ilvl w:val="0"/>
          <w:numId w:val="4"/>
        </w:numPr>
      </w:pPr>
      <w:r>
        <w:t>l’indice temporale è ordinato;</w:t>
      </w:r>
    </w:p>
    <w:p w14:paraId="04914E61" w14:textId="77777777" w:rsidR="000854B7" w:rsidRDefault="008242CC" w:rsidP="008242CC">
      <w:pPr>
        <w:numPr>
          <w:ilvl w:val="0"/>
          <w:numId w:val="4"/>
        </w:numPr>
      </w:pPr>
      <w:r>
        <w:t>eventuali timezone sono rimosse;</w:t>
      </w:r>
    </w:p>
    <w:p w14:paraId="55787F9B" w14:textId="77777777" w:rsidR="000854B7" w:rsidRPr="00BE3538" w:rsidRDefault="008242CC" w:rsidP="008242CC">
      <w:pPr>
        <w:numPr>
          <w:ilvl w:val="0"/>
          <w:numId w:val="4"/>
        </w:numPr>
        <w:rPr>
          <w:lang w:val="it-IT"/>
        </w:rPr>
      </w:pPr>
      <w:r>
        <w:rPr>
          <w:lang w:val="it-IT"/>
        </w:rPr>
        <w:t>la colonna del prezzo di chiusura è convertita in formato numerico;</w:t>
      </w:r>
    </w:p>
    <w:p w14:paraId="0AC44922" w14:textId="77777777" w:rsidR="000854B7" w:rsidRPr="00BE3538" w:rsidRDefault="008242CC" w:rsidP="008242CC">
      <w:pPr>
        <w:numPr>
          <w:ilvl w:val="0"/>
          <w:numId w:val="4"/>
        </w:numPr>
        <w:rPr>
          <w:lang w:val="it-IT"/>
        </w:rPr>
      </w:pPr>
      <w:r>
        <w:rPr>
          <w:lang w:val="it-IT"/>
        </w:rPr>
        <w:lastRenderedPageBreak/>
        <w:t>valori non finiti vengono esclusi;</w:t>
      </w:r>
    </w:p>
    <w:p w14:paraId="27365F71" w14:textId="77777777" w:rsidR="000854B7" w:rsidRPr="00BE3538" w:rsidRDefault="008242CC" w:rsidP="008242CC">
      <w:pPr>
        <w:numPr>
          <w:ilvl w:val="0"/>
          <w:numId w:val="4"/>
        </w:numPr>
        <w:rPr>
          <w:lang w:val="it-IT"/>
        </w:rPr>
      </w:pPr>
      <w:r>
        <w:rPr>
          <w:lang w:val="it-IT"/>
        </w:rPr>
        <w:t>si calcola una colonna rendimento con log-return.</w:t>
      </w:r>
    </w:p>
    <w:p w14:paraId="6BF82D77" w14:textId="77777777" w:rsidR="000854B7" w:rsidRPr="00BE3538" w:rsidRDefault="00BE3538">
      <w:pPr>
        <w:pStyle w:val="Heading2"/>
        <w:rPr>
          <w:lang w:val="it-IT"/>
        </w:rPr>
      </w:pPr>
      <w:bookmarkStart w:id="16" w:name="X5b6d73d49cdcd26fa7bab1a75f94cec08016d1a"/>
      <w:bookmarkStart w:id="17" w:name="_Toc236387212"/>
      <w:bookmarkEnd w:id="14"/>
      <w:r>
        <w:rPr>
          <w:lang w:val="it-IT"/>
        </w:rPr>
        <w:t>2.4 Assenza di provider di mercato nel core forecast</w:t>
      </w:r>
      <w:bookmarkEnd w:id="17"/>
    </w:p>
    <w:p w14:paraId="2AF53002" w14:textId="77777777" w:rsidR="000854B7" w:rsidRPr="00BE3538" w:rsidRDefault="008242CC">
      <w:pPr>
        <w:pStyle w:val="FirstParagraph"/>
        <w:rPr>
          <w:lang w:val="it-IT"/>
        </w:rPr>
      </w:pPr>
      <w:r>
        <w:rPr>
          <w:lang w:val="it-IT"/>
        </w:rPr>
        <w:t xml:space="preserve">Il percorso quantitativo principale </w:t>
      </w:r>
      <w:r>
        <w:rPr>
          <w:b/>
          <w:bCs/>
          <w:lang w:val="it-IT"/>
        </w:rPr>
        <w:t>non</w:t>
      </w:r>
      <w:r>
        <w:rPr>
          <w:lang w:val="it-IT"/>
        </w:rPr>
        <w:t xml:space="preserve"> usa Yahoo Finance, Alpha Vantage, Finnhub o altri provider esterni per i prezzi. I prezzi usati per forecast, backtest, prediction intervals e metriche derivano dai file Excel locali oppure dal dataset caricato dal cliente, mai da provider esterni.</w:t>
      </w:r>
    </w:p>
    <w:p w14:paraId="1B3F8748" w14:textId="77777777" w:rsidR="000854B7" w:rsidRDefault="00C0462E">
      <w:r>
        <w:pict w14:anchorId="0CE1757E">
          <v:rect id="_x0000_i1026" style="width:0;height:1.5pt" o:hralign="center" o:hrstd="t" o:hr="t"/>
        </w:pict>
      </w:r>
    </w:p>
    <w:p w14:paraId="6F35A4BA" w14:textId="77777777" w:rsidR="00EC030A" w:rsidRDefault="00FC0C9B">
      <w:pPr>
        <w:pStyle w:val="Heading1"/>
      </w:pPr>
      <w:bookmarkStart w:id="18" w:name="rilevazione-del-salto"/>
      <w:bookmarkStart w:id="19" w:name="a-evento-split-like"/>
      <w:bookmarkStart w:id="20" w:name="due-percorsi-distinti-di-riparazione"/>
      <w:bookmarkStart w:id="21" w:name="b-anomalia-isolata"/>
      <w:bookmarkStart w:id="22" w:name="X86ba4fd8eadcb7f09a28304489b5dda1c94eab7"/>
      <w:bookmarkStart w:id="23" w:name="informazione-diagnostica"/>
      <w:bookmarkStart w:id="24" w:name="_Toc236387213"/>
      <w:bookmarkEnd w:id="10"/>
      <w:bookmarkEnd w:id="16"/>
      <w:bookmarkEnd w:id="18"/>
      <w:bookmarkEnd w:id="19"/>
      <w:bookmarkEnd w:id="20"/>
      <w:bookmarkEnd w:id="21"/>
      <w:r>
        <w:t>3. Revisione degli split e aggiustamento controllato della serie</w:t>
      </w:r>
      <w:bookmarkEnd w:id="24"/>
    </w:p>
    <w:p w14:paraId="77FD7006" w14:textId="77777777" w:rsidR="00EC030A" w:rsidRDefault="00FC0C9B">
      <w:pPr>
        <w:pStyle w:val="FirstParagraph"/>
      </w:pPr>
      <w:r>
        <w:t>Prima del calcolo dei rendimenti, la piattaforma esegue una rilevazione deterministica dei possibili split e reverse split. La rilevazione produce esclusivamente candidati da sottoporre alla decisione esplicita dell’utente: un movimento di prezzo, anche molto ampio, non costituisce da solo prova di un’azione societaria e non autorizza alcuna modifica automatica della serie.</w:t>
      </w:r>
    </w:p>
    <w:p w14:paraId="50BF8B24" w14:textId="77777777" w:rsidR="00EC030A" w:rsidRDefault="00FC0C9B">
      <w:pPr>
        <w:pStyle w:val="Heading2"/>
      </w:pPr>
      <w:bookmarkStart w:id="25" w:name="_Toc236387214"/>
      <w:r>
        <w:t>3.1 Rilevazione deterministica dei candidati</w:t>
      </w:r>
      <w:bookmarkEnd w:id="25"/>
    </w:p>
    <w:p w14:paraId="5F49D2BF" w14:textId="77777777" w:rsidR="00EC030A" w:rsidRDefault="00FC0C9B">
      <w:pPr>
        <w:pStyle w:val="FirstParagraph"/>
      </w:pPr>
      <w:r>
        <w:t>La rilevazione viene applicata esclusivamente agli strumenti compatibili con un’azione societaria di tipo split. Sono esclusi gli strumenti chiaramente non azionari, inclusi indici, commodity, valute, obbligazioni, futures e rappresentazioni riconoscibili di coppie FX o crypto.</w:t>
      </w:r>
    </w:p>
    <w:p w14:paraId="2E26CE17" w14:textId="77777777" w:rsidR="00EC030A" w:rsidRDefault="00FC0C9B">
      <w:r>
        <w:t>Per ciascun ticker viene utilizzata la prima frequenza disponibile secondo l’ordine daily, weekly e monthly. La serie viene convertita in valori numerici, privata dei valori non finiti o non positivi, ordinata cronologicamente e deduplicata mantenendo l’ultima osservazione per data.</w:t>
      </w:r>
    </w:p>
    <w:p w14:paraId="21BD26FE" w14:textId="77777777" w:rsidR="00EC030A" w:rsidRDefault="00FC0C9B">
      <w:r>
        <w:t>La rilevazione richiede almeno sette osservazioni valide e utilizza finestre locali di tre osservazioni prima e tre osservazioni dopo la data candidata.</w:t>
      </w:r>
    </w:p>
    <w:p w14:paraId="708DA18E" w14:textId="77777777" w:rsidR="00EC030A" w:rsidRDefault="00FC0C9B">
      <w:r>
        <w:t>Per ogni discontinuità tra il prezzo precedente Pₜ₋₁ e il prezzo corrente Pₜ viene calcolato il rapporto osservato:</w:t>
      </w:r>
    </w:p>
    <w:p w14:paraId="047BC923" w14:textId="77777777" w:rsidR="00EC030A" w:rsidRDefault="00FC0C9B">
      <w:pPr>
        <w:pStyle w:val="BodyText"/>
      </w:pPr>
      <w:r>
        <w:t>Fₜ = max(Pₜ₋₁ / Pₜ, Pₜ / Pₜ₋₁)</w:t>
      </w:r>
    </w:p>
    <w:p w14:paraId="1BE003A2" w14:textId="77777777" w:rsidR="00EC030A" w:rsidRDefault="00FC0C9B">
      <w:r>
        <w:t>Il rapporto viene confrontato esclusivamente con i fattori supportati: rapporti interi N:1, con N compreso fra 2 e 100, e rapporti frazionari 3:2 e 5:2. Gli stessi fattori sono utilizzati per riconoscere sia split forward sia reverse split. Il fattore candidato deve essere compreso fra 1,50 e 100,00.</w:t>
      </w:r>
    </w:p>
    <w:p w14:paraId="7BF80F00" w14:textId="77777777" w:rsidR="00EC030A" w:rsidRDefault="00FC0C9B">
      <w:r>
        <w:t>Un candidato viene generato soltanto quando tutte le verifiche deterministiche seguenti risultano soddisfatte:</w:t>
      </w:r>
    </w:p>
    <w:p w14:paraId="76647932" w14:textId="77777777" w:rsidR="00EC030A" w:rsidRDefault="00FC0C9B">
      <w:r>
        <w:t>• l’errore relativo fra il rapporto della singola discontinuità e il fattore supportato più vicino non supera il 2,5%;</w:t>
      </w:r>
    </w:p>
    <w:p w14:paraId="078A594C" w14:textId="77777777" w:rsidR="00EC030A" w:rsidRDefault="00FC0C9B">
      <w:pPr>
        <w:pStyle w:val="BodyText"/>
      </w:pPr>
      <w:r>
        <w:t>|Fₜ − k| / k ≤ 0,025</w:t>
      </w:r>
    </w:p>
    <w:p w14:paraId="61905BE6" w14:textId="77777777" w:rsidR="00EC030A" w:rsidRDefault="00FC0C9B">
      <w:r>
        <w:lastRenderedPageBreak/>
        <w:t>• il rapporto fra la mediana delle tre osservazioni precedenti e la mediana delle tre osservazioni successive indica la stessa direzione dello split e presenta un errore relativo non superiore al 3,5%;</w:t>
      </w:r>
    </w:p>
    <w:p w14:paraId="7A227598" w14:textId="77777777" w:rsidR="00630609" w:rsidRDefault="00C0462E">
      <w:r>
        <w:t>dove Lₜ è il rapporto simmetrico fra la mediana delle tre osservazioni pre-evento e la mediana delle tre osservazioni post-evento:</w:t>
      </w:r>
    </w:p>
    <w:p w14:paraId="17064FC4" w14:textId="77777777" w:rsidR="00630609" w:rsidRDefault="00C0462E">
      <w:pPr>
        <w:pStyle w:val="BodyText"/>
      </w:pPr>
      <w:r>
        <w:t>Lₜ = max(pre_level / post_level, post_level / pre_level)</w:t>
      </w:r>
    </w:p>
    <w:p w14:paraId="682EDC4E" w14:textId="77777777" w:rsidR="00EC030A" w:rsidRDefault="00FC0C9B">
      <w:pPr>
        <w:pStyle w:val="BodyText"/>
      </w:pPr>
      <w:r>
        <w:t>|Lₜ − k| / k ≤ 0,035</w:t>
      </w:r>
    </w:p>
    <w:p w14:paraId="68C68ED3" w14:textId="77777777" w:rsidR="00EC030A" w:rsidRDefault="00FC0C9B">
      <w:r>
        <w:t>• tutte le osservazioni della finestra successiva restano nel nuovo regime di prezzo rispetto al punto medio fra il livello precedente e quello successivo;</w:t>
      </w:r>
    </w:p>
    <w:p w14:paraId="24622379" w14:textId="77777777" w:rsidR="00EC030A" w:rsidRDefault="00FC0C9B">
      <w:r>
        <w:t>• l’applicazione ipotetica del fattore alla storia precedente ripristina la continuità locale con errore non superiore all’8%;</w:t>
      </w:r>
    </w:p>
    <w:p w14:paraId="63F7A53B" w14:textId="77777777" w:rsidR="00EC030A" w:rsidRDefault="00FC0C9B">
      <w:pPr>
        <w:pStyle w:val="BodyText"/>
      </w:pPr>
      <w:r>
        <w:t>|post_level / adjusted_pre_level − 1| ≤ 0,08</w:t>
      </w:r>
    </w:p>
    <w:p w14:paraId="2E8AC531" w14:textId="77777777" w:rsidR="00EC030A" w:rsidRDefault="00FC0C9B">
      <w:pPr>
        <w:pStyle w:val="FirstParagraph"/>
      </w:pPr>
      <w:r>
        <w:t>Il superamento di queste verifiche produce soltanto un candidato con stato USER_REVIEW_REQUIRED. La rilevazione iniziale non dipende da Ollama o da altri modelli linguistici e non modifica i prezzi. Nessun sistema di intelligenza artificiale può confermare autonomamente uno split o autorizzare l’aggiustamento della serie.</w:t>
      </w:r>
    </w:p>
    <w:p w14:paraId="1CBBACD7" w14:textId="77777777" w:rsidR="00EC030A" w:rsidRDefault="00FC0C9B">
      <w:pPr>
        <w:pStyle w:val="Heading2"/>
      </w:pPr>
      <w:bookmarkStart w:id="26" w:name="_Toc236387215"/>
      <w:r>
        <w:t>3.2 Decisione dell’utente e aggiustamento</w:t>
      </w:r>
      <w:bookmarkEnd w:id="26"/>
    </w:p>
    <w:p w14:paraId="66E264E2" w14:textId="77777777" w:rsidR="00EC030A" w:rsidRDefault="00FC0C9B">
      <w:pPr>
        <w:pStyle w:val="FirstParagraph"/>
      </w:pPr>
      <w:r>
        <w:t>Ogni candidato richiede obbligatoriamente una decisione esplicita dell’utente: “Sì” oppure “No”. Valori mancanti, “unknown” o decisioni diverse da queste due opzioni vengono rifiutati e non completano la revisione.</w:t>
      </w:r>
    </w:p>
    <w:p w14:paraId="16451576" w14:textId="77777777" w:rsidR="00EC030A" w:rsidRDefault="00FC0C9B">
      <w:r>
        <w:t>Se l’utente risponde “No”, la serie rimane invariata. Se l’utente risponde “Sì”, il candidato assume lo stato di split confermato dall’utente e può essere applicato alla copia di lavoro della serie.</w:t>
      </w:r>
    </w:p>
    <w:p w14:paraId="7354FDCC" w14:textId="77777777" w:rsidR="00EC030A" w:rsidRDefault="00FC0C9B">
      <w:r>
        <w:t>Per uno split forward con fattore k, tutte le osservazioni precedenti alla data dell’evento vengono moltiplicate per 1/k:</w:t>
      </w:r>
    </w:p>
    <w:p w14:paraId="1E996237" w14:textId="77777777" w:rsidR="00EC030A" w:rsidRDefault="00FC0C9B">
      <w:pPr>
        <w:pStyle w:val="BodyText"/>
      </w:pPr>
      <w:r>
        <w:t>Pₜ,adjusted = Pₜ / k, per t precedente alla data dello split</w:t>
      </w:r>
    </w:p>
    <w:p w14:paraId="7D59890E" w14:textId="77777777" w:rsidR="00EC030A" w:rsidRDefault="00FC0C9B">
      <w:r>
        <w:t>Per un reverse split con fattore k, tutte le osservazioni precedenti alla data dell’evento vengono moltiplicate per k:</w:t>
      </w:r>
    </w:p>
    <w:p w14:paraId="6EEBDD50" w14:textId="77777777" w:rsidR="00EC030A" w:rsidRDefault="00FC0C9B">
      <w:pPr>
        <w:pStyle w:val="BodyText"/>
      </w:pPr>
      <w:r>
        <w:t>Pₜ,adjusted = Pₜ × k, per t precedente alla data del reverse split</w:t>
      </w:r>
    </w:p>
    <w:p w14:paraId="69963062" w14:textId="77777777" w:rsidR="00EC030A" w:rsidRDefault="00FC0C9B">
      <w:pPr>
        <w:pStyle w:val="FirstParagraph"/>
      </w:pPr>
      <w:r>
        <w:t>L’aggiustamento viene effettuato su una copia numerica ordinata della colonna di prezzo selezionata, normalmente Close, senza modificare il dataset sorgente memorizzato. Il fattore deve essere finito e strettamente maggiore di 1, la direzione deve essere forward o reverse e la data deve trovarsi all’interno dell’intervallo aggiustabile della serie.</w:t>
      </w:r>
    </w:p>
    <w:p w14:paraId="41CB1637" w14:textId="77777777" w:rsidR="00EC030A" w:rsidRDefault="00FC0C9B">
      <w:pPr>
        <w:pStyle w:val="FirstParagraph"/>
      </w:pPr>
      <w:r>
        <w:t xml:space="preserve">La piattaforma non interpola automaticamente shock isolati, non sostituisce prezzi negoziati con la media dei valori adiacenti e non propaga automaticamente una riparazione a Open, High, Low </w:t>
      </w:r>
      <w:r>
        <w:lastRenderedPageBreak/>
        <w:t>e Close. Il parametro storico mad_threshold è mantenuto esclusivamente per compatibilità delle chiamate e non attiva alcuna correzione automatica.</w:t>
      </w:r>
    </w:p>
    <w:p w14:paraId="27200410" w14:textId="77777777" w:rsidR="00EC030A" w:rsidRDefault="00FC0C9B">
      <w:pPr>
        <w:pStyle w:val="Heading2"/>
      </w:pPr>
      <w:bookmarkStart w:id="27" w:name="_Toc236387216"/>
      <w:r>
        <w:t>3.3 Informazioni diagnostiche e tracciabilità</w:t>
      </w:r>
      <w:bookmarkEnd w:id="27"/>
    </w:p>
    <w:p w14:paraId="1248A99D" w14:textId="77777777" w:rsidR="00EC030A" w:rsidRDefault="00FC0C9B">
      <w:pPr>
        <w:pStyle w:val="FirstParagraph"/>
      </w:pPr>
      <w:r>
        <w:t>Per ogni split confermato e applicato vengono registrati almeno i seguenti campi:</w:t>
      </w:r>
    </w:p>
    <w:p w14:paraId="089FB0AC" w14:textId="77777777" w:rsidR="00EC030A" w:rsidRDefault="00FC0C9B">
      <w:r>
        <w:t>• data dell’evento;</w:t>
      </w:r>
    </w:p>
    <w:p w14:paraId="714978A5" w14:textId="77777777" w:rsidR="00EC030A" w:rsidRDefault="00FC0C9B">
      <w:r>
        <w:t>• motivazione;</w:t>
      </w:r>
    </w:p>
    <w:p w14:paraId="2AA63AB1" w14:textId="77777777" w:rsidR="00EC030A" w:rsidRDefault="00FC0C9B">
      <w:r>
        <w:t>• tipo di intervento, identificato come confirmed_split_adjustment;</w:t>
      </w:r>
    </w:p>
    <w:p w14:paraId="46266FBE" w14:textId="77777777" w:rsidR="00EC030A" w:rsidRDefault="00FC0C9B">
      <w:r>
        <w:t>• fattore dello split;</w:t>
      </w:r>
    </w:p>
    <w:p w14:paraId="4B99A4E3" w14:textId="77777777" w:rsidR="00EC030A" w:rsidRDefault="00FC0C9B">
      <w:r>
        <w:t>• fattore effettivamente applicato alla storia precedente;</w:t>
      </w:r>
    </w:p>
    <w:p w14:paraId="605782A3" w14:textId="77777777" w:rsidR="00EC030A" w:rsidRDefault="00FC0C9B">
      <w:r>
        <w:t>• origine della decisione;</w:t>
      </w:r>
    </w:p>
    <w:p w14:paraId="183B8FD1" w14:textId="77777777" w:rsidR="00EC030A" w:rsidRDefault="00FC0C9B">
      <w:r>
        <w:t>• identificativo univoco del candidato.</w:t>
      </w:r>
    </w:p>
    <w:p w14:paraId="40090E48" w14:textId="77777777" w:rsidR="00EC030A" w:rsidRDefault="00FC0C9B">
      <w:pPr>
        <w:pStyle w:val="FirstParagraph"/>
      </w:pPr>
      <w:r>
        <w:t>Lo stato di revisione conserva inoltre ticker, data dell’evento, frequenza sorgente, semantica della data, direzione, rapporto dello split, fattore, rendimento osservato e metadati della decisione. Queste informazioni garantiscono la tracciabilità dell’intervento senza presentare una discontinuità di prezzo come prova automatica di un’azione societaria.</w:t>
      </w:r>
    </w:p>
    <w:p w14:paraId="3675B354" w14:textId="77777777" w:rsidR="000854B7" w:rsidRPr="00BE3538" w:rsidRDefault="008242CC">
      <w:pPr>
        <w:pStyle w:val="Heading1"/>
        <w:rPr>
          <w:lang w:val="it-IT"/>
        </w:rPr>
      </w:pPr>
      <w:bookmarkStart w:id="28" w:name="X7221f49fc35ad60c46e412f2fd026bbf444328d"/>
      <w:bookmarkStart w:id="29" w:name="_Toc236387217"/>
      <w:bookmarkEnd w:id="22"/>
      <w:bookmarkEnd w:id="23"/>
      <w:r>
        <w:rPr>
          <w:lang w:val="it-IT"/>
        </w:rPr>
        <w:t xml:space="preserve">4. Calendario di mercato, allineamento date e definizione di </w:t>
      </w:r>
      <m:oMath>
        <m:r>
          <m:rPr>
            <m:sty m:val="bi"/>
          </m:rPr>
          <w:rPr>
            <w:rFonts w:ascii="Cambria Math" w:hAnsi="Cambria Math"/>
          </w:rPr>
          <m:t>H</m:t>
        </m:r>
      </m:oMath>
      <w:bookmarkEnd w:id="29"/>
    </w:p>
    <w:p w14:paraId="5C6D68D1" w14:textId="77777777" w:rsidR="000854B7" w:rsidRPr="00BE3538" w:rsidRDefault="008242CC">
      <w:pPr>
        <w:pStyle w:val="Heading2"/>
        <w:rPr>
          <w:lang w:val="it-IT"/>
        </w:rPr>
      </w:pPr>
      <w:bookmarkStart w:id="30" w:name="politiche-di-calendario"/>
      <w:bookmarkStart w:id="31" w:name="_Toc236387218"/>
      <w:r>
        <w:rPr>
          <w:lang w:val="it-IT"/>
        </w:rPr>
        <w:t>4.1 Politiche di calendario</w:t>
      </w:r>
      <w:bookmarkEnd w:id="31"/>
    </w:p>
    <w:p w14:paraId="6C5B08D1" w14:textId="77777777" w:rsidR="000854B7" w:rsidRPr="00BE3538" w:rsidRDefault="008242CC">
      <w:pPr>
        <w:pStyle w:val="FirstParagraph"/>
        <w:rPr>
          <w:lang w:val="it-IT"/>
        </w:rPr>
      </w:pPr>
      <w:r>
        <w:rPr>
          <w:lang w:val="it-IT"/>
        </w:rPr>
        <w:t>Il sistema distingue tre politiche:</w:t>
      </w:r>
    </w:p>
    <w:p w14:paraId="7B6E3388" w14:textId="77777777" w:rsidR="000854B7" w:rsidRPr="00122D14" w:rsidRDefault="008242CC">
      <w:pPr>
        <w:pStyle w:val="BodyText"/>
        <w:rPr>
          <w:lang w:val="it-IT"/>
        </w:rPr>
      </w:pPr>
      <w:r>
        <w:rPr>
          <w:lang w:val="it-IT"/>
        </w:rPr>
        <w:t xml:space="preserve">1. </w:t>
      </w:r>
      <w:r>
        <w:rPr>
          <w:b/>
          <w:bCs/>
          <w:lang w:val="it-IT"/>
        </w:rPr>
        <w:t>Mercato USA (calendario NYSE approssimato)</w:t>
      </w:r>
    </w:p>
    <w:p w14:paraId="4DBBE11D" w14:textId="77777777" w:rsidR="000854B7" w:rsidRPr="00122D14" w:rsidRDefault="008242CC">
      <w:pPr>
        <w:pStyle w:val="BodyText"/>
        <w:rPr>
          <w:lang w:val="it-IT"/>
        </w:rPr>
      </w:pPr>
      <w:r>
        <w:rPr>
          <w:lang w:val="it-IT"/>
        </w:rPr>
        <w:t>Weekend + principali festività USA.</w:t>
      </w:r>
    </w:p>
    <w:p w14:paraId="3BB8075A" w14:textId="77777777" w:rsidR="000854B7" w:rsidRPr="00122D14" w:rsidRDefault="008242CC">
      <w:pPr>
        <w:pStyle w:val="BodyText"/>
        <w:rPr>
          <w:lang w:val="it-IT"/>
        </w:rPr>
      </w:pPr>
      <w:r>
        <w:rPr>
          <w:lang w:val="it-IT"/>
        </w:rPr>
        <w:t xml:space="preserve">2. </w:t>
      </w:r>
      <w:r>
        <w:rPr>
          <w:b/>
          <w:bCs/>
          <w:lang w:val="it-IT"/>
        </w:rPr>
        <w:t>Giorni feriali generici (lunedì–venerdì)</w:t>
      </w:r>
    </w:p>
    <w:p w14:paraId="1DFEDE2A" w14:textId="77777777" w:rsidR="000854B7" w:rsidRPr="00BE3538" w:rsidRDefault="008242CC">
      <w:pPr>
        <w:pStyle w:val="BodyText"/>
        <w:rPr>
          <w:lang w:val="it-IT"/>
        </w:rPr>
      </w:pPr>
      <w:r>
        <w:rPr>
          <w:lang w:val="it-IT"/>
        </w:rPr>
        <w:t>Lunedì—venerdì senza assunzioni specifiche sul mercato.</w:t>
      </w:r>
    </w:p>
    <w:p w14:paraId="559DBC43" w14:textId="77777777" w:rsidR="000854B7" w:rsidRPr="00BE3538" w:rsidRDefault="008242CC">
      <w:pPr>
        <w:pStyle w:val="BodyText"/>
        <w:rPr>
          <w:lang w:val="it-IT"/>
        </w:rPr>
      </w:pPr>
      <w:r>
        <w:rPr>
          <w:lang w:val="it-IT"/>
        </w:rPr>
        <w:t xml:space="preserve">3. </w:t>
      </w:r>
      <w:r>
        <w:rPr>
          <w:b/>
          <w:bCs/>
          <w:lang w:val="it-IT"/>
        </w:rPr>
        <w:t>Cripto (calendario giornaliero a 7 giorni)</w:t>
      </w:r>
    </w:p>
    <w:p w14:paraId="1F4C295D" w14:textId="77777777" w:rsidR="000854B7" w:rsidRPr="00BE3538" w:rsidRDefault="008242CC">
      <w:pPr>
        <w:pStyle w:val="BodyText"/>
        <w:rPr>
          <w:lang w:val="it-IT"/>
        </w:rPr>
      </w:pPr>
      <w:r>
        <w:rPr>
          <w:lang w:val="it-IT"/>
        </w:rPr>
        <w:t>Calendario giornaliero a 7 giorni.</w:t>
      </w:r>
    </w:p>
    <w:p w14:paraId="47DB9227" w14:textId="77777777" w:rsidR="000854B7" w:rsidRPr="00BE3538" w:rsidRDefault="008242CC">
      <w:pPr>
        <w:pStyle w:val="Heading2"/>
        <w:rPr>
          <w:lang w:val="it-IT"/>
        </w:rPr>
      </w:pPr>
      <w:bookmarkStart w:id="32" w:name="allineamento-della-data-target"/>
      <w:bookmarkStart w:id="33" w:name="_Toc236387219"/>
      <w:bookmarkEnd w:id="30"/>
      <w:r>
        <w:rPr>
          <w:lang w:val="it-IT"/>
        </w:rPr>
        <w:t>4.2 Allineamento della data target</w:t>
      </w:r>
      <w:bookmarkEnd w:id="33"/>
    </w:p>
    <w:p w14:paraId="4D82B2F1" w14:textId="77777777" w:rsidR="000854B7" w:rsidRPr="00BE3538" w:rsidRDefault="008242CC">
      <w:pPr>
        <w:pStyle w:val="FirstParagraph"/>
        <w:rPr>
          <w:lang w:val="it-IT"/>
        </w:rPr>
      </w:pPr>
      <w:r>
        <w:rPr>
          <w:lang w:val="it-IT"/>
        </w:rPr>
        <w:t>Per asset non crypto, la data target richiesta dall’utente viene riportata all’ultima seduta valida non successiva alla data inserita.</w:t>
      </w:r>
    </w:p>
    <w:p w14:paraId="2A179A0C" w14:textId="77777777" w:rsidR="000854B7" w:rsidRPr="00BE3538" w:rsidRDefault="008242CC">
      <w:pPr>
        <w:pStyle w:val="BodyText"/>
        <w:rPr>
          <w:lang w:val="it-IT"/>
        </w:rPr>
      </w:pPr>
      <w:r>
        <w:rPr>
          <w:lang w:val="it-IT"/>
        </w:rPr>
        <w:t>Quindi la data target effettiva è:</w:t>
      </w:r>
    </w:p>
    <w:p w14:paraId="667D97AC" w14:textId="77777777" w:rsidR="000854B7" w:rsidRPr="00122D14" w:rsidRDefault="00C0462E">
      <w:pPr>
        <w:pStyle w:val="BodyText"/>
        <w:rPr>
          <w:lang w:val="it-IT"/>
        </w:rPr>
      </w:pPr>
      <m:oMathPara>
        <m:oMathParaPr>
          <m:jc m:val="center"/>
        </m:oMathParaPr>
        <m:oMath>
          <m:sSup>
            <m:sSupPr>
              <m:ctrlPr>
                <w:rPr>
                  <w:rFonts w:ascii="Cambria Math" w:hAnsi="Cambria Math"/>
                </w:rPr>
              </m:ctrlPr>
            </m:sSupPr>
            <m:e>
              <m:r>
                <w:rPr>
                  <w:rFonts w:ascii="Cambria Math" w:hAnsi="Cambria Math"/>
                </w:rPr>
                <m:t>T</m:t>
              </m:r>
            </m:e>
            <m:sup>
              <m:r>
                <w:rPr>
                  <w:rFonts w:ascii="Cambria Math" w:hAnsi="Cambria Math"/>
                </w:rPr>
                <m:t>eff</m:t>
              </m:r>
            </m:sup>
          </m:sSup>
          <m:r>
            <m:rPr>
              <m:sty m:val="p"/>
            </m:rPr>
            <w:rPr>
              <w:rFonts w:ascii="Cambria Math" w:hAnsi="Cambria Math"/>
              <w:lang w:val="it-IT"/>
            </w:rPr>
            <m:t>=</m:t>
          </m:r>
          <m:r>
            <m:rPr>
              <m:nor/>
            </m:rPr>
            <w:rPr>
              <w:lang w:val="it-IT"/>
            </w:rPr>
            <m:t>allinea</m:t>
          </m:r>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req</m:t>
                  </m:r>
                </m:sup>
              </m:sSup>
            </m:e>
          </m:d>
        </m:oMath>
      </m:oMathPara>
    </w:p>
    <w:p w14:paraId="7B308F1A" w14:textId="77777777" w:rsidR="000854B7" w:rsidRPr="00BE3538" w:rsidRDefault="008242CC">
      <w:pPr>
        <w:pStyle w:val="FirstParagraph"/>
        <w:rPr>
          <w:lang w:val="it-IT"/>
        </w:rPr>
      </w:pPr>
      <w:r>
        <w:rPr>
          <w:lang w:val="it-IT"/>
        </w:rPr>
        <w:lastRenderedPageBreak/>
        <w:t xml:space="preserve">Per crypto non esiste rollback: </w:t>
      </w:r>
      <m:oMath>
        <m:r>
          <w:rPr>
            <w:rFonts w:ascii="Cambria Math" w:hAnsi="Cambria Math"/>
          </w:rPr>
          <m:t>T</m:t>
        </m:r>
        <m:r>
          <m:rPr>
            <m:sty m:val="p"/>
          </m:rPr>
          <w:rPr>
            <w:rFonts w:ascii="Cambria Math" w:hAnsi="Cambria Math"/>
            <w:lang w:val="it-IT"/>
          </w:rPr>
          <m:t>^</m:t>
        </m:r>
        <m:r>
          <w:rPr>
            <w:rFonts w:ascii="Cambria Math" w:hAnsi="Cambria Math"/>
          </w:rPr>
          <m:t>eff</m:t>
        </m:r>
        <m:r>
          <m:rPr>
            <m:sty m:val="p"/>
          </m:rPr>
          <w:rPr>
            <w:rFonts w:ascii="Cambria Math" w:hAnsi="Cambria Math"/>
            <w:lang w:val="it-IT"/>
          </w:rPr>
          <m:t>=</m:t>
        </m:r>
        <m:r>
          <w:rPr>
            <w:rFonts w:ascii="Cambria Math" w:hAnsi="Cambria Math"/>
          </w:rPr>
          <m:t>T</m:t>
        </m:r>
        <m:r>
          <m:rPr>
            <m:sty m:val="p"/>
          </m:rPr>
          <w:rPr>
            <w:rFonts w:ascii="Cambria Math" w:hAnsi="Cambria Math"/>
            <w:lang w:val="it-IT"/>
          </w:rPr>
          <m:t>^</m:t>
        </m:r>
        <m:r>
          <w:rPr>
            <w:rFonts w:ascii="Cambria Math" w:hAnsi="Cambria Math"/>
          </w:rPr>
          <m:t>req</m:t>
        </m:r>
      </m:oMath>
      <w:r>
        <w:rPr>
          <w:lang w:val="it-IT"/>
        </w:rPr>
        <w:t>.</w:t>
      </w:r>
    </w:p>
    <w:p w14:paraId="10EECEAF" w14:textId="77777777" w:rsidR="000854B7" w:rsidRPr="00BE3538" w:rsidRDefault="008242CC">
      <w:pPr>
        <w:pStyle w:val="Heading2"/>
        <w:rPr>
          <w:lang w:val="it-IT"/>
        </w:rPr>
      </w:pPr>
      <w:bookmarkStart w:id="34" w:name="regime-di-orizzonte-giorni-di-calendario"/>
      <w:bookmarkStart w:id="35" w:name="_Toc236387220"/>
      <w:bookmarkEnd w:id="32"/>
      <w:r>
        <w:rPr>
          <w:lang w:val="it-IT"/>
        </w:rPr>
        <w:t>4.3 Regime di orizzonte (giorni di calendario)</w:t>
      </w:r>
      <w:bookmarkEnd w:id="35"/>
    </w:p>
    <w:p w14:paraId="347BDB54" w14:textId="77777777" w:rsidR="000854B7" w:rsidRDefault="008242CC">
      <w:pPr>
        <w:pStyle w:val="FirstParagraph"/>
      </w:pPr>
      <w:r>
        <w:t>Sia:</w:t>
      </w:r>
    </w:p>
    <w:p w14:paraId="0E99F17F" w14:textId="77777777" w:rsidR="000854B7" w:rsidRDefault="008242CC">
      <w:pPr>
        <w:pStyle w:val="BodyText"/>
      </w:pPr>
      <m:oMathPara>
        <m:oMathParaPr>
          <m:jc m:val="center"/>
        </m:oMathParaPr>
        <m:oMath>
          <m:r>
            <w:rPr>
              <w:rFonts w:ascii="Cambria Math" w:hAnsi="Cambria Math"/>
            </w:rPr>
            <m:t>d</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req</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ref</m:t>
                  </m:r>
                </m:sup>
              </m:sSup>
            </m:e>
          </m:d>
        </m:oMath>
      </m:oMathPara>
    </w:p>
    <w:p w14:paraId="42D24FA8" w14:textId="77777777" w:rsidR="000854B7" w:rsidRPr="00BE3538" w:rsidRDefault="008242CC">
      <w:pPr>
        <w:pStyle w:val="FirstParagraph"/>
        <w:rPr>
          <w:lang w:val="it-IT"/>
        </w:rPr>
      </w:pPr>
      <w:r>
        <w:rPr>
          <w:lang w:val="it-IT"/>
        </w:rPr>
        <w:t>con differenza in giorni di calendario fra data di riferimento effettiva e data target richiesta.</w:t>
      </w:r>
    </w:p>
    <w:p w14:paraId="1946B48E" w14:textId="77777777" w:rsidR="000854B7" w:rsidRDefault="008242CC">
      <w:pPr>
        <w:pStyle w:val="BodyText"/>
      </w:pPr>
      <w:r>
        <w:t>Il regime è:</w:t>
      </w:r>
    </w:p>
    <w:p w14:paraId="48895ADE" w14:textId="77777777" w:rsidR="000854B7" w:rsidRDefault="008242CC" w:rsidP="008242CC">
      <w:pPr>
        <w:numPr>
          <w:ilvl w:val="0"/>
          <w:numId w:val="6"/>
        </w:numPr>
      </w:pPr>
      <w:r>
        <w:rPr>
          <w:b/>
          <w:bCs/>
        </w:rPr>
        <w:t>short</w:t>
      </w:r>
      <w:r>
        <w:t xml:space="preserve"> se </w:t>
      </w:r>
      <m:oMath>
        <m:r>
          <w:rPr>
            <w:rFonts w:ascii="Cambria Math" w:hAnsi="Cambria Math"/>
          </w:rPr>
          <m:t>d</m:t>
        </m:r>
        <m:r>
          <m:rPr>
            <m:sty m:val="p"/>
          </m:rPr>
          <w:rPr>
            <w:rFonts w:ascii="Cambria Math" w:hAnsi="Cambria Math"/>
          </w:rPr>
          <m:t>≤</m:t>
        </m:r>
        <m:r>
          <w:rPr>
            <w:rFonts w:ascii="Cambria Math" w:hAnsi="Cambria Math"/>
          </w:rPr>
          <m:t>91</m:t>
        </m:r>
      </m:oMath>
    </w:p>
    <w:p w14:paraId="586FC1BA" w14:textId="77777777" w:rsidR="000854B7" w:rsidRDefault="008242CC" w:rsidP="008242CC">
      <w:pPr>
        <w:numPr>
          <w:ilvl w:val="0"/>
          <w:numId w:val="6"/>
        </w:numPr>
      </w:pPr>
      <w:r>
        <w:rPr>
          <w:b/>
          <w:bCs/>
        </w:rPr>
        <w:t>medium</w:t>
      </w:r>
      <w:r>
        <w:t xml:space="preserve"> se </w:t>
      </w:r>
      <m:oMath>
        <m:r>
          <w:rPr>
            <w:rFonts w:ascii="Cambria Math" w:hAnsi="Cambria Math"/>
          </w:rPr>
          <m:t>91</m:t>
        </m:r>
        <m:r>
          <m:rPr>
            <m:sty m:val="p"/>
          </m:rPr>
          <w:rPr>
            <w:rFonts w:ascii="Cambria Math" w:hAnsi="Cambria Math"/>
          </w:rPr>
          <m:t>&lt;</m:t>
        </m:r>
        <m:r>
          <w:rPr>
            <w:rFonts w:ascii="Cambria Math" w:hAnsi="Cambria Math"/>
          </w:rPr>
          <m:t>d</m:t>
        </m:r>
        <m:r>
          <m:rPr>
            <m:sty m:val="p"/>
          </m:rPr>
          <w:rPr>
            <w:rFonts w:ascii="Cambria Math" w:hAnsi="Cambria Math"/>
          </w:rPr>
          <m:t>≤</m:t>
        </m:r>
        <m:r>
          <w:rPr>
            <w:rFonts w:ascii="Cambria Math" w:hAnsi="Cambria Math"/>
          </w:rPr>
          <m:t>730</m:t>
        </m:r>
      </m:oMath>
    </w:p>
    <w:p w14:paraId="5267D68F" w14:textId="77777777" w:rsidR="000854B7" w:rsidRDefault="008242CC" w:rsidP="008242CC">
      <w:pPr>
        <w:numPr>
          <w:ilvl w:val="0"/>
          <w:numId w:val="6"/>
        </w:numPr>
      </w:pPr>
      <w:r>
        <w:rPr>
          <w:b/>
          <w:bCs/>
        </w:rPr>
        <w:t>long</w:t>
      </w:r>
      <w:r>
        <w:t xml:space="preserve"> se </w:t>
      </w:r>
      <m:oMath>
        <m:r>
          <w:rPr>
            <w:rFonts w:ascii="Cambria Math" w:hAnsi="Cambria Math"/>
          </w:rPr>
          <m:t>d</m:t>
        </m:r>
        <m:r>
          <m:rPr>
            <m:sty m:val="p"/>
          </m:rPr>
          <w:rPr>
            <w:rFonts w:ascii="Cambria Math" w:hAnsi="Cambria Math"/>
          </w:rPr>
          <m:t>&gt;</m:t>
        </m:r>
        <m:r>
          <w:rPr>
            <w:rFonts w:ascii="Cambria Math" w:hAnsi="Cambria Math"/>
          </w:rPr>
          <m:t>730</m:t>
        </m:r>
      </m:oMath>
    </w:p>
    <w:p w14:paraId="749F0B8E" w14:textId="77777777" w:rsidR="000854B7" w:rsidRDefault="008242CC">
      <w:pPr>
        <w:pStyle w:val="Heading2"/>
      </w:pPr>
      <w:bookmarkStart w:id="36" w:name="orizzonte-operativo-h"/>
      <w:bookmarkStart w:id="37" w:name="_Toc236387221"/>
      <w:bookmarkEnd w:id="34"/>
      <w:r>
        <w:t xml:space="preserve">4.4 Orizzonte operativo </w:t>
      </w:r>
      <m:oMath>
        <m:r>
          <m:rPr>
            <m:sty m:val="bi"/>
          </m:rPr>
          <w:rPr>
            <w:rFonts w:ascii="Cambria Math" w:hAnsi="Cambria Math"/>
          </w:rPr>
          <m:t>H</m:t>
        </m:r>
      </m:oMath>
      <w:bookmarkEnd w:id="37"/>
    </w:p>
    <w:p w14:paraId="148B3E19" w14:textId="77777777" w:rsidR="000854B7" w:rsidRDefault="008242CC">
      <w:pPr>
        <w:pStyle w:val="FirstParagraph"/>
      </w:pPr>
      <w:r>
        <w:t>Per crypto:</w:t>
      </w:r>
    </w:p>
    <w:p w14:paraId="3CDA1422" w14:textId="77777777" w:rsidR="000854B7" w:rsidRDefault="008242CC">
      <w:pPr>
        <w:pStyle w:val="BodyText"/>
      </w:pPr>
      <m:oMathPara>
        <m:oMathParaPr>
          <m:jc m:val="center"/>
        </m:oMathParaPr>
        <m:oMath>
          <m:r>
            <w:rPr>
              <w:rFonts w:ascii="Cambria Math" w:hAnsi="Cambria Math"/>
            </w:rPr>
            <m:t>H</m:t>
          </m:r>
          <m:r>
            <m:rPr>
              <m:sty m:val="p"/>
            </m:rPr>
            <w:rPr>
              <w:rFonts w:ascii="Cambria Math" w:hAnsi="Cambria Math"/>
            </w:rPr>
            <m:t>=</m:t>
          </m:r>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ref</m:t>
                      </m:r>
                    </m:sup>
                  </m:sSup>
                </m:e>
              </m:d>
            </m:e>
            <m:sub>
              <m:r>
                <w:rPr>
                  <w:rFonts w:ascii="Cambria Math" w:hAnsi="Cambria Math"/>
                </w:rPr>
                <m:t>days</m:t>
              </m:r>
            </m:sub>
          </m:sSub>
        </m:oMath>
      </m:oMathPara>
    </w:p>
    <w:p w14:paraId="15432808" w14:textId="77777777" w:rsidR="000854B7" w:rsidRDefault="008242CC">
      <w:pPr>
        <w:pStyle w:val="FirstParagraph"/>
      </w:pPr>
      <w:r>
        <w:t>Per equity/asset weekday-based:</w:t>
      </w:r>
    </w:p>
    <w:p w14:paraId="4C637FEA" w14:textId="77777777" w:rsidR="000854B7" w:rsidRDefault="008242CC">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market</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ref</m:t>
              </m:r>
            </m:sup>
          </m:sSup>
          <m:r>
            <m:rPr>
              <m:sty m:val="p"/>
            </m:rPr>
            <w:rPr>
              <w:rFonts w:ascii="Cambria Math" w:hAnsi="Cambria Math"/>
            </w:rPr>
            <m:t>&lt;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eff</m:t>
              </m:r>
            </m:sup>
          </m:sSup>
          <m:r>
            <m:rPr>
              <m:sty m:val="p"/>
            </m:rPr>
            <w:rPr>
              <w:rFonts w:ascii="Cambria Math" w:hAnsi="Cambria Math"/>
            </w:rPr>
            <m:t>}</m:t>
          </m:r>
        </m:oMath>
      </m:oMathPara>
    </w:p>
    <w:p w14:paraId="202F1903" w14:textId="77777777" w:rsidR="000854B7" w:rsidRPr="00BE3538" w:rsidRDefault="008242CC">
      <w:pPr>
        <w:pStyle w:val="FirstParagraph"/>
        <w:rPr>
          <w:lang w:val="it-IT"/>
        </w:rPr>
      </w:pPr>
      <w:r>
        <w:rPr>
          <w:lang w:val="it-IT"/>
        </w:rPr>
        <w:t>cioè il numero di sedute comprese fra la data di riferimento e la data target allineata.</w:t>
      </w:r>
    </w:p>
    <w:p w14:paraId="49DF5C3C" w14:textId="77777777" w:rsidR="000854B7" w:rsidRDefault="00C0462E">
      <w:r>
        <w:pict w14:anchorId="001F11EB">
          <v:rect id="_x0000_i1027" style="width:0;height:1.5pt" o:hralign="center" o:hrstd="t" o:hr="t"/>
        </w:pict>
      </w:r>
    </w:p>
    <w:p w14:paraId="18E242F7" w14:textId="77777777" w:rsidR="000854B7" w:rsidRPr="00BE3538" w:rsidRDefault="008242CC">
      <w:pPr>
        <w:pStyle w:val="Heading1"/>
        <w:rPr>
          <w:lang w:val="it-IT"/>
        </w:rPr>
      </w:pPr>
      <w:bookmarkStart w:id="38" w:name="pipeline-esecutiva-completa"/>
      <w:bookmarkStart w:id="39" w:name="_Toc236387222"/>
      <w:bookmarkEnd w:id="28"/>
      <w:bookmarkEnd w:id="36"/>
      <w:r>
        <w:rPr>
          <w:lang w:val="it-IT"/>
        </w:rPr>
        <w:t>5. Pipeline esecutiva completa</w:t>
      </w:r>
      <w:bookmarkEnd w:id="39"/>
    </w:p>
    <w:p w14:paraId="3B2FB70D" w14:textId="77777777" w:rsidR="000854B7" w:rsidRPr="00BE3538" w:rsidRDefault="008242CC">
      <w:pPr>
        <w:pStyle w:val="FirstParagraph"/>
        <w:rPr>
          <w:lang w:val="it-IT"/>
        </w:rPr>
      </w:pPr>
      <w:r>
        <w:rPr>
          <w:lang w:val="it-IT"/>
        </w:rPr>
        <w:t xml:space="preserve">Il forecast asincrono esegue </w:t>
      </w:r>
      <w:r>
        <w:rPr>
          <w:b/>
          <w:bCs/>
          <w:lang w:val="it-IT"/>
        </w:rPr>
        <w:t>9 fasi</w:t>
      </w:r>
      <w:r>
        <w:rPr>
          <w:lang w:val="it-IT"/>
        </w:rPr>
        <w:t xml:space="preserve"> sequenziali, seguite da una fase di emissione finale del risultato.</w:t>
      </w:r>
    </w:p>
    <w:p w14:paraId="308E45D7" w14:textId="77777777" w:rsidR="000854B7" w:rsidRPr="00BE3538" w:rsidRDefault="008242CC">
      <w:pPr>
        <w:pStyle w:val="Heading2"/>
        <w:rPr>
          <w:lang w:val="it-IT"/>
        </w:rPr>
      </w:pPr>
      <w:bookmarkStart w:id="40" w:name="_Toc236387223"/>
      <w:r>
        <w:rPr>
          <w:lang w:val="it-IT"/>
        </w:rPr>
        <w:t>5.1 Sequenza operativa</w:t>
      </w:r>
      <w:bookmarkEnd w:id="40"/>
    </w:p>
    <w:p w14:paraId="5D1A13F5" w14:textId="77777777" w:rsidR="000854B7" w:rsidRPr="00BE3538" w:rsidRDefault="008242CC">
      <w:pPr>
        <w:rPr>
          <w:lang w:val="it-IT"/>
        </w:rPr>
      </w:pPr>
      <w:r>
        <w:rPr>
          <w:lang w:val="it-IT"/>
        </w:rPr>
        <w:t>1. acquisizione e preparazione dati;</w:t>
      </w:r>
    </w:p>
    <w:p w14:paraId="4C7C8973" w14:textId="77777777" w:rsidR="000854B7" w:rsidRPr="00BE3538" w:rsidRDefault="008242CC">
      <w:pPr>
        <w:rPr>
          <w:lang w:val="it-IT"/>
        </w:rPr>
      </w:pPr>
      <w:r>
        <w:rPr>
          <w:lang w:val="it-IT"/>
        </w:rPr>
        <w:t>2. risoluzione del contesto;</w:t>
      </w:r>
    </w:p>
    <w:p w14:paraId="60B1ECBF" w14:textId="77777777" w:rsidR="000854B7" w:rsidRPr="00BE3538" w:rsidRDefault="008242CC">
      <w:pPr>
        <w:rPr>
          <w:lang w:val="it-IT"/>
        </w:rPr>
      </w:pPr>
      <w:r>
        <w:rPr>
          <w:lang w:val="it-IT"/>
        </w:rPr>
        <w:t>3. calcolo o recupero dei pesi;</w:t>
      </w:r>
    </w:p>
    <w:p w14:paraId="24D451C7" w14:textId="77777777" w:rsidR="000854B7" w:rsidRPr="00BE3538" w:rsidRDefault="008242CC">
      <w:pPr>
        <w:rPr>
          <w:lang w:val="it-IT"/>
        </w:rPr>
      </w:pPr>
      <w:r>
        <w:rPr>
          <w:lang w:val="it-IT"/>
        </w:rPr>
        <w:t>4. esecuzione dei modelli;</w:t>
      </w:r>
    </w:p>
    <w:p w14:paraId="0051F279" w14:textId="77777777" w:rsidR="000854B7" w:rsidRPr="00BE3538" w:rsidRDefault="008242CC">
      <w:pPr>
        <w:rPr>
          <w:lang w:val="it-IT"/>
        </w:rPr>
      </w:pPr>
      <w:r>
        <w:rPr>
          <w:lang w:val="it-IT"/>
        </w:rPr>
        <w:t>5. costruzione degli intervalli di predizione;</w:t>
      </w:r>
    </w:p>
    <w:p w14:paraId="62CFC1C1" w14:textId="77777777" w:rsidR="000854B7" w:rsidRPr="00BE3538" w:rsidRDefault="008242CC">
      <w:pPr>
        <w:rPr>
          <w:lang w:val="it-IT"/>
        </w:rPr>
      </w:pPr>
      <w:r>
        <w:rPr>
          <w:lang w:val="it-IT"/>
        </w:rPr>
        <w:t>6. calcolo metriche;</w:t>
      </w:r>
    </w:p>
    <w:p w14:paraId="5748F2FD" w14:textId="77777777" w:rsidR="000854B7" w:rsidRPr="00BE3538" w:rsidRDefault="008242CC">
      <w:pPr>
        <w:rPr>
          <w:lang w:val="it-IT"/>
        </w:rPr>
      </w:pPr>
      <w:r>
        <w:rPr>
          <w:lang w:val="it-IT"/>
        </w:rPr>
        <w:t>7. assemblaggio payload;</w:t>
      </w:r>
    </w:p>
    <w:p w14:paraId="249EAF06" w14:textId="77777777" w:rsidR="000854B7" w:rsidRPr="00BE3538" w:rsidRDefault="008242CC">
      <w:pPr>
        <w:rPr>
          <w:lang w:val="it-IT"/>
        </w:rPr>
      </w:pPr>
      <w:r>
        <w:rPr>
          <w:lang w:val="it-IT"/>
        </w:rPr>
        <w:lastRenderedPageBreak/>
        <w:t>8. enrichment AI / audit tecnico;</w:t>
      </w:r>
    </w:p>
    <w:p w14:paraId="76AD4E38" w14:textId="77777777" w:rsidR="000854B7" w:rsidRPr="00BE3538" w:rsidRDefault="008242CC">
      <w:pPr>
        <w:rPr>
          <w:lang w:val="it-IT"/>
        </w:rPr>
      </w:pPr>
      <w:r>
        <w:rPr>
          <w:lang w:val="it-IT"/>
        </w:rPr>
        <w:t>9. generazione report.</w:t>
      </w:r>
    </w:p>
    <w:p w14:paraId="719EC0C3" w14:textId="77777777" w:rsidR="000854B7" w:rsidRPr="00BE3538" w:rsidRDefault="008242CC">
      <w:pPr>
        <w:pStyle w:val="Heading2"/>
        <w:rPr>
          <w:lang w:val="it-IT"/>
        </w:rPr>
      </w:pPr>
      <w:bookmarkStart w:id="41" w:name="_Toc236387224"/>
      <w:r>
        <w:rPr>
          <w:lang w:val="it-IT"/>
        </w:rPr>
        <w:t>5.2 Ordine concettuale dei calcoli</w:t>
      </w:r>
      <w:bookmarkEnd w:id="41"/>
    </w:p>
    <w:p w14:paraId="7255F3F2" w14:textId="77777777" w:rsidR="000854B7" w:rsidRPr="00BE3538" w:rsidRDefault="008242CC">
      <w:pPr>
        <w:pStyle w:val="FirstParagraph"/>
        <w:rPr>
          <w:lang w:val="it-IT"/>
        </w:rPr>
      </w:pPr>
      <w:r>
        <w:rPr>
          <w:lang w:val="it-IT"/>
        </w:rPr>
        <w:t>L’ordine corretto non è intercambiabile:</w:t>
      </w:r>
    </w:p>
    <w:p w14:paraId="667C7589" w14:textId="77777777" w:rsidR="00690358" w:rsidRPr="00122D14" w:rsidRDefault="00075396">
      <w:pPr>
        <w:jc w:val="center"/>
        <w:rPr>
          <w:lang w:val="it-IT"/>
        </w:rPr>
      </w:pPr>
      <w:r>
        <w:rPr>
          <w:lang w:val="it-IT"/>
        </w:rPr>
        <w:t>Data → Context → Weights → Forecast panel → Outlier filter → Ensemble point forecast</w:t>
      </w:r>
      <w:r>
        <w:rPr>
          <w:lang w:val="it-IT"/>
        </w:rPr>
        <w:br/>
        <w:t>→ PI / Probabilities → Metrics → Payload / Audit / Report</w:t>
      </w:r>
    </w:p>
    <w:p w14:paraId="4FB5F4E4" w14:textId="77777777" w:rsidR="000854B7" w:rsidRPr="00BE3538" w:rsidRDefault="008242CC">
      <w:pPr>
        <w:pStyle w:val="FirstParagraph"/>
        <w:rPr>
          <w:lang w:val="it-IT"/>
        </w:rPr>
      </w:pPr>
      <w:r>
        <w:rPr>
          <w:lang w:val="it-IT"/>
        </w:rPr>
        <w:t xml:space="preserve">L’intervallo di predizione è quindi </w:t>
      </w:r>
      <w:r>
        <w:rPr>
          <w:b/>
          <w:bCs/>
          <w:lang w:val="it-IT"/>
        </w:rPr>
        <w:t>successivo</w:t>
      </w:r>
      <w:r>
        <w:rPr>
          <w:lang w:val="it-IT"/>
        </w:rPr>
        <w:t xml:space="preserve"> alla previsione puntuale combinata ed è costruito su una storia di calibrazione coerente con lo stesso motore frequency-aware.</w:t>
      </w:r>
    </w:p>
    <w:p w14:paraId="1280ACCB" w14:textId="77777777" w:rsidR="000854B7" w:rsidRDefault="00C0462E">
      <w:r>
        <w:pict w14:anchorId="42FF1C6B">
          <v:rect id="_x0000_i1028" style="width:0;height:1.5pt" o:hralign="center" o:hrstd="t" o:hr="t"/>
        </w:pict>
      </w:r>
    </w:p>
    <w:p w14:paraId="6D7192AD" w14:textId="77777777" w:rsidR="000854B7" w:rsidRPr="00BE3538" w:rsidRDefault="008242CC">
      <w:pPr>
        <w:pStyle w:val="Heading1"/>
        <w:rPr>
          <w:lang w:val="it-IT"/>
        </w:rPr>
      </w:pPr>
      <w:bookmarkStart w:id="42" w:name="X12fa818693feee70e725d116f0b4b515b70f7b5"/>
      <w:bookmarkStart w:id="43" w:name="_Toc236387225"/>
      <w:bookmarkEnd w:id="38"/>
      <w:r>
        <w:rPr>
          <w:lang w:val="it-IT"/>
        </w:rPr>
        <w:t>6. Acquisizione dati, risoluzione ticker e modalità simulazione</w:t>
      </w:r>
      <w:bookmarkEnd w:id="43"/>
    </w:p>
    <w:p w14:paraId="3914FA1F" w14:textId="77777777" w:rsidR="00035F7E" w:rsidRPr="00122D14" w:rsidRDefault="008242CC">
      <w:pPr>
        <w:pStyle w:val="Heading2"/>
        <w:rPr>
          <w:lang w:val="it-IT"/>
        </w:rPr>
      </w:pPr>
      <w:bookmarkStart w:id="44" w:name="_Toc236387226"/>
      <w:r>
        <w:rPr>
          <w:lang w:val="it-IT"/>
        </w:rPr>
        <w:t>6.1 Risoluzione ticker</w:t>
      </w:r>
      <w:bookmarkEnd w:id="44"/>
    </w:p>
    <w:p w14:paraId="74CC5A17" w14:textId="77777777" w:rsidR="00035F7E" w:rsidRPr="00122D14" w:rsidRDefault="008242CC">
      <w:pPr>
        <w:rPr>
          <w:lang w:val="it-IT"/>
        </w:rPr>
      </w:pPr>
      <w:r>
        <w:rPr>
          <w:lang w:val="it-IT"/>
        </w:rPr>
        <w:t>Il sistema distingue il percorso offline dal percorso basato su dataset cliente.</w:t>
      </w:r>
    </w:p>
    <w:p w14:paraId="5EA91499" w14:textId="77777777" w:rsidR="00035F7E" w:rsidRPr="00122D14" w:rsidRDefault="008242CC">
      <w:pPr>
        <w:rPr>
          <w:lang w:val="it-IT"/>
        </w:rPr>
      </w:pPr>
      <w:r>
        <w:rPr>
          <w:b/>
          <w:lang w:val="it-IT"/>
        </w:rPr>
        <w:t>A) Percorso offline e strumenti interni</w:t>
      </w:r>
    </w:p>
    <w:p w14:paraId="17880F52" w14:textId="77777777" w:rsidR="00035F7E" w:rsidRPr="00122D14" w:rsidRDefault="008242CC">
      <w:pPr>
        <w:rPr>
          <w:lang w:val="it-IT"/>
        </w:rPr>
      </w:pPr>
      <w:r>
        <w:rPr>
          <w:lang w:val="it-IT"/>
        </w:rPr>
        <w:t>Negli strumenti offline o batch, il sistema può normalizzare ticker già validi, applicare regole lessicali e, quando previsto dalla configurazione locale, utilizzare un resolver LLM locale per interpretare nomi aziendali o input ambigui. Nessun simbolo quantitativo viene inventato: se la risoluzione non produce un risultato verificabile, il sistema conserva l’input normalizzato oppure restituisce un errore esplicito.</w:t>
      </w:r>
    </w:p>
    <w:p w14:paraId="59C0792E" w14:textId="77777777" w:rsidR="00035F7E" w:rsidRPr="00122D14" w:rsidRDefault="008242CC">
      <w:pPr>
        <w:rPr>
          <w:lang w:val="it-IT"/>
        </w:rPr>
      </w:pPr>
      <w:r>
        <w:rPr>
          <w:b/>
          <w:lang w:val="it-IT"/>
        </w:rPr>
        <w:t>B) Percorso con dataset caricato dal cliente</w:t>
      </w:r>
    </w:p>
    <w:p w14:paraId="47F5C2FC" w14:textId="77777777" w:rsidR="00035F7E" w:rsidRPr="00122D14" w:rsidRDefault="008242CC">
      <w:pPr>
        <w:rPr>
          <w:lang w:val="it-IT"/>
        </w:rPr>
      </w:pPr>
      <w:r>
        <w:rPr>
          <w:lang w:val="it-IT"/>
        </w:rPr>
        <w:t>Nel percorso di produzione la risoluzione viene eseguita rispetto ai ticker realmente presenti nel dataset validato.</w:t>
      </w:r>
    </w:p>
    <w:p w14:paraId="3A461F41" w14:textId="77777777" w:rsidR="00035F7E" w:rsidRPr="00122D14" w:rsidRDefault="008242CC">
      <w:pPr>
        <w:rPr>
          <w:lang w:val="it-IT"/>
        </w:rPr>
      </w:pPr>
      <w:r>
        <w:rPr>
          <w:lang w:val="it-IT"/>
        </w:rPr>
        <w:t>La procedura è la seguente:</w:t>
      </w:r>
    </w:p>
    <w:p w14:paraId="2F29D50F" w14:textId="77777777" w:rsidR="00035F7E" w:rsidRPr="00122D14" w:rsidRDefault="008242CC" w:rsidP="008242CC">
      <w:pPr>
        <w:numPr>
          <w:ilvl w:val="0"/>
          <w:numId w:val="26"/>
        </w:numPr>
        <w:rPr>
          <w:lang w:val="it-IT"/>
        </w:rPr>
      </w:pPr>
      <w:r>
        <w:rPr>
          <w:lang w:val="it-IT"/>
        </w:rPr>
        <w:t>l’input originale viene normalizzato senza eliminare gli spazi interni legittimi;</w:t>
      </w:r>
    </w:p>
    <w:p w14:paraId="72DF6F1F" w14:textId="77777777" w:rsidR="00035F7E" w:rsidRPr="00122D14" w:rsidRDefault="008242CC" w:rsidP="008242CC">
      <w:pPr>
        <w:numPr>
          <w:ilvl w:val="0"/>
          <w:numId w:val="26"/>
        </w:numPr>
        <w:rPr>
          <w:lang w:val="it-IT"/>
        </w:rPr>
      </w:pPr>
      <w:r>
        <w:rPr>
          <w:lang w:val="it-IT"/>
        </w:rPr>
        <w:t>il backend cerca una corrispondenza deterministica nell’indice dei ticker del dataset e della frequenza richiesta;</w:t>
      </w:r>
    </w:p>
    <w:p w14:paraId="00B6EDD4" w14:textId="77777777" w:rsidR="00035F7E" w:rsidRPr="00122D14" w:rsidRDefault="008242CC" w:rsidP="008242CC">
      <w:pPr>
        <w:numPr>
          <w:ilvl w:val="0"/>
          <w:numId w:val="26"/>
        </w:numPr>
        <w:rPr>
          <w:lang w:val="it-IT"/>
        </w:rPr>
      </w:pPr>
      <w:r>
        <w:rPr>
          <w:lang w:val="it-IT"/>
        </w:rPr>
        <w:t>se esiste una sola corrispondenza valida, viene restituito il ticker canonico presente nel dataset;</w:t>
      </w:r>
    </w:p>
    <w:p w14:paraId="04CE9158" w14:textId="77777777" w:rsidR="00035F7E" w:rsidRPr="00122D14" w:rsidRDefault="008242CC" w:rsidP="008242CC">
      <w:pPr>
        <w:numPr>
          <w:ilvl w:val="0"/>
          <w:numId w:val="26"/>
        </w:numPr>
        <w:rPr>
          <w:lang w:val="it-IT"/>
        </w:rPr>
      </w:pPr>
      <w:r>
        <w:rPr>
          <w:lang w:val="it-IT"/>
        </w:rPr>
        <w:t>se la risoluzione richiede conferma, l’interfaccia mostra il ticker candidato all’utente;</w:t>
      </w:r>
    </w:p>
    <w:p w14:paraId="03AAA0B6" w14:textId="77777777" w:rsidR="00035F7E" w:rsidRPr="00122D14" w:rsidRDefault="008242CC" w:rsidP="008242CC">
      <w:pPr>
        <w:numPr>
          <w:ilvl w:val="0"/>
          <w:numId w:val="26"/>
        </w:numPr>
        <w:rPr>
          <w:lang w:val="it-IT"/>
        </w:rPr>
      </w:pPr>
      <w:r>
        <w:rPr>
          <w:lang w:val="it-IT"/>
        </w:rPr>
        <w:t>dopo la conferma viene eseguita una seconda richiesta di verifica;</w:t>
      </w:r>
    </w:p>
    <w:p w14:paraId="43E40685" w14:textId="77777777" w:rsidR="00035F7E" w:rsidRPr="00122D14" w:rsidRDefault="008242CC" w:rsidP="008242CC">
      <w:pPr>
        <w:numPr>
          <w:ilvl w:val="0"/>
          <w:numId w:val="26"/>
        </w:numPr>
        <w:rPr>
          <w:lang w:val="it-IT"/>
        </w:rPr>
      </w:pPr>
      <w:r>
        <w:rPr>
          <w:lang w:val="it-IT"/>
        </w:rPr>
        <w:t>il risultato è accettato soltanto se la seconda verifica restituisce una corrispondenza deterministica e univoca;</w:t>
      </w:r>
    </w:p>
    <w:p w14:paraId="1DDAF0D1" w14:textId="77777777" w:rsidR="00035F7E" w:rsidRPr="00122D14" w:rsidRDefault="008242CC" w:rsidP="008242CC">
      <w:pPr>
        <w:numPr>
          <w:ilvl w:val="0"/>
          <w:numId w:val="26"/>
        </w:numPr>
        <w:rPr>
          <w:lang w:val="it-IT"/>
        </w:rPr>
      </w:pPr>
      <w:r>
        <w:rPr>
          <w:lang w:val="it-IT"/>
        </w:rPr>
        <w:lastRenderedPageBreak/>
        <w:t>input diversi non possono risolversi silenziosamente nello stesso ticker canonico.</w:t>
      </w:r>
    </w:p>
    <w:p w14:paraId="7355316D" w14:textId="77777777" w:rsidR="00035F7E" w:rsidRPr="00122D14" w:rsidRDefault="008242CC">
      <w:pPr>
        <w:rPr>
          <w:lang w:val="it-IT"/>
        </w:rPr>
      </w:pPr>
      <w:r>
        <w:rPr>
          <w:lang w:val="it-IT"/>
        </w:rPr>
        <w:t>In Live Mode il testo originale inserito dall’utente può essere conservato nel campo visibile, mentre il mapping fra input originale e ticker canonico viene mantenuto separatamente e utilizzato per costruire il payload quantitativo.</w:t>
      </w:r>
    </w:p>
    <w:p w14:paraId="265628F2" w14:textId="77777777" w:rsidR="00035F7E" w:rsidRPr="00122D14" w:rsidRDefault="008242CC">
      <w:pPr>
        <w:rPr>
          <w:lang w:val="it-IT"/>
        </w:rPr>
      </w:pPr>
      <w:r>
        <w:rPr>
          <w:lang w:val="it-IT"/>
        </w:rPr>
        <w:t>Le intestazioni Bloomberg contenenti spazi, come «AAPL US Equity» o «FTSE MIB Index», sono trattate come identificativi completi e non vengono suddivise in ticker distinti.</w:t>
      </w:r>
    </w:p>
    <w:p w14:paraId="526D999D" w14:textId="77777777" w:rsidR="000854B7" w:rsidRPr="00BE3538" w:rsidRDefault="008242CC">
      <w:pPr>
        <w:pStyle w:val="Heading2"/>
        <w:rPr>
          <w:lang w:val="it-IT"/>
        </w:rPr>
      </w:pPr>
      <w:bookmarkStart w:id="45" w:name="taglio-con-max_data_date"/>
      <w:bookmarkStart w:id="46" w:name="_Toc236387227"/>
      <w:r>
        <w:rPr>
          <w:lang w:val="it-IT"/>
        </w:rPr>
        <w:t>6.2 Taglio con data massima dei dati</w:t>
      </w:r>
      <w:bookmarkEnd w:id="46"/>
    </w:p>
    <w:p w14:paraId="51AB03BC" w14:textId="77777777" w:rsidR="000854B7" w:rsidRPr="00BE3538" w:rsidRDefault="008242CC">
      <w:pPr>
        <w:pStyle w:val="FirstParagraph"/>
        <w:rPr>
          <w:lang w:val="it-IT"/>
        </w:rPr>
      </w:pPr>
      <w:r>
        <w:rPr>
          <w:lang w:val="it-IT"/>
        </w:rPr>
        <w:t>Se l’utente fornisce una data massima dati, la storia viene tagliata a:</w:t>
      </w:r>
    </w:p>
    <w:p w14:paraId="28BB2C20" w14:textId="77777777" w:rsidR="000854B7" w:rsidRPr="00122D14" w:rsidRDefault="00C0462E">
      <w:pPr>
        <w:pStyle w:val="BodyText"/>
        <w:rPr>
          <w:lang w:val="it-IT"/>
        </w:rPr>
      </w:pPr>
      <m:oMathPara>
        <m:oMathParaPr>
          <m:jc m:val="center"/>
        </m:oMathParaP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cut</m:t>
              </m:r>
            </m:sub>
          </m:sSub>
          <m:r>
            <m:rPr>
              <m:sty m:val="p"/>
            </m:rPr>
            <w:rPr>
              <w:rFonts w:ascii="Cambria Math" w:hAnsi="Cambria Math"/>
              <w:lang w:val="it-IT"/>
            </w:rPr>
            <m:t>={</m:t>
          </m:r>
          <m:r>
            <w:rPr>
              <w:rFonts w:ascii="Cambria Math" w:hAnsi="Cambria Math"/>
            </w:rPr>
            <m:t>t</m:t>
          </m:r>
          <m:r>
            <m:rPr>
              <m:sty m:val="p"/>
            </m:rPr>
            <w:rPr>
              <w:rFonts w:ascii="Cambria Math" w:hAnsi="Cambria Math"/>
              <w:lang w:val="it-IT"/>
            </w:rPr>
            <m:t>:</m:t>
          </m:r>
          <m:r>
            <w:rPr>
              <w:rFonts w:ascii="Cambria Math" w:hAnsi="Cambria Math"/>
            </w:rPr>
            <m:t>t</m:t>
          </m:r>
          <m:r>
            <m:rPr>
              <m:sty m:val="p"/>
            </m:rPr>
            <w:rPr>
              <w:rFonts w:ascii="Cambria Math" w:hAnsi="Cambria Math"/>
              <w:lang w:val="it-IT"/>
            </w:rPr>
            <m:t>≤</m:t>
          </m:r>
          <m:r>
            <m:rPr>
              <m:nor/>
            </m:rPr>
            <w:rPr>
              <w:lang w:val="it-IT"/>
            </w:rPr>
            <m:t>data massima dei dati</m:t>
          </m:r>
          <m:r>
            <m:rPr>
              <m:sty m:val="p"/>
            </m:rPr>
            <w:rPr>
              <w:rFonts w:ascii="Cambria Math" w:hAnsi="Cambria Math"/>
              <w:lang w:val="it-IT"/>
            </w:rPr>
            <m:t>}</m:t>
          </m:r>
        </m:oMath>
      </m:oMathPara>
    </w:p>
    <w:p w14:paraId="2F987F86" w14:textId="77777777" w:rsidR="000854B7" w:rsidRPr="00BE3538" w:rsidRDefault="008242CC">
      <w:pPr>
        <w:pStyle w:val="FirstParagraph"/>
        <w:rPr>
          <w:lang w:val="it-IT"/>
        </w:rPr>
      </w:pPr>
      <w:r>
        <w:rPr>
          <w:lang w:val="it-IT"/>
        </w:rPr>
        <w:t>Questo serve a stabilizzare la chiave di cache e a rendere riproducibili richieste eseguite in giorni diversi.</w:t>
      </w:r>
    </w:p>
    <w:p w14:paraId="0860FE7E" w14:textId="77777777" w:rsidR="000854B7" w:rsidRPr="00BE3538" w:rsidRDefault="008242CC">
      <w:pPr>
        <w:pStyle w:val="Heading2"/>
        <w:rPr>
          <w:lang w:val="it-IT"/>
        </w:rPr>
      </w:pPr>
      <w:bookmarkStart w:id="47" w:name="modalitã-simulazione-reference_date"/>
      <w:bookmarkStart w:id="48" w:name="_Toc236387228"/>
      <w:bookmarkEnd w:id="45"/>
      <w:r>
        <w:rPr>
          <w:lang w:val="it-IT"/>
        </w:rPr>
        <w:t>6.3 Modalità simulazione (data di riferimento)</w:t>
      </w:r>
      <w:bookmarkEnd w:id="48"/>
    </w:p>
    <w:p w14:paraId="0C0FCDD7" w14:textId="77777777" w:rsidR="000854B7" w:rsidRPr="00BE3538" w:rsidRDefault="008242CC">
      <w:pPr>
        <w:pStyle w:val="FirstParagraph"/>
        <w:rPr>
          <w:lang w:val="it-IT"/>
        </w:rPr>
      </w:pPr>
      <w:r>
        <w:rPr>
          <w:lang w:val="it-IT"/>
        </w:rPr>
        <w:t>In time-travel mode, la serie viene tagliata alla reference date:</w:t>
      </w:r>
    </w:p>
    <w:p w14:paraId="55586F12" w14:textId="77777777" w:rsidR="000854B7" w:rsidRPr="00122D14" w:rsidRDefault="00C0462E">
      <w:pPr>
        <w:pStyle w:val="BodyText"/>
        <w:rPr>
          <w:lang w:val="it-IT"/>
        </w:rPr>
      </w:pPr>
      <m:oMathPara>
        <m:oMathParaPr>
          <m:jc m:val="center"/>
        </m:oMathParaP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sim</m:t>
              </m:r>
            </m:sub>
          </m:sSub>
          <m:r>
            <m:rPr>
              <m:sty m:val="p"/>
            </m:rPr>
            <w:rPr>
              <w:rFonts w:ascii="Cambria Math" w:hAnsi="Cambria Math"/>
              <w:lang w:val="it-IT"/>
            </w:rPr>
            <m:t>={</m:t>
          </m:r>
          <m:r>
            <w:rPr>
              <w:rFonts w:ascii="Cambria Math" w:hAnsi="Cambria Math"/>
            </w:rPr>
            <m:t>t</m:t>
          </m:r>
          <m:r>
            <m:rPr>
              <m:sty m:val="p"/>
            </m:rPr>
            <w:rPr>
              <w:rFonts w:ascii="Cambria Math" w:hAnsi="Cambria Math"/>
              <w:lang w:val="it-IT"/>
            </w:rPr>
            <m:t>:</m:t>
          </m:r>
          <m:r>
            <w:rPr>
              <w:rFonts w:ascii="Cambria Math" w:hAnsi="Cambria Math"/>
            </w:rPr>
            <m:t>t</m:t>
          </m:r>
          <m:r>
            <m:rPr>
              <m:sty m:val="p"/>
            </m:rPr>
            <w:rPr>
              <w:rFonts w:ascii="Cambria Math" w:hAnsi="Cambria Math"/>
              <w:lang w:val="it-IT"/>
            </w:rPr>
            <m:t>≤</m:t>
          </m:r>
          <m:r>
            <m:rPr>
              <m:nor/>
            </m:rPr>
            <w:rPr>
              <w:lang w:val="it-IT"/>
            </w:rPr>
            <m:t>data di riferimento</m:t>
          </m:r>
          <m:r>
            <m:rPr>
              <m:sty m:val="p"/>
            </m:rPr>
            <w:rPr>
              <w:rFonts w:ascii="Cambria Math" w:hAnsi="Cambria Math"/>
              <w:lang w:val="it-IT"/>
            </w:rPr>
            <m:t>}</m:t>
          </m:r>
        </m:oMath>
      </m:oMathPara>
    </w:p>
    <w:p w14:paraId="3CA9E7B2" w14:textId="77777777" w:rsidR="000854B7" w:rsidRDefault="008242CC">
      <w:pPr>
        <w:pStyle w:val="FirstParagraph"/>
      </w:pPr>
      <w:r>
        <w:t>Vincoli:</w:t>
      </w:r>
    </w:p>
    <w:p w14:paraId="5D2A6F8E" w14:textId="77777777" w:rsidR="000854B7" w:rsidRPr="00122D14" w:rsidRDefault="008242CC" w:rsidP="008242CC">
      <w:pPr>
        <w:numPr>
          <w:ilvl w:val="0"/>
          <w:numId w:val="7"/>
        </w:numPr>
        <w:rPr>
          <w:lang w:val="it-IT"/>
        </w:rPr>
      </w:pPr>
      <w:r>
        <w:rPr>
          <w:lang w:val="it-IT"/>
        </w:rPr>
        <w:t>data di riferimento precedente alla data target;</w:t>
      </w:r>
    </w:p>
    <w:p w14:paraId="400676E6" w14:textId="77777777" w:rsidR="000854B7" w:rsidRPr="00BE3538" w:rsidRDefault="008242CC" w:rsidP="008242CC">
      <w:pPr>
        <w:numPr>
          <w:ilvl w:val="0"/>
          <w:numId w:val="7"/>
        </w:numPr>
        <w:rPr>
          <w:lang w:val="it-IT"/>
        </w:rPr>
      </w:pPr>
      <w:r>
        <w:rPr>
          <w:lang w:val="it-IT"/>
        </w:rPr>
        <w:t>data di riferimento non può precedere l’inizio della storia disponibile.</w:t>
      </w:r>
    </w:p>
    <w:p w14:paraId="530C2700" w14:textId="77777777" w:rsidR="000854B7" w:rsidRDefault="008242CC">
      <w:pPr>
        <w:pStyle w:val="FirstParagraph"/>
      </w:pPr>
      <w:r>
        <w:t>Effetti della simulazione:</w:t>
      </w:r>
    </w:p>
    <w:p w14:paraId="144115DA" w14:textId="77777777" w:rsidR="000854B7" w:rsidRPr="00BE3538" w:rsidRDefault="008242CC" w:rsidP="008242CC">
      <w:pPr>
        <w:numPr>
          <w:ilvl w:val="0"/>
          <w:numId w:val="8"/>
        </w:numPr>
        <w:rPr>
          <w:lang w:val="it-IT"/>
        </w:rPr>
      </w:pPr>
      <w:r>
        <w:rPr>
          <w:lang w:val="it-IT"/>
        </w:rPr>
        <w:t>il modello lavora come se la reference date fosse “oggi”</w:t>
      </w:r>
      <w:r>
        <w:t></w:t>
      </w:r>
      <w:r>
        <w:rPr>
          <w:lang w:val="it-IT"/>
        </w:rPr>
        <w:t>;</w:t>
      </w:r>
    </w:p>
    <w:p w14:paraId="1FF0006C" w14:textId="77777777" w:rsidR="000854B7" w:rsidRPr="00BE3538" w:rsidRDefault="008242CC" w:rsidP="008242CC">
      <w:pPr>
        <w:numPr>
          <w:ilvl w:val="0"/>
          <w:numId w:val="8"/>
        </w:numPr>
        <w:rPr>
          <w:lang w:val="it-IT"/>
        </w:rPr>
      </w:pPr>
      <w:r>
        <w:rPr>
          <w:lang w:val="it-IT"/>
        </w:rPr>
        <w:t>il sistema prova a recuperare il prezzo reale in prossimità della target date storica (entro 4 giorni) per confrontare ex post previsione e realizzato.</w:t>
      </w:r>
    </w:p>
    <w:p w14:paraId="554CF9DD" w14:textId="77777777" w:rsidR="000854B7" w:rsidRPr="00BE3538" w:rsidRDefault="008242CC">
      <w:pPr>
        <w:pStyle w:val="Heading2"/>
        <w:rPr>
          <w:lang w:val="it-IT"/>
        </w:rPr>
      </w:pPr>
      <w:bookmarkStart w:id="49" w:name="finestra-storica-opzionale-per-backtest"/>
      <w:bookmarkStart w:id="50" w:name="_Toc236387229"/>
      <w:bookmarkEnd w:id="47"/>
      <w:r>
        <w:rPr>
          <w:lang w:val="it-IT"/>
        </w:rPr>
        <w:t>6.4 Finestra storica opzionale per backtest</w:t>
      </w:r>
      <w:bookmarkEnd w:id="50"/>
    </w:p>
    <w:p w14:paraId="051A69D5" w14:textId="77777777" w:rsidR="000854B7" w:rsidRPr="00BE3538" w:rsidRDefault="008242CC">
      <w:pPr>
        <w:pStyle w:val="FirstParagraph"/>
        <w:rPr>
          <w:lang w:val="it-IT"/>
        </w:rPr>
      </w:pPr>
      <w:r>
        <w:rPr>
          <w:lang w:val="it-IT"/>
        </w:rPr>
        <w:t>Dopo eventuali tagli precedenti, possono essere applicati anche anni di backtest e mesi di backtest, restringendo la storia ad una finestra mobile retrospettiva rispetto all’ultima data disponibile.</w:t>
      </w:r>
    </w:p>
    <w:p w14:paraId="615ABBFC" w14:textId="77777777" w:rsidR="000854B7" w:rsidRDefault="00C0462E">
      <w:r>
        <w:pict w14:anchorId="4FF2099E">
          <v:rect id="_x0000_i1029" style="width:0;height:1.5pt" o:hralign="center" o:hrstd="t" o:hr="t"/>
        </w:pict>
      </w:r>
    </w:p>
    <w:p w14:paraId="70EAA7CF" w14:textId="77777777" w:rsidR="000854B7" w:rsidRPr="00BE3538" w:rsidRDefault="008242CC">
      <w:pPr>
        <w:pStyle w:val="Heading1"/>
        <w:rPr>
          <w:lang w:val="it-IT"/>
        </w:rPr>
      </w:pPr>
      <w:bookmarkStart w:id="51" w:name="Xc069ffa07401648a5444ac5c6a444377cef123c"/>
      <w:bookmarkStart w:id="52" w:name="_Toc236387230"/>
      <w:bookmarkEnd w:id="42"/>
      <w:bookmarkEnd w:id="49"/>
      <w:r>
        <w:rPr>
          <w:lang w:val="it-IT"/>
        </w:rPr>
        <w:t>7. Universo modelli, trasformazioni e vincoli strutturali</w:t>
      </w:r>
      <w:bookmarkEnd w:id="52"/>
    </w:p>
    <w:p w14:paraId="7534944D" w14:textId="77777777" w:rsidR="000854B7" w:rsidRPr="00BE3538" w:rsidRDefault="008242CC">
      <w:pPr>
        <w:pStyle w:val="Heading2"/>
        <w:rPr>
          <w:lang w:val="it-IT"/>
        </w:rPr>
      </w:pPr>
      <w:bookmarkStart w:id="53" w:name="X848cfe4a795977f21bf40f75e488cd77ca448a8"/>
      <w:bookmarkStart w:id="54" w:name="_Toc236387231"/>
      <w:r>
        <w:rPr>
          <w:lang w:val="it-IT"/>
        </w:rPr>
        <w:t>7.1 Modelli selezionabili e benchmark interno</w:t>
      </w:r>
      <w:bookmarkEnd w:id="54"/>
    </w:p>
    <w:p w14:paraId="7D2A4195" w14:textId="77777777" w:rsidR="000854B7" w:rsidRPr="00BE3538" w:rsidRDefault="008242CC">
      <w:pPr>
        <w:pStyle w:val="FirstParagraph"/>
        <w:rPr>
          <w:lang w:val="it-IT"/>
        </w:rPr>
      </w:pPr>
      <w:r>
        <w:rPr>
          <w:lang w:val="it-IT"/>
        </w:rPr>
        <w:t>I modelli selezionabili nel forecast pubblico sono 8:</w:t>
      </w:r>
    </w:p>
    <w:p w14:paraId="5922FBD2" w14:textId="77777777" w:rsidR="000854B7" w:rsidRDefault="008242CC" w:rsidP="008242CC">
      <w:pPr>
        <w:numPr>
          <w:ilvl w:val="0"/>
          <w:numId w:val="9"/>
        </w:numPr>
      </w:pPr>
      <w:r>
        <w:lastRenderedPageBreak/>
        <w:t>SARIMA</w:t>
      </w:r>
    </w:p>
    <w:p w14:paraId="2E238985" w14:textId="77777777" w:rsidR="000854B7" w:rsidRDefault="008242CC" w:rsidP="008242CC">
      <w:pPr>
        <w:numPr>
          <w:ilvl w:val="0"/>
          <w:numId w:val="9"/>
        </w:numPr>
      </w:pPr>
      <w:r>
        <w:t>Prophet</w:t>
      </w:r>
    </w:p>
    <w:p w14:paraId="245F922D" w14:textId="77777777" w:rsidR="000854B7" w:rsidRDefault="008242CC" w:rsidP="008242CC">
      <w:pPr>
        <w:numPr>
          <w:ilvl w:val="0"/>
          <w:numId w:val="9"/>
        </w:numPr>
      </w:pPr>
      <w:r>
        <w:t>TBATS</w:t>
      </w:r>
    </w:p>
    <w:p w14:paraId="0177A08B" w14:textId="77777777" w:rsidR="000854B7" w:rsidRDefault="008242CC" w:rsidP="008242CC">
      <w:pPr>
        <w:numPr>
          <w:ilvl w:val="0"/>
          <w:numId w:val="9"/>
        </w:numPr>
      </w:pPr>
      <w:r>
        <w:t>ETS</w:t>
      </w:r>
    </w:p>
    <w:p w14:paraId="65569FF4" w14:textId="77777777" w:rsidR="000854B7" w:rsidRDefault="008242CC" w:rsidP="008242CC">
      <w:pPr>
        <w:numPr>
          <w:ilvl w:val="0"/>
          <w:numId w:val="9"/>
        </w:numPr>
      </w:pPr>
      <w:r>
        <w:t>Theta</w:t>
      </w:r>
    </w:p>
    <w:p w14:paraId="47433AF8" w14:textId="77777777" w:rsidR="000854B7" w:rsidRDefault="008242CC" w:rsidP="008242CC">
      <w:pPr>
        <w:numPr>
          <w:ilvl w:val="0"/>
          <w:numId w:val="9"/>
        </w:numPr>
      </w:pPr>
      <w:r>
        <w:t>LightGBM</w:t>
      </w:r>
    </w:p>
    <w:p w14:paraId="793A0D8A" w14:textId="77777777" w:rsidR="000854B7" w:rsidRDefault="008242CC" w:rsidP="008242CC">
      <w:pPr>
        <w:numPr>
          <w:ilvl w:val="0"/>
          <w:numId w:val="9"/>
        </w:numPr>
      </w:pPr>
      <w:r>
        <w:t>CatBoost</w:t>
      </w:r>
    </w:p>
    <w:p w14:paraId="432651FB" w14:textId="77777777" w:rsidR="000854B7" w:rsidRDefault="008242CC" w:rsidP="008242CC">
      <w:pPr>
        <w:numPr>
          <w:ilvl w:val="0"/>
          <w:numId w:val="9"/>
        </w:numPr>
      </w:pPr>
      <w:r>
        <w:t>NBEATS</w:t>
      </w:r>
    </w:p>
    <w:p w14:paraId="3023E4EC" w14:textId="77777777" w:rsidR="000854B7" w:rsidRPr="00BE3538" w:rsidRDefault="008242CC">
      <w:pPr>
        <w:pStyle w:val="FirstParagraph"/>
        <w:rPr>
          <w:lang w:val="it-IT"/>
        </w:rPr>
      </w:pPr>
      <w:r>
        <w:rPr>
          <w:lang w:val="it-IT"/>
        </w:rPr>
        <w:t>Naive è presente come benchmark interno, non come modello standard selezionabile nel flusso utente.</w:t>
      </w:r>
    </w:p>
    <w:p w14:paraId="6C120A4C" w14:textId="77777777" w:rsidR="000854B7" w:rsidRDefault="008242CC">
      <w:pPr>
        <w:pStyle w:val="Heading2"/>
        <w:rPr>
          <w:lang w:val="it-IT"/>
        </w:rPr>
      </w:pPr>
      <w:bookmarkStart w:id="55" w:name="tabella-sintetica-dei-modelli"/>
      <w:bookmarkStart w:id="56" w:name="_Toc236387232"/>
      <w:bookmarkEnd w:id="53"/>
      <w:r>
        <w:rPr>
          <w:lang w:val="it-IT"/>
        </w:rPr>
        <w:t>7.2 Tabella sintetica dei modelli</w:t>
      </w:r>
      <w:bookmarkEnd w:id="5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2072"/>
        <w:gridCol w:w="951"/>
        <w:gridCol w:w="2147"/>
        <w:gridCol w:w="1785"/>
        <w:gridCol w:w="2014"/>
      </w:tblGrid>
      <w:tr w:rsidR="0027425C" w:rsidRPr="0027425C" w14:paraId="69D944AD" w14:textId="77777777">
        <w:trPr>
          <w:tblHeader/>
          <w:tblCellSpacing w:w="15" w:type="dxa"/>
        </w:trPr>
        <w:tc>
          <w:tcPr>
            <w:tcW w:w="0" w:type="auto"/>
            <w:vAlign w:val="center"/>
            <w:hideMark/>
          </w:tcPr>
          <w:p w14:paraId="0B21FA47" w14:textId="77777777" w:rsidR="0027425C" w:rsidRPr="0027425C" w:rsidRDefault="0027425C" w:rsidP="0027425C">
            <w:pPr>
              <w:pStyle w:val="BodyText"/>
              <w:rPr>
                <w:b/>
                <w:bCs/>
                <w:lang w:val="en-GB"/>
              </w:rPr>
            </w:pPr>
            <w:r>
              <w:rPr>
                <w:b/>
                <w:bCs/>
                <w:lang w:val="en-GB"/>
              </w:rPr>
              <w:t>Modello</w:t>
            </w:r>
          </w:p>
        </w:tc>
        <w:tc>
          <w:tcPr>
            <w:tcW w:w="0" w:type="auto"/>
            <w:vAlign w:val="center"/>
            <w:hideMark/>
          </w:tcPr>
          <w:p w14:paraId="318B223A" w14:textId="77777777" w:rsidR="0027425C" w:rsidRPr="0027425C" w:rsidRDefault="0027425C" w:rsidP="0027425C">
            <w:pPr>
              <w:pStyle w:val="BodyText"/>
              <w:rPr>
                <w:b/>
                <w:bCs/>
                <w:lang w:val="en-GB"/>
              </w:rPr>
            </w:pPr>
            <w:r>
              <w:rPr>
                <w:b/>
                <w:bCs/>
                <w:lang w:val="en-GB"/>
              </w:rPr>
              <w:t>Dominio di modellazione</w:t>
            </w:r>
          </w:p>
        </w:tc>
        <w:tc>
          <w:tcPr>
            <w:tcW w:w="0" w:type="auto"/>
            <w:vAlign w:val="center"/>
            <w:hideMark/>
          </w:tcPr>
          <w:p w14:paraId="41ACD9E5" w14:textId="77777777" w:rsidR="0027425C" w:rsidRPr="0027425C" w:rsidRDefault="0027425C" w:rsidP="0027425C">
            <w:pPr>
              <w:pStyle w:val="BodyText"/>
              <w:rPr>
                <w:b/>
                <w:bCs/>
                <w:lang w:val="en-GB"/>
              </w:rPr>
            </w:pPr>
            <w:r>
              <w:rPr>
                <w:b/>
                <w:bCs/>
                <w:lang w:val="en-GB"/>
              </w:rPr>
              <w:t>Min points</w:t>
            </w:r>
          </w:p>
        </w:tc>
        <w:tc>
          <w:tcPr>
            <w:tcW w:w="0" w:type="auto"/>
            <w:vAlign w:val="center"/>
            <w:hideMark/>
          </w:tcPr>
          <w:p w14:paraId="1F300354" w14:textId="77777777" w:rsidR="0027425C" w:rsidRPr="0027425C" w:rsidRDefault="0027425C" w:rsidP="0027425C">
            <w:pPr>
              <w:pStyle w:val="BodyText"/>
              <w:rPr>
                <w:b/>
                <w:bCs/>
                <w:lang w:val="en-GB"/>
              </w:rPr>
            </w:pPr>
            <w:r>
              <w:rPr>
                <w:b/>
                <w:bCs/>
                <w:lang w:val="en-GB"/>
              </w:rPr>
              <w:t>Max points / target cap</w:t>
            </w:r>
          </w:p>
        </w:tc>
        <w:tc>
          <w:tcPr>
            <w:tcW w:w="0" w:type="auto"/>
            <w:vAlign w:val="center"/>
            <w:hideMark/>
          </w:tcPr>
          <w:p w14:paraId="0FFC7EE4" w14:textId="77777777" w:rsidR="0027425C" w:rsidRPr="0027425C" w:rsidRDefault="0027425C" w:rsidP="0027425C">
            <w:pPr>
              <w:pStyle w:val="BodyText"/>
              <w:rPr>
                <w:b/>
                <w:bCs/>
                <w:lang w:val="en-GB"/>
              </w:rPr>
            </w:pPr>
            <w:r>
              <w:rPr>
                <w:b/>
                <w:bCs/>
                <w:lang w:val="en-GB"/>
              </w:rPr>
              <w:t>Frequenze ammesse</w:t>
            </w:r>
          </w:p>
        </w:tc>
        <w:tc>
          <w:tcPr>
            <w:tcW w:w="0" w:type="auto"/>
            <w:vAlign w:val="center"/>
            <w:hideMark/>
          </w:tcPr>
          <w:p w14:paraId="649CAE58" w14:textId="77777777" w:rsidR="0027425C" w:rsidRPr="0027425C" w:rsidRDefault="0027425C" w:rsidP="0027425C">
            <w:pPr>
              <w:pStyle w:val="BodyText"/>
              <w:rPr>
                <w:b/>
                <w:bCs/>
                <w:lang w:val="en-GB"/>
              </w:rPr>
            </w:pPr>
            <w:r>
              <w:rPr>
                <w:b/>
                <w:bCs/>
                <w:lang w:val="en-GB"/>
              </w:rPr>
              <w:t>Vincolo di regime principale</w:t>
            </w:r>
          </w:p>
        </w:tc>
      </w:tr>
      <w:tr w:rsidR="0027425C" w:rsidRPr="0027425C" w14:paraId="343A8298" w14:textId="77777777">
        <w:trPr>
          <w:tblCellSpacing w:w="15" w:type="dxa"/>
        </w:trPr>
        <w:tc>
          <w:tcPr>
            <w:tcW w:w="0" w:type="auto"/>
            <w:vAlign w:val="center"/>
            <w:hideMark/>
          </w:tcPr>
          <w:p w14:paraId="4F2C9177" w14:textId="77777777" w:rsidR="0027425C" w:rsidRPr="0027425C" w:rsidRDefault="0027425C" w:rsidP="0027425C">
            <w:pPr>
              <w:pStyle w:val="BodyText"/>
              <w:rPr>
                <w:lang w:val="en-GB"/>
              </w:rPr>
            </w:pPr>
            <w:r>
              <w:rPr>
                <w:lang w:val="en-GB"/>
              </w:rPr>
              <w:t>Naive</w:t>
            </w:r>
          </w:p>
        </w:tc>
        <w:tc>
          <w:tcPr>
            <w:tcW w:w="0" w:type="auto"/>
            <w:vAlign w:val="center"/>
            <w:hideMark/>
          </w:tcPr>
          <w:p w14:paraId="7BD55C4A" w14:textId="77777777" w:rsidR="0027425C" w:rsidRPr="0027425C" w:rsidRDefault="0027425C" w:rsidP="0027425C">
            <w:pPr>
              <w:pStyle w:val="BodyText"/>
              <w:rPr>
                <w:lang w:val="en-GB"/>
              </w:rPr>
            </w:pPr>
            <w:r>
              <w:rPr>
                <w:lang w:val="en-GB"/>
              </w:rPr>
              <w:t>prezzo di chiusura</w:t>
            </w:r>
          </w:p>
        </w:tc>
        <w:tc>
          <w:tcPr>
            <w:tcW w:w="0" w:type="auto"/>
            <w:vAlign w:val="center"/>
            <w:hideMark/>
          </w:tcPr>
          <w:p w14:paraId="43428FD3" w14:textId="77777777" w:rsidR="0027425C" w:rsidRPr="0027425C" w:rsidRDefault="0027425C" w:rsidP="0027425C">
            <w:pPr>
              <w:pStyle w:val="BodyText"/>
              <w:rPr>
                <w:lang w:val="en-GB"/>
              </w:rPr>
            </w:pPr>
            <w:r>
              <w:rPr>
                <w:lang w:val="en-GB"/>
              </w:rPr>
              <w:t>10</w:t>
            </w:r>
          </w:p>
        </w:tc>
        <w:tc>
          <w:tcPr>
            <w:tcW w:w="0" w:type="auto"/>
            <w:vAlign w:val="center"/>
            <w:hideMark/>
          </w:tcPr>
          <w:p w14:paraId="6B945EC0" w14:textId="77777777" w:rsidR="0027425C" w:rsidRPr="0027425C" w:rsidRDefault="0027425C" w:rsidP="0027425C">
            <w:pPr>
              <w:pStyle w:val="BodyText"/>
              <w:rPr>
                <w:lang w:val="it-IT"/>
              </w:rPr>
            </w:pPr>
            <w:r>
              <w:rPr>
                <w:lang w:val="it-IT"/>
              </w:rPr>
              <w:t>non previsto da tabella target cap</w:t>
            </w:r>
          </w:p>
        </w:tc>
        <w:tc>
          <w:tcPr>
            <w:tcW w:w="0" w:type="auto"/>
            <w:vAlign w:val="center"/>
            <w:hideMark/>
          </w:tcPr>
          <w:p w14:paraId="3603E86E" w14:textId="77777777" w:rsidR="0027425C" w:rsidRPr="0027425C" w:rsidRDefault="0027425C" w:rsidP="0027425C">
            <w:pPr>
              <w:pStyle w:val="BodyText"/>
              <w:rPr>
                <w:lang w:val="en-GB"/>
              </w:rPr>
            </w:pPr>
            <w:r>
              <w:rPr>
                <w:lang w:val="en-GB"/>
              </w:rPr>
              <w:t>daily</w:t>
            </w:r>
          </w:p>
        </w:tc>
        <w:tc>
          <w:tcPr>
            <w:tcW w:w="0" w:type="auto"/>
            <w:vAlign w:val="center"/>
            <w:hideMark/>
          </w:tcPr>
          <w:p w14:paraId="4EF8A764" w14:textId="77777777" w:rsidR="0027425C" w:rsidRPr="0027425C" w:rsidRDefault="0027425C" w:rsidP="0027425C">
            <w:pPr>
              <w:pStyle w:val="BodyText"/>
              <w:rPr>
                <w:lang w:val="en-GB"/>
              </w:rPr>
            </w:pPr>
            <w:r>
              <w:rPr>
                <w:lang w:val="en-GB"/>
              </w:rPr>
              <w:t>nessuno</w:t>
            </w:r>
          </w:p>
        </w:tc>
      </w:tr>
      <w:tr w:rsidR="0027425C" w:rsidRPr="0027425C" w14:paraId="3E8F30AD" w14:textId="77777777">
        <w:trPr>
          <w:tblCellSpacing w:w="15" w:type="dxa"/>
        </w:trPr>
        <w:tc>
          <w:tcPr>
            <w:tcW w:w="0" w:type="auto"/>
            <w:vAlign w:val="center"/>
            <w:hideMark/>
          </w:tcPr>
          <w:p w14:paraId="43B0BDD6" w14:textId="77777777" w:rsidR="0027425C" w:rsidRPr="0027425C" w:rsidRDefault="0027425C" w:rsidP="0027425C">
            <w:pPr>
              <w:pStyle w:val="BodyText"/>
              <w:rPr>
                <w:lang w:val="en-GB"/>
              </w:rPr>
            </w:pPr>
            <w:r>
              <w:rPr>
                <w:lang w:val="en-GB"/>
              </w:rPr>
              <w:t>Theta</w:t>
            </w:r>
          </w:p>
        </w:tc>
        <w:tc>
          <w:tcPr>
            <w:tcW w:w="0" w:type="auto"/>
            <w:vAlign w:val="center"/>
            <w:hideMark/>
          </w:tcPr>
          <w:p w14:paraId="6E6F928E" w14:textId="77777777" w:rsidR="0027425C" w:rsidRPr="0027425C" w:rsidRDefault="0027425C" w:rsidP="0027425C">
            <w:pPr>
              <w:pStyle w:val="BodyText"/>
              <w:rPr>
                <w:lang w:val="en-GB"/>
              </w:rPr>
            </w:pPr>
            <w:r>
              <w:rPr>
                <w:lang w:val="en-GB"/>
              </w:rPr>
              <w:t>log-price</w:t>
            </w:r>
          </w:p>
        </w:tc>
        <w:tc>
          <w:tcPr>
            <w:tcW w:w="0" w:type="auto"/>
            <w:vAlign w:val="center"/>
            <w:hideMark/>
          </w:tcPr>
          <w:p w14:paraId="49564D4B" w14:textId="77777777" w:rsidR="0027425C" w:rsidRPr="0027425C" w:rsidRDefault="0027425C" w:rsidP="0027425C">
            <w:pPr>
              <w:pStyle w:val="BodyText"/>
              <w:rPr>
                <w:lang w:val="en-GB"/>
              </w:rPr>
            </w:pPr>
            <w:r>
              <w:rPr>
                <w:lang w:val="en-GB"/>
              </w:rPr>
              <w:t>60</w:t>
            </w:r>
          </w:p>
        </w:tc>
        <w:tc>
          <w:tcPr>
            <w:tcW w:w="0" w:type="auto"/>
            <w:vAlign w:val="center"/>
            <w:hideMark/>
          </w:tcPr>
          <w:p w14:paraId="0EE00BE4" w14:textId="77777777" w:rsidR="0027425C" w:rsidRPr="0027425C" w:rsidRDefault="0027425C" w:rsidP="0027425C">
            <w:pPr>
              <w:pStyle w:val="BodyText"/>
              <w:rPr>
                <w:lang w:val="en-GB"/>
              </w:rPr>
            </w:pPr>
            <w:r>
              <w:rPr>
                <w:lang w:val="en-GB"/>
              </w:rPr>
              <w:t>daily 350 / weekly 130 / monthly 72</w:t>
            </w:r>
          </w:p>
        </w:tc>
        <w:tc>
          <w:tcPr>
            <w:tcW w:w="0" w:type="auto"/>
            <w:vAlign w:val="center"/>
            <w:hideMark/>
          </w:tcPr>
          <w:p w14:paraId="4434F4E8" w14:textId="77777777" w:rsidR="0027425C" w:rsidRPr="0027425C" w:rsidRDefault="0027425C" w:rsidP="0027425C">
            <w:pPr>
              <w:pStyle w:val="BodyText"/>
              <w:rPr>
                <w:lang w:val="en-GB"/>
              </w:rPr>
            </w:pPr>
            <w:r>
              <w:rPr>
                <w:lang w:val="en-GB"/>
              </w:rPr>
              <w:t>daily / weekly / monthly</w:t>
            </w:r>
          </w:p>
        </w:tc>
        <w:tc>
          <w:tcPr>
            <w:tcW w:w="0" w:type="auto"/>
            <w:vAlign w:val="center"/>
            <w:hideMark/>
          </w:tcPr>
          <w:p w14:paraId="3EA44245" w14:textId="77777777" w:rsidR="0027425C" w:rsidRPr="0027425C" w:rsidRDefault="0027425C" w:rsidP="0027425C">
            <w:pPr>
              <w:pStyle w:val="BodyText"/>
              <w:rPr>
                <w:lang w:val="en-GB"/>
              </w:rPr>
            </w:pPr>
            <w:r>
              <w:rPr>
                <w:lang w:val="en-GB"/>
              </w:rPr>
              <w:t>nessuno</w:t>
            </w:r>
          </w:p>
        </w:tc>
      </w:tr>
      <w:tr w:rsidR="0027425C" w:rsidRPr="0027425C" w14:paraId="59A34D84" w14:textId="77777777">
        <w:trPr>
          <w:tblCellSpacing w:w="15" w:type="dxa"/>
        </w:trPr>
        <w:tc>
          <w:tcPr>
            <w:tcW w:w="0" w:type="auto"/>
            <w:vAlign w:val="center"/>
            <w:hideMark/>
          </w:tcPr>
          <w:p w14:paraId="164B2DFF" w14:textId="77777777" w:rsidR="0027425C" w:rsidRPr="0027425C" w:rsidRDefault="0027425C" w:rsidP="0027425C">
            <w:pPr>
              <w:pStyle w:val="BodyText"/>
              <w:rPr>
                <w:lang w:val="en-GB"/>
              </w:rPr>
            </w:pPr>
            <w:r>
              <w:rPr>
                <w:lang w:val="en-GB"/>
              </w:rPr>
              <w:t>ETS</w:t>
            </w:r>
          </w:p>
        </w:tc>
        <w:tc>
          <w:tcPr>
            <w:tcW w:w="0" w:type="auto"/>
            <w:vAlign w:val="center"/>
            <w:hideMark/>
          </w:tcPr>
          <w:p w14:paraId="5D305E9C" w14:textId="77777777" w:rsidR="0027425C" w:rsidRPr="0027425C" w:rsidRDefault="0027425C" w:rsidP="0027425C">
            <w:pPr>
              <w:pStyle w:val="BodyText"/>
              <w:rPr>
                <w:lang w:val="en-GB"/>
              </w:rPr>
            </w:pPr>
            <w:r>
              <w:rPr>
                <w:lang w:val="en-GB"/>
              </w:rPr>
              <w:t>log-price</w:t>
            </w:r>
          </w:p>
        </w:tc>
        <w:tc>
          <w:tcPr>
            <w:tcW w:w="0" w:type="auto"/>
            <w:vAlign w:val="center"/>
            <w:hideMark/>
          </w:tcPr>
          <w:p w14:paraId="23AA71BF" w14:textId="77777777" w:rsidR="0027425C" w:rsidRPr="0027425C" w:rsidRDefault="0027425C" w:rsidP="0027425C">
            <w:pPr>
              <w:pStyle w:val="BodyText"/>
              <w:rPr>
                <w:lang w:val="en-GB"/>
              </w:rPr>
            </w:pPr>
            <w:r>
              <w:rPr>
                <w:lang w:val="en-GB"/>
              </w:rPr>
              <w:t>80</w:t>
            </w:r>
          </w:p>
        </w:tc>
        <w:tc>
          <w:tcPr>
            <w:tcW w:w="0" w:type="auto"/>
            <w:vAlign w:val="center"/>
            <w:hideMark/>
          </w:tcPr>
          <w:p w14:paraId="5CDA7584" w14:textId="77777777" w:rsidR="0027425C" w:rsidRPr="0027425C" w:rsidRDefault="0027425C" w:rsidP="0027425C">
            <w:pPr>
              <w:pStyle w:val="BodyText"/>
              <w:rPr>
                <w:lang w:val="en-GB"/>
              </w:rPr>
            </w:pPr>
            <w:r>
              <w:rPr>
                <w:lang w:val="en-GB"/>
              </w:rPr>
              <w:t>daily 500 / weekly 190 / monthly 90</w:t>
            </w:r>
          </w:p>
        </w:tc>
        <w:tc>
          <w:tcPr>
            <w:tcW w:w="0" w:type="auto"/>
            <w:vAlign w:val="center"/>
            <w:hideMark/>
          </w:tcPr>
          <w:p w14:paraId="43DB2D95" w14:textId="77777777" w:rsidR="0027425C" w:rsidRPr="0027425C" w:rsidRDefault="0027425C" w:rsidP="0027425C">
            <w:pPr>
              <w:pStyle w:val="BodyText"/>
              <w:rPr>
                <w:lang w:val="en-GB"/>
              </w:rPr>
            </w:pPr>
            <w:r>
              <w:rPr>
                <w:lang w:val="en-GB"/>
              </w:rPr>
              <w:t>daily / weekly / monthly</w:t>
            </w:r>
          </w:p>
        </w:tc>
        <w:tc>
          <w:tcPr>
            <w:tcW w:w="0" w:type="auto"/>
            <w:vAlign w:val="center"/>
            <w:hideMark/>
          </w:tcPr>
          <w:p w14:paraId="4A7084CB" w14:textId="77777777" w:rsidR="0027425C" w:rsidRPr="0027425C" w:rsidRDefault="0027425C" w:rsidP="0027425C">
            <w:pPr>
              <w:pStyle w:val="BodyText"/>
              <w:rPr>
                <w:lang w:val="en-GB"/>
              </w:rPr>
            </w:pPr>
            <w:r>
              <w:rPr>
                <w:lang w:val="en-GB"/>
              </w:rPr>
              <w:t>nessuno</w:t>
            </w:r>
          </w:p>
        </w:tc>
      </w:tr>
      <w:tr w:rsidR="0027425C" w:rsidRPr="0027425C" w14:paraId="6262DE41" w14:textId="77777777">
        <w:trPr>
          <w:tblCellSpacing w:w="15" w:type="dxa"/>
        </w:trPr>
        <w:tc>
          <w:tcPr>
            <w:tcW w:w="0" w:type="auto"/>
            <w:vAlign w:val="center"/>
            <w:hideMark/>
          </w:tcPr>
          <w:p w14:paraId="68E19EC3" w14:textId="77777777" w:rsidR="0027425C" w:rsidRPr="0027425C" w:rsidRDefault="0027425C" w:rsidP="0027425C">
            <w:pPr>
              <w:pStyle w:val="BodyText"/>
              <w:rPr>
                <w:lang w:val="en-GB"/>
              </w:rPr>
            </w:pPr>
            <w:r>
              <w:rPr>
                <w:lang w:val="en-GB"/>
              </w:rPr>
              <w:t>SARIMA</w:t>
            </w:r>
          </w:p>
        </w:tc>
        <w:tc>
          <w:tcPr>
            <w:tcW w:w="0" w:type="auto"/>
            <w:vAlign w:val="center"/>
            <w:hideMark/>
          </w:tcPr>
          <w:p w14:paraId="32948891" w14:textId="77777777" w:rsidR="0027425C" w:rsidRPr="0027425C" w:rsidRDefault="0027425C" w:rsidP="0027425C">
            <w:pPr>
              <w:pStyle w:val="BodyText"/>
              <w:rPr>
                <w:lang w:val="en-GB"/>
              </w:rPr>
            </w:pPr>
            <w:r>
              <w:rPr>
                <w:lang w:val="en-GB"/>
              </w:rPr>
              <w:t>log-return</w:t>
            </w:r>
          </w:p>
        </w:tc>
        <w:tc>
          <w:tcPr>
            <w:tcW w:w="0" w:type="auto"/>
            <w:vAlign w:val="center"/>
            <w:hideMark/>
          </w:tcPr>
          <w:p w14:paraId="0747E178" w14:textId="77777777" w:rsidR="0027425C" w:rsidRPr="0027425C" w:rsidRDefault="0027425C" w:rsidP="0027425C">
            <w:pPr>
              <w:pStyle w:val="BodyText"/>
              <w:rPr>
                <w:lang w:val="en-GB"/>
              </w:rPr>
            </w:pPr>
            <w:r>
              <w:rPr>
                <w:lang w:val="en-GB"/>
              </w:rPr>
              <w:t>120</w:t>
            </w:r>
          </w:p>
        </w:tc>
        <w:tc>
          <w:tcPr>
            <w:tcW w:w="0" w:type="auto"/>
            <w:vAlign w:val="center"/>
            <w:hideMark/>
          </w:tcPr>
          <w:p w14:paraId="6BA1744F" w14:textId="77777777" w:rsidR="0027425C" w:rsidRPr="0027425C" w:rsidRDefault="0027425C" w:rsidP="0027425C">
            <w:pPr>
              <w:pStyle w:val="BodyText"/>
              <w:rPr>
                <w:lang w:val="en-GB"/>
              </w:rPr>
            </w:pPr>
            <w:r>
              <w:rPr>
                <w:lang w:val="en-GB"/>
              </w:rPr>
              <w:t>daily 375 / weekly 170</w:t>
            </w:r>
          </w:p>
        </w:tc>
        <w:tc>
          <w:tcPr>
            <w:tcW w:w="0" w:type="auto"/>
            <w:vAlign w:val="center"/>
            <w:hideMark/>
          </w:tcPr>
          <w:p w14:paraId="2BF7F1FD" w14:textId="77777777" w:rsidR="0027425C" w:rsidRPr="0027425C" w:rsidRDefault="0027425C" w:rsidP="0027425C">
            <w:pPr>
              <w:pStyle w:val="BodyText"/>
              <w:rPr>
                <w:lang w:val="en-GB"/>
              </w:rPr>
            </w:pPr>
            <w:r>
              <w:rPr>
                <w:lang w:val="en-GB"/>
              </w:rPr>
              <w:t>daily / weekly</w:t>
            </w:r>
          </w:p>
        </w:tc>
        <w:tc>
          <w:tcPr>
            <w:tcW w:w="0" w:type="auto"/>
            <w:vAlign w:val="center"/>
            <w:hideMark/>
          </w:tcPr>
          <w:p w14:paraId="620B30FA" w14:textId="77777777" w:rsidR="0027425C" w:rsidRPr="0027425C" w:rsidRDefault="0027425C" w:rsidP="0027425C">
            <w:pPr>
              <w:pStyle w:val="BodyText"/>
              <w:rPr>
                <w:lang w:val="en-GB"/>
              </w:rPr>
            </w:pPr>
            <w:r>
              <w:rPr>
                <w:lang w:val="en-GB"/>
              </w:rPr>
              <w:t>escluso in long</w:t>
            </w:r>
          </w:p>
        </w:tc>
      </w:tr>
      <w:tr w:rsidR="0027425C" w:rsidRPr="0027425C" w14:paraId="1C2DF2E6" w14:textId="77777777">
        <w:trPr>
          <w:tblCellSpacing w:w="15" w:type="dxa"/>
        </w:trPr>
        <w:tc>
          <w:tcPr>
            <w:tcW w:w="0" w:type="auto"/>
            <w:vAlign w:val="center"/>
            <w:hideMark/>
          </w:tcPr>
          <w:p w14:paraId="05F551FD" w14:textId="77777777" w:rsidR="0027425C" w:rsidRPr="0027425C" w:rsidRDefault="0027425C" w:rsidP="0027425C">
            <w:pPr>
              <w:pStyle w:val="BodyText"/>
              <w:rPr>
                <w:lang w:val="en-GB"/>
              </w:rPr>
            </w:pPr>
            <w:r>
              <w:rPr>
                <w:lang w:val="en-GB"/>
              </w:rPr>
              <w:t>Prophet</w:t>
            </w:r>
          </w:p>
        </w:tc>
        <w:tc>
          <w:tcPr>
            <w:tcW w:w="0" w:type="auto"/>
            <w:vAlign w:val="center"/>
            <w:hideMark/>
          </w:tcPr>
          <w:p w14:paraId="2F56F961" w14:textId="77777777" w:rsidR="0027425C" w:rsidRPr="0027425C" w:rsidRDefault="0027425C" w:rsidP="0027425C">
            <w:pPr>
              <w:pStyle w:val="BodyText"/>
              <w:rPr>
                <w:lang w:val="en-GB"/>
              </w:rPr>
            </w:pPr>
            <w:r>
              <w:rPr>
                <w:lang w:val="en-GB"/>
              </w:rPr>
              <w:t>log-price</w:t>
            </w:r>
          </w:p>
        </w:tc>
        <w:tc>
          <w:tcPr>
            <w:tcW w:w="0" w:type="auto"/>
            <w:vAlign w:val="center"/>
            <w:hideMark/>
          </w:tcPr>
          <w:p w14:paraId="36A9C6FF" w14:textId="77777777" w:rsidR="0027425C" w:rsidRPr="0027425C" w:rsidRDefault="0027425C" w:rsidP="0027425C">
            <w:pPr>
              <w:pStyle w:val="BodyText"/>
              <w:rPr>
                <w:lang w:val="en-GB"/>
              </w:rPr>
            </w:pPr>
            <w:r>
              <w:rPr>
                <w:lang w:val="en-GB"/>
              </w:rPr>
              <w:t>100</w:t>
            </w:r>
          </w:p>
        </w:tc>
        <w:tc>
          <w:tcPr>
            <w:tcW w:w="0" w:type="auto"/>
            <w:vAlign w:val="center"/>
            <w:hideMark/>
          </w:tcPr>
          <w:p w14:paraId="2A43E66D" w14:textId="77777777" w:rsidR="0027425C" w:rsidRPr="0027425C" w:rsidRDefault="0027425C" w:rsidP="0027425C">
            <w:pPr>
              <w:pStyle w:val="BodyText"/>
              <w:rPr>
                <w:lang w:val="en-GB"/>
              </w:rPr>
            </w:pPr>
            <w:r>
              <w:rPr>
                <w:lang w:val="en-GB"/>
              </w:rPr>
              <w:t>daily 575 / weekly 190 / monthly 90</w:t>
            </w:r>
          </w:p>
        </w:tc>
        <w:tc>
          <w:tcPr>
            <w:tcW w:w="0" w:type="auto"/>
            <w:vAlign w:val="center"/>
            <w:hideMark/>
          </w:tcPr>
          <w:p w14:paraId="09EBA982" w14:textId="77777777" w:rsidR="0027425C" w:rsidRPr="0027425C" w:rsidRDefault="0027425C" w:rsidP="0027425C">
            <w:pPr>
              <w:pStyle w:val="BodyText"/>
              <w:rPr>
                <w:lang w:val="en-GB"/>
              </w:rPr>
            </w:pPr>
            <w:r>
              <w:rPr>
                <w:lang w:val="en-GB"/>
              </w:rPr>
              <w:t>daily / weekly / monthly</w:t>
            </w:r>
          </w:p>
        </w:tc>
        <w:tc>
          <w:tcPr>
            <w:tcW w:w="0" w:type="auto"/>
            <w:vAlign w:val="center"/>
            <w:hideMark/>
          </w:tcPr>
          <w:p w14:paraId="30D2A5C3" w14:textId="77777777" w:rsidR="0027425C" w:rsidRPr="0027425C" w:rsidRDefault="0027425C" w:rsidP="0027425C">
            <w:pPr>
              <w:pStyle w:val="BodyText"/>
              <w:rPr>
                <w:lang w:val="en-GB"/>
              </w:rPr>
            </w:pPr>
            <w:r>
              <w:rPr>
                <w:lang w:val="en-GB"/>
              </w:rPr>
              <w:t>nessuno</w:t>
            </w:r>
          </w:p>
        </w:tc>
      </w:tr>
      <w:tr w:rsidR="0027425C" w:rsidRPr="0027425C" w14:paraId="64279DA5" w14:textId="77777777">
        <w:trPr>
          <w:tblCellSpacing w:w="15" w:type="dxa"/>
        </w:trPr>
        <w:tc>
          <w:tcPr>
            <w:tcW w:w="0" w:type="auto"/>
            <w:vAlign w:val="center"/>
            <w:hideMark/>
          </w:tcPr>
          <w:p w14:paraId="29CC18DA" w14:textId="77777777" w:rsidR="0027425C" w:rsidRPr="0027425C" w:rsidRDefault="0027425C" w:rsidP="0027425C">
            <w:pPr>
              <w:pStyle w:val="BodyText"/>
              <w:rPr>
                <w:lang w:val="en-GB"/>
              </w:rPr>
            </w:pPr>
            <w:r>
              <w:rPr>
                <w:lang w:val="en-GB"/>
              </w:rPr>
              <w:t>TBATS</w:t>
            </w:r>
          </w:p>
        </w:tc>
        <w:tc>
          <w:tcPr>
            <w:tcW w:w="0" w:type="auto"/>
            <w:vAlign w:val="center"/>
            <w:hideMark/>
          </w:tcPr>
          <w:p w14:paraId="15E23EFC" w14:textId="77777777" w:rsidR="0027425C" w:rsidRPr="0027425C" w:rsidRDefault="0027425C" w:rsidP="0027425C">
            <w:pPr>
              <w:pStyle w:val="BodyText"/>
              <w:rPr>
                <w:lang w:val="en-GB"/>
              </w:rPr>
            </w:pPr>
            <w:r>
              <w:rPr>
                <w:lang w:val="en-GB"/>
              </w:rPr>
              <w:t>log-price</w:t>
            </w:r>
          </w:p>
        </w:tc>
        <w:tc>
          <w:tcPr>
            <w:tcW w:w="0" w:type="auto"/>
            <w:vAlign w:val="center"/>
            <w:hideMark/>
          </w:tcPr>
          <w:p w14:paraId="23971095" w14:textId="77777777" w:rsidR="0027425C" w:rsidRPr="0027425C" w:rsidRDefault="0027425C" w:rsidP="0027425C">
            <w:pPr>
              <w:pStyle w:val="BodyText"/>
              <w:rPr>
                <w:lang w:val="en-GB"/>
              </w:rPr>
            </w:pPr>
            <w:r>
              <w:rPr>
                <w:lang w:val="en-GB"/>
              </w:rPr>
              <w:t>100</w:t>
            </w:r>
          </w:p>
        </w:tc>
        <w:tc>
          <w:tcPr>
            <w:tcW w:w="0" w:type="auto"/>
            <w:vAlign w:val="center"/>
            <w:hideMark/>
          </w:tcPr>
          <w:p w14:paraId="7563DF18" w14:textId="77777777" w:rsidR="0027425C" w:rsidRPr="0027425C" w:rsidRDefault="0027425C" w:rsidP="0027425C">
            <w:pPr>
              <w:pStyle w:val="BodyText"/>
              <w:rPr>
                <w:lang w:val="en-GB"/>
              </w:rPr>
            </w:pPr>
            <w:r>
              <w:rPr>
                <w:lang w:val="en-GB"/>
              </w:rPr>
              <w:t>daily 600 / weekly 225 / monthly 108</w:t>
            </w:r>
          </w:p>
        </w:tc>
        <w:tc>
          <w:tcPr>
            <w:tcW w:w="0" w:type="auto"/>
            <w:vAlign w:val="center"/>
            <w:hideMark/>
          </w:tcPr>
          <w:p w14:paraId="13729A0D" w14:textId="77777777" w:rsidR="0027425C" w:rsidRPr="0027425C" w:rsidRDefault="0027425C" w:rsidP="0027425C">
            <w:pPr>
              <w:pStyle w:val="BodyText"/>
              <w:rPr>
                <w:lang w:val="en-GB"/>
              </w:rPr>
            </w:pPr>
            <w:r>
              <w:rPr>
                <w:lang w:val="en-GB"/>
              </w:rPr>
              <w:t>daily / weekly / monthly</w:t>
            </w:r>
          </w:p>
        </w:tc>
        <w:tc>
          <w:tcPr>
            <w:tcW w:w="0" w:type="auto"/>
            <w:vAlign w:val="center"/>
            <w:hideMark/>
          </w:tcPr>
          <w:p w14:paraId="2E8CA1CA" w14:textId="77777777" w:rsidR="0027425C" w:rsidRPr="0027425C" w:rsidRDefault="0027425C" w:rsidP="0027425C">
            <w:pPr>
              <w:pStyle w:val="BodyText"/>
              <w:rPr>
                <w:lang w:val="en-GB"/>
              </w:rPr>
            </w:pPr>
            <w:r>
              <w:rPr>
                <w:lang w:val="en-GB"/>
              </w:rPr>
              <w:t>nessuno</w:t>
            </w:r>
          </w:p>
        </w:tc>
      </w:tr>
      <w:tr w:rsidR="0027425C" w:rsidRPr="0027425C" w14:paraId="1A0F6AA0" w14:textId="77777777">
        <w:trPr>
          <w:tblCellSpacing w:w="15" w:type="dxa"/>
        </w:trPr>
        <w:tc>
          <w:tcPr>
            <w:tcW w:w="0" w:type="auto"/>
            <w:vAlign w:val="center"/>
            <w:hideMark/>
          </w:tcPr>
          <w:p w14:paraId="5ED7A5EC" w14:textId="77777777" w:rsidR="0027425C" w:rsidRPr="0027425C" w:rsidRDefault="0027425C" w:rsidP="0027425C">
            <w:pPr>
              <w:pStyle w:val="BodyText"/>
              <w:rPr>
                <w:lang w:val="en-GB"/>
              </w:rPr>
            </w:pPr>
            <w:r>
              <w:rPr>
                <w:lang w:val="en-GB"/>
              </w:rPr>
              <w:t>LightGBM</w:t>
            </w:r>
          </w:p>
        </w:tc>
        <w:tc>
          <w:tcPr>
            <w:tcW w:w="0" w:type="auto"/>
            <w:vAlign w:val="center"/>
            <w:hideMark/>
          </w:tcPr>
          <w:p w14:paraId="1205268E" w14:textId="77777777" w:rsidR="0027425C" w:rsidRPr="0027425C" w:rsidRDefault="0027425C" w:rsidP="0027425C">
            <w:pPr>
              <w:pStyle w:val="BodyText"/>
              <w:rPr>
                <w:lang w:val="en-GB"/>
              </w:rPr>
            </w:pPr>
            <w:r>
              <w:rPr>
                <w:lang w:val="en-GB"/>
              </w:rPr>
              <w:t>log-return</w:t>
            </w:r>
          </w:p>
        </w:tc>
        <w:tc>
          <w:tcPr>
            <w:tcW w:w="0" w:type="auto"/>
            <w:vAlign w:val="center"/>
            <w:hideMark/>
          </w:tcPr>
          <w:p w14:paraId="6AA4C490" w14:textId="77777777" w:rsidR="0027425C" w:rsidRPr="0027425C" w:rsidRDefault="0027425C" w:rsidP="0027425C">
            <w:pPr>
              <w:pStyle w:val="BodyText"/>
              <w:rPr>
                <w:lang w:val="en-GB"/>
              </w:rPr>
            </w:pPr>
            <w:r>
              <w:rPr>
                <w:lang w:val="en-GB"/>
              </w:rPr>
              <w:t>200</w:t>
            </w:r>
          </w:p>
        </w:tc>
        <w:tc>
          <w:tcPr>
            <w:tcW w:w="0" w:type="auto"/>
            <w:vAlign w:val="center"/>
            <w:hideMark/>
          </w:tcPr>
          <w:p w14:paraId="4E15C43E" w14:textId="77777777" w:rsidR="0027425C" w:rsidRPr="0027425C" w:rsidRDefault="0027425C" w:rsidP="0027425C">
            <w:pPr>
              <w:pStyle w:val="BodyText"/>
              <w:rPr>
                <w:lang w:val="en-GB"/>
              </w:rPr>
            </w:pPr>
            <w:r>
              <w:rPr>
                <w:lang w:val="en-GB"/>
              </w:rPr>
              <w:t>daily 950 / weekly 275</w:t>
            </w:r>
          </w:p>
        </w:tc>
        <w:tc>
          <w:tcPr>
            <w:tcW w:w="0" w:type="auto"/>
            <w:vAlign w:val="center"/>
            <w:hideMark/>
          </w:tcPr>
          <w:p w14:paraId="341668FF" w14:textId="77777777" w:rsidR="0027425C" w:rsidRPr="0027425C" w:rsidRDefault="0027425C" w:rsidP="0027425C">
            <w:pPr>
              <w:pStyle w:val="BodyText"/>
              <w:rPr>
                <w:lang w:val="en-GB"/>
              </w:rPr>
            </w:pPr>
            <w:r>
              <w:rPr>
                <w:lang w:val="en-GB"/>
              </w:rPr>
              <w:t>daily / weekly</w:t>
            </w:r>
          </w:p>
        </w:tc>
        <w:tc>
          <w:tcPr>
            <w:tcW w:w="0" w:type="auto"/>
            <w:vAlign w:val="center"/>
            <w:hideMark/>
          </w:tcPr>
          <w:p w14:paraId="5AC6DCBF" w14:textId="77777777" w:rsidR="0027425C" w:rsidRPr="0027425C" w:rsidRDefault="0027425C" w:rsidP="0027425C">
            <w:pPr>
              <w:pStyle w:val="BodyText"/>
              <w:rPr>
                <w:lang w:val="en-GB"/>
              </w:rPr>
            </w:pPr>
            <w:r>
              <w:rPr>
                <w:lang w:val="en-GB"/>
              </w:rPr>
              <w:t>escluso in long</w:t>
            </w:r>
          </w:p>
        </w:tc>
      </w:tr>
      <w:tr w:rsidR="0027425C" w:rsidRPr="0027425C" w14:paraId="2F1F6D85" w14:textId="77777777">
        <w:trPr>
          <w:tblCellSpacing w:w="15" w:type="dxa"/>
        </w:trPr>
        <w:tc>
          <w:tcPr>
            <w:tcW w:w="0" w:type="auto"/>
            <w:vAlign w:val="center"/>
            <w:hideMark/>
          </w:tcPr>
          <w:p w14:paraId="5C7A2A6E" w14:textId="77777777" w:rsidR="0027425C" w:rsidRPr="0027425C" w:rsidRDefault="0027425C" w:rsidP="0027425C">
            <w:pPr>
              <w:pStyle w:val="BodyText"/>
              <w:rPr>
                <w:lang w:val="en-GB"/>
              </w:rPr>
            </w:pPr>
            <w:r>
              <w:rPr>
                <w:lang w:val="en-GB"/>
              </w:rPr>
              <w:lastRenderedPageBreak/>
              <w:t>CatBoost</w:t>
            </w:r>
          </w:p>
        </w:tc>
        <w:tc>
          <w:tcPr>
            <w:tcW w:w="0" w:type="auto"/>
            <w:vAlign w:val="center"/>
            <w:hideMark/>
          </w:tcPr>
          <w:p w14:paraId="55BAA18A" w14:textId="77777777" w:rsidR="0027425C" w:rsidRPr="0027425C" w:rsidRDefault="0027425C" w:rsidP="0027425C">
            <w:pPr>
              <w:pStyle w:val="BodyText"/>
              <w:rPr>
                <w:lang w:val="en-GB"/>
              </w:rPr>
            </w:pPr>
            <w:r>
              <w:rPr>
                <w:lang w:val="en-GB"/>
              </w:rPr>
              <w:t>log-return</w:t>
            </w:r>
          </w:p>
        </w:tc>
        <w:tc>
          <w:tcPr>
            <w:tcW w:w="0" w:type="auto"/>
            <w:vAlign w:val="center"/>
            <w:hideMark/>
          </w:tcPr>
          <w:p w14:paraId="73D41454" w14:textId="77777777" w:rsidR="0027425C" w:rsidRPr="0027425C" w:rsidRDefault="0027425C" w:rsidP="0027425C">
            <w:pPr>
              <w:pStyle w:val="BodyText"/>
              <w:rPr>
                <w:lang w:val="en-GB"/>
              </w:rPr>
            </w:pPr>
            <w:r>
              <w:rPr>
                <w:lang w:val="en-GB"/>
              </w:rPr>
              <w:t>200</w:t>
            </w:r>
          </w:p>
        </w:tc>
        <w:tc>
          <w:tcPr>
            <w:tcW w:w="0" w:type="auto"/>
            <w:vAlign w:val="center"/>
            <w:hideMark/>
          </w:tcPr>
          <w:p w14:paraId="2A1CDB9E" w14:textId="77777777" w:rsidR="0027425C" w:rsidRPr="0027425C" w:rsidRDefault="0027425C" w:rsidP="0027425C">
            <w:pPr>
              <w:pStyle w:val="BodyText"/>
              <w:rPr>
                <w:lang w:val="en-GB"/>
              </w:rPr>
            </w:pPr>
            <w:r>
              <w:rPr>
                <w:lang w:val="en-GB"/>
              </w:rPr>
              <w:t>daily 950 / weekly 275</w:t>
            </w:r>
          </w:p>
        </w:tc>
        <w:tc>
          <w:tcPr>
            <w:tcW w:w="0" w:type="auto"/>
            <w:vAlign w:val="center"/>
            <w:hideMark/>
          </w:tcPr>
          <w:p w14:paraId="3022150A" w14:textId="77777777" w:rsidR="0027425C" w:rsidRPr="0027425C" w:rsidRDefault="0027425C" w:rsidP="0027425C">
            <w:pPr>
              <w:pStyle w:val="BodyText"/>
              <w:rPr>
                <w:lang w:val="en-GB"/>
              </w:rPr>
            </w:pPr>
            <w:r>
              <w:rPr>
                <w:lang w:val="en-GB"/>
              </w:rPr>
              <w:t>daily / weekly</w:t>
            </w:r>
          </w:p>
        </w:tc>
        <w:tc>
          <w:tcPr>
            <w:tcW w:w="0" w:type="auto"/>
            <w:vAlign w:val="center"/>
            <w:hideMark/>
          </w:tcPr>
          <w:p w14:paraId="268DF5E7" w14:textId="77777777" w:rsidR="0027425C" w:rsidRPr="0027425C" w:rsidRDefault="0027425C" w:rsidP="0027425C">
            <w:pPr>
              <w:pStyle w:val="BodyText"/>
              <w:rPr>
                <w:lang w:val="en-GB"/>
              </w:rPr>
            </w:pPr>
            <w:r>
              <w:rPr>
                <w:lang w:val="en-GB"/>
              </w:rPr>
              <w:t>escluso in long</w:t>
            </w:r>
          </w:p>
        </w:tc>
      </w:tr>
      <w:tr w:rsidR="0027425C" w:rsidRPr="0027425C" w14:paraId="6599A0DA" w14:textId="77777777">
        <w:trPr>
          <w:tblCellSpacing w:w="15" w:type="dxa"/>
        </w:trPr>
        <w:tc>
          <w:tcPr>
            <w:tcW w:w="0" w:type="auto"/>
            <w:vAlign w:val="center"/>
            <w:hideMark/>
          </w:tcPr>
          <w:p w14:paraId="63B94F8C" w14:textId="77777777" w:rsidR="0027425C" w:rsidRPr="0027425C" w:rsidRDefault="0027425C" w:rsidP="0027425C">
            <w:pPr>
              <w:pStyle w:val="BodyText"/>
              <w:rPr>
                <w:lang w:val="en-GB"/>
              </w:rPr>
            </w:pPr>
            <w:r>
              <w:rPr>
                <w:lang w:val="en-GB"/>
              </w:rPr>
              <w:t>NBEATS</w:t>
            </w:r>
          </w:p>
        </w:tc>
        <w:tc>
          <w:tcPr>
            <w:tcW w:w="0" w:type="auto"/>
            <w:vAlign w:val="center"/>
            <w:hideMark/>
          </w:tcPr>
          <w:p w14:paraId="572D8B98" w14:textId="77777777" w:rsidR="0027425C" w:rsidRPr="0027425C" w:rsidRDefault="0027425C" w:rsidP="0027425C">
            <w:pPr>
              <w:pStyle w:val="BodyText"/>
              <w:rPr>
                <w:lang w:val="en-GB"/>
              </w:rPr>
            </w:pPr>
            <w:r>
              <w:rPr>
                <w:lang w:val="en-GB"/>
              </w:rPr>
              <w:t>log-return</w:t>
            </w:r>
          </w:p>
        </w:tc>
        <w:tc>
          <w:tcPr>
            <w:tcW w:w="0" w:type="auto"/>
            <w:vAlign w:val="center"/>
            <w:hideMark/>
          </w:tcPr>
          <w:p w14:paraId="095128FA" w14:textId="77777777" w:rsidR="0027425C" w:rsidRPr="0027425C" w:rsidRDefault="0027425C" w:rsidP="0027425C">
            <w:pPr>
              <w:pStyle w:val="BodyText"/>
              <w:rPr>
                <w:lang w:val="en-GB"/>
              </w:rPr>
            </w:pPr>
            <w:r>
              <w:rPr>
                <w:lang w:val="en-GB"/>
              </w:rPr>
              <w:t>320</w:t>
            </w:r>
          </w:p>
        </w:tc>
        <w:tc>
          <w:tcPr>
            <w:tcW w:w="0" w:type="auto"/>
            <w:vAlign w:val="center"/>
            <w:hideMark/>
          </w:tcPr>
          <w:p w14:paraId="099DC1BC" w14:textId="77777777" w:rsidR="0027425C" w:rsidRPr="0027425C" w:rsidRDefault="0027425C" w:rsidP="0027425C">
            <w:pPr>
              <w:pStyle w:val="BodyText"/>
              <w:rPr>
                <w:lang w:val="en-GB"/>
              </w:rPr>
            </w:pPr>
            <w:r>
              <w:rPr>
                <w:lang w:val="en-GB"/>
              </w:rPr>
              <w:t>daily 1000 / weekly 420</w:t>
            </w:r>
          </w:p>
        </w:tc>
        <w:tc>
          <w:tcPr>
            <w:tcW w:w="0" w:type="auto"/>
            <w:vAlign w:val="center"/>
            <w:hideMark/>
          </w:tcPr>
          <w:p w14:paraId="041E04A5" w14:textId="77777777" w:rsidR="0027425C" w:rsidRPr="0027425C" w:rsidRDefault="0027425C" w:rsidP="0027425C">
            <w:pPr>
              <w:pStyle w:val="BodyText"/>
              <w:rPr>
                <w:lang w:val="en-GB"/>
              </w:rPr>
            </w:pPr>
            <w:r>
              <w:rPr>
                <w:lang w:val="en-GB"/>
              </w:rPr>
              <w:t>daily / weekly</w:t>
            </w:r>
          </w:p>
        </w:tc>
        <w:tc>
          <w:tcPr>
            <w:tcW w:w="0" w:type="auto"/>
            <w:vAlign w:val="center"/>
            <w:hideMark/>
          </w:tcPr>
          <w:p w14:paraId="0EA4DC07" w14:textId="77777777" w:rsidR="0027425C" w:rsidRPr="0027425C" w:rsidRDefault="0027425C" w:rsidP="0027425C">
            <w:pPr>
              <w:pStyle w:val="BodyText"/>
              <w:rPr>
                <w:lang w:val="en-GB"/>
              </w:rPr>
            </w:pPr>
            <w:r>
              <w:rPr>
                <w:lang w:val="en-GB"/>
              </w:rPr>
              <w:t>nessuno</w:t>
            </w:r>
          </w:p>
        </w:tc>
      </w:tr>
    </w:tbl>
    <w:p w14:paraId="51BCC0C2" w14:textId="77777777" w:rsidR="0027425C" w:rsidRDefault="0027425C" w:rsidP="0027425C">
      <w:pPr>
        <w:pStyle w:val="BodyText"/>
        <w:rPr>
          <w:lang w:val="it-IT"/>
        </w:rPr>
      </w:pPr>
    </w:p>
    <w:p w14:paraId="513BAC17" w14:textId="77777777" w:rsidR="0027425C" w:rsidRDefault="0027425C" w:rsidP="0027425C">
      <w:pPr>
        <w:pStyle w:val="BodyText"/>
        <w:rPr>
          <w:lang w:val="it-IT"/>
        </w:rPr>
      </w:pPr>
      <w:r>
        <w:rPr>
          <w:lang w:val="it-IT"/>
        </w:rPr>
        <w:t xml:space="preserve">I vincoli fondamentali sono due: il </w:t>
      </w:r>
      <w:r>
        <w:rPr>
          <w:b/>
          <w:bCs/>
          <w:lang w:val="it-IT"/>
        </w:rPr>
        <w:t>minimo tecnico di osservazioni</w:t>
      </w:r>
      <w:r>
        <w:rPr>
          <w:lang w:val="it-IT"/>
        </w:rPr>
        <w:t xml:space="preserve"> necessario per rendere il modello eseguibile e il </w:t>
      </w:r>
      <w:r>
        <w:rPr>
          <w:b/>
          <w:bCs/>
          <w:lang w:val="it-IT"/>
        </w:rPr>
        <w:t>target cap</w:t>
      </w:r>
      <w:r>
        <w:rPr>
          <w:lang w:val="it-IT"/>
        </w:rPr>
        <w:t xml:space="preserve"> massimo di storico utilizzabile nel forecast finale per quella specifica combinazione modello/frequenza. Il motore quindi non lavora con una sola soglia minima, ma con una coppia di vincoli: </w:t>
      </w:r>
      <w:r>
        <w:rPr>
          <w:b/>
          <w:bCs/>
          <w:lang w:val="it-IT"/>
        </w:rPr>
        <w:t>min points</w:t>
      </w:r>
      <w:r>
        <w:rPr>
          <w:lang w:val="it-IT"/>
        </w:rPr>
        <w:t xml:space="preserve"> come pavimento di fattibilità e </w:t>
      </w:r>
      <w:r>
        <w:rPr>
          <w:b/>
          <w:bCs/>
          <w:lang w:val="it-IT"/>
        </w:rPr>
        <w:t>max points</w:t>
      </w:r>
      <w:r>
        <w:rPr>
          <w:lang w:val="it-IT"/>
        </w:rPr>
        <w:t xml:space="preserve"> come tetto operativo dello storico.</w:t>
      </w:r>
    </w:p>
    <w:p w14:paraId="7945D17C" w14:textId="77777777" w:rsidR="0027425C" w:rsidRDefault="0027425C" w:rsidP="0027425C">
      <w:pPr>
        <w:pStyle w:val="BodyText"/>
        <w:rPr>
          <w:lang w:val="it-IT"/>
        </w:rPr>
      </w:pPr>
    </w:p>
    <w:p w14:paraId="068267CE" w14:textId="77777777" w:rsidR="0027425C" w:rsidRDefault="0027425C" w:rsidP="0027425C">
      <w:pPr>
        <w:pStyle w:val="BodyText"/>
        <w:rPr>
          <w:lang w:val="it-IT"/>
        </w:rPr>
      </w:pPr>
    </w:p>
    <w:p w14:paraId="53D4F0B9" w14:textId="77777777" w:rsidR="0027425C" w:rsidRDefault="0027425C" w:rsidP="0027425C">
      <w:pPr>
        <w:pStyle w:val="BodyText"/>
        <w:rPr>
          <w:lang w:val="it-IT"/>
        </w:rPr>
      </w:pPr>
    </w:p>
    <w:p w14:paraId="2B23CD76" w14:textId="77777777" w:rsidR="0027425C" w:rsidRPr="0027425C" w:rsidRDefault="0027425C" w:rsidP="0027425C">
      <w:pPr>
        <w:pStyle w:val="BodyText"/>
        <w:rPr>
          <w:lang w:val="it-IT"/>
        </w:rPr>
      </w:pPr>
    </w:p>
    <w:p w14:paraId="178E030F" w14:textId="77777777" w:rsidR="00641FAD" w:rsidRPr="00254204" w:rsidRDefault="00641FAD" w:rsidP="00641FAD">
      <w:pPr>
        <w:pStyle w:val="Heading2"/>
        <w:rPr>
          <w:color w:val="000000" w:themeColor="text1"/>
          <w:lang w:val="it-IT"/>
        </w:rPr>
      </w:pPr>
      <w:bookmarkStart w:id="57" w:name="nbeats"/>
      <w:bookmarkStart w:id="58" w:name="_Toc236387233"/>
      <w:bookmarkEnd w:id="55"/>
      <w:r>
        <w:rPr>
          <w:color w:val="000000" w:themeColor="text1"/>
          <w:lang w:val="it-IT"/>
        </w:rPr>
        <w:t>7.3 SARIMA</w:t>
      </w:r>
      <w:bookmarkEnd w:id="58"/>
    </w:p>
    <w:p w14:paraId="3E180C19"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Spazio modellato: log-return.</w:t>
      </w:r>
    </w:p>
    <w:p w14:paraId="3B94F705"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Il rendimento logaritmico elementare è definito come</w:t>
      </w:r>
    </w:p>
    <w:p w14:paraId="5CD54FC9" w14:textId="77777777" w:rsidR="00641FAD" w:rsidRPr="00254204" w:rsidRDefault="00C0462E" w:rsidP="00641FAD">
      <w:pPr>
        <w:rPr>
          <w:rFonts w:asciiTheme="majorHAnsi" w:eastAsiaTheme="majorEastAsia" w:hAnsiTheme="majorHAnsi" w:cstheme="majorBidi"/>
          <w:b/>
          <w:bCs/>
          <w:color w:val="000000" w:themeColor="text1"/>
          <w:lang w:val="it-IT"/>
        </w:rPr>
      </w:pPr>
      <m:oMathPara>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r</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it-IT"/>
            </w:rPr>
            <m:t>=</m:t>
          </m:r>
          <m:r>
            <m:rPr>
              <m:sty m:val="b"/>
            </m:rPr>
            <w:rPr>
              <w:rFonts w:ascii="Cambria Math" w:eastAsiaTheme="majorEastAsia" w:hAnsi="Cambria Math" w:cstheme="majorBidi"/>
              <w:color w:val="000000" w:themeColor="text1"/>
              <w:lang w:val="en-GB"/>
            </w:rPr>
            <m:t>log</m:t>
          </m:r>
          <m:r>
            <m:rPr>
              <m:sty m:val="bi"/>
            </m:rPr>
            <w:rPr>
              <w:rFonts w:ascii="Cambria Math" w:eastAsiaTheme="majorEastAsia" w:hAnsi="Cambria Math" w:cstheme="majorBidi"/>
              <w:color w:val="000000" w:themeColor="text1"/>
              <w:lang w:val="it-IT"/>
            </w:rPr>
            <m:t>⁡</m:t>
          </m:r>
          <m:r>
            <m:rPr>
              <m:nor/>
            </m:rPr>
            <w:rPr>
              <w:rFonts w:asciiTheme="majorHAnsi" w:eastAsiaTheme="majorEastAsia" w:hAnsiTheme="majorHAnsi" w:cstheme="majorBidi"/>
              <w:b/>
              <w:bCs/>
              <w:color w:val="000000" w:themeColor="text1"/>
              <w:lang w:val="it-IT"/>
            </w:rPr>
            <m:t> </m:t>
          </m:r>
          <m:d>
            <m:dPr>
              <m:ctrlPr>
                <w:rPr>
                  <w:rFonts w:ascii="Cambria Math" w:eastAsiaTheme="majorEastAsia" w:hAnsi="Cambria Math" w:cstheme="majorBidi"/>
                  <w:b/>
                  <w:bCs/>
                  <w:color w:val="000000" w:themeColor="text1"/>
                  <w:lang w:val="en-GB"/>
                </w:rPr>
              </m:ctrlPr>
            </m:dPr>
            <m:e>
              <m:f>
                <m:fPr>
                  <m:ctrlPr>
                    <w:rPr>
                      <w:rFonts w:ascii="Cambria Math" w:eastAsiaTheme="majorEastAsia" w:hAnsi="Cambria Math" w:cstheme="majorBidi"/>
                      <w:b/>
                      <w:bCs/>
                      <w:color w:val="000000" w:themeColor="text1"/>
                      <w:lang w:val="en-GB"/>
                    </w:rPr>
                  </m:ctrlPr>
                </m:fPr>
                <m:num>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num>
                <m:den>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1</m:t>
                      </m:r>
                    </m:sub>
                  </m:sSub>
                </m:den>
              </m:f>
            </m:e>
          </m:d>
          <m:r>
            <m:rPr>
              <m:sty m:val="p"/>
            </m:rPr>
            <w:rPr>
              <w:rFonts w:asciiTheme="majorHAnsi" w:eastAsiaTheme="majorEastAsia" w:hAnsiTheme="majorHAnsi" w:cstheme="majorBidi"/>
              <w:color w:val="000000" w:themeColor="text1"/>
              <w:lang w:val="it-IT"/>
            </w:rPr>
            <w:br/>
          </m:r>
        </m:oMath>
      </m:oMathPara>
    </w:p>
    <w:p w14:paraId="7E62AB1B"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 xml:space="preserve">Il modello viene stimato sulla serie </w:t>
      </w:r>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r</m:t>
            </m:r>
          </m:e>
          <m:sub>
            <m:r>
              <m:rPr>
                <m:sty m:val="bi"/>
              </m:rPr>
              <w:rPr>
                <w:rFonts w:ascii="Cambria Math" w:eastAsiaTheme="majorEastAsia" w:hAnsi="Cambria Math" w:cstheme="majorBidi"/>
                <w:color w:val="000000" w:themeColor="text1"/>
                <w:lang w:val="en-GB"/>
              </w:rPr>
              <m:t>t</m:t>
            </m:r>
          </m:sub>
        </m:sSub>
      </m:oMath>
      <w:r>
        <w:rPr>
          <w:rFonts w:asciiTheme="majorHAnsi" w:eastAsiaTheme="majorEastAsia" w:hAnsiTheme="majorHAnsi" w:cstheme="majorBidi"/>
          <w:b/>
          <w:bCs/>
          <w:color w:val="000000" w:themeColor="text1"/>
          <w:lang w:val="it-IT"/>
        </w:rPr>
        <w:t>, non sul livello di prezzo. In forma generale, quando la componente stagionale è attiva, il processo appartiene alla famiglia</w:t>
      </w:r>
    </w:p>
    <w:p w14:paraId="2A4B29E3" w14:textId="77777777" w:rsidR="00641FAD" w:rsidRPr="00254204" w:rsidRDefault="00641FAD" w:rsidP="00641FAD">
      <w:pPr>
        <w:rPr>
          <w:rFonts w:asciiTheme="majorHAnsi" w:eastAsiaTheme="majorEastAsia" w:hAnsiTheme="majorHAnsi" w:cstheme="majorBidi"/>
          <w:b/>
          <w:bCs/>
          <w:color w:val="000000" w:themeColor="text1"/>
          <w:lang w:val="it-IT"/>
        </w:rPr>
      </w:pPr>
      <m:oMathPara>
        <m:oMath>
          <m:r>
            <m:rPr>
              <m:sty m:val="b"/>
            </m:rPr>
            <w:rPr>
              <w:rFonts w:ascii="Cambria Math" w:eastAsiaTheme="majorEastAsia" w:hAnsi="Cambria Math" w:cstheme="majorBidi"/>
              <w:color w:val="000000" w:themeColor="text1"/>
              <w:lang w:val="en-GB"/>
            </w:rPr>
            <m:t>Φ</m:t>
          </m:r>
          <m:r>
            <m:rPr>
              <m:sty m:val="bi"/>
            </m:rPr>
            <w:rPr>
              <w:rFonts w:ascii="Cambria Math" w:eastAsiaTheme="majorEastAsia" w:hAnsi="Cambria Math" w:cstheme="majorBidi"/>
              <w:color w:val="000000" w:themeColor="text1"/>
              <w:lang w:val="it-IT"/>
            </w:rPr>
            <m:t>(</m:t>
          </m:r>
          <m:sSup>
            <m:sSupPr>
              <m:ctrlPr>
                <w:rPr>
                  <w:rFonts w:ascii="Cambria Math" w:eastAsiaTheme="majorEastAsia" w:hAnsi="Cambria Math" w:cstheme="majorBidi"/>
                  <w:b/>
                  <w:bCs/>
                  <w:color w:val="000000" w:themeColor="text1"/>
                  <w:lang w:val="en-GB"/>
                </w:rPr>
              </m:ctrlPr>
            </m:sSupPr>
            <m:e>
              <m:r>
                <m:rPr>
                  <m:sty m:val="bi"/>
                </m:rPr>
                <w:rPr>
                  <w:rFonts w:ascii="Cambria Math" w:eastAsiaTheme="majorEastAsia" w:hAnsi="Cambria Math" w:cstheme="majorBidi"/>
                  <w:color w:val="000000" w:themeColor="text1"/>
                  <w:lang w:val="en-GB"/>
                </w:rPr>
                <m:t>B</m:t>
              </m:r>
            </m:e>
            <m:sup>
              <m:r>
                <m:rPr>
                  <m:sty m:val="bi"/>
                </m:rPr>
                <w:rPr>
                  <w:rFonts w:ascii="Cambria Math" w:eastAsiaTheme="majorEastAsia" w:hAnsi="Cambria Math" w:cstheme="majorBidi"/>
                  <w:color w:val="000000" w:themeColor="text1"/>
                  <w:lang w:val="en-GB"/>
                </w:rPr>
                <m:t>m</m:t>
              </m:r>
            </m:sup>
          </m:sSup>
          <m:r>
            <m:rPr>
              <m:sty m:val="bi"/>
            </m:rPr>
            <w:rPr>
              <w:rFonts w:ascii="Cambria Math" w:eastAsiaTheme="majorEastAsia" w:hAnsi="Cambria Math" w:cstheme="majorBidi"/>
              <w:color w:val="000000" w:themeColor="text1"/>
              <w:lang w:val="it-IT"/>
            </w:rPr>
            <m:t>)</m:t>
          </m:r>
          <m:r>
            <m:rPr>
              <m:nor/>
            </m:rPr>
            <w:rPr>
              <w:rFonts w:asciiTheme="majorHAnsi" w:eastAsiaTheme="majorEastAsia" w:hAnsiTheme="majorHAnsi" w:cstheme="majorBidi"/>
              <w:b/>
              <w:bCs/>
              <w:color w:val="000000" w:themeColor="text1"/>
              <w:lang w:val="it-IT"/>
            </w:rPr>
            <m:t> </m:t>
          </m:r>
          <m:r>
            <m:rPr>
              <m:sty m:val="bi"/>
            </m:rPr>
            <w:rPr>
              <w:rFonts w:ascii="Cambria Math" w:eastAsiaTheme="majorEastAsia" w:hAnsi="Cambria Math" w:cstheme="majorBidi"/>
              <w:color w:val="000000" w:themeColor="text1"/>
              <w:lang w:val="en-GB"/>
            </w:rPr>
            <m:t>ϕ</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B</m:t>
          </m:r>
          <m:r>
            <m:rPr>
              <m:sty m:val="bi"/>
            </m:rPr>
            <w:rPr>
              <w:rFonts w:ascii="Cambria Math" w:eastAsiaTheme="majorEastAsia" w:hAnsi="Cambria Math" w:cstheme="majorBidi"/>
              <w:color w:val="000000" w:themeColor="text1"/>
              <w:lang w:val="it-IT"/>
            </w:rPr>
            <m:t>)</m:t>
          </m:r>
          <m:r>
            <m:rPr>
              <m:nor/>
            </m:rPr>
            <w:rPr>
              <w:rFonts w:asciiTheme="majorHAnsi" w:eastAsiaTheme="majorEastAsia" w:hAnsiTheme="majorHAnsi" w:cstheme="majorBidi"/>
              <w:b/>
              <w:bCs/>
              <w:color w:val="000000" w:themeColor="text1"/>
              <w:lang w:val="it-IT"/>
            </w:rPr>
            <m:t> </m:t>
          </m:r>
          <m:r>
            <m:rPr>
              <m:sty m:val="bi"/>
            </m:rPr>
            <w:rPr>
              <w:rFonts w:ascii="Cambria Math" w:eastAsiaTheme="majorEastAsia" w:hAnsi="Cambria Math" w:cstheme="majorBidi"/>
              <w:color w:val="000000" w:themeColor="text1"/>
              <w:lang w:val="it-IT"/>
            </w:rPr>
            <m:t>(1-B</m:t>
          </m:r>
          <m:sSup>
            <m:sSupPr>
              <m:ctrlPr>
                <w:rPr>
                  <w:rFonts w:ascii="Cambria Math" w:eastAsiaTheme="majorEastAsia" w:hAnsi="Cambria Math" w:cstheme="majorBidi"/>
                  <w:b/>
                  <w:bCs/>
                  <w:color w:val="000000" w:themeColor="text1"/>
                  <w:lang w:val="en-GB"/>
                </w:rPr>
              </m:ctrlPr>
            </m:sSupPr>
            <m:e>
              <m:r>
                <m:rPr>
                  <m:sty m:val="bi"/>
                </m:rPr>
                <w:rPr>
                  <w:rFonts w:ascii="Cambria Math" w:eastAsiaTheme="majorEastAsia" w:hAnsi="Cambria Math" w:cstheme="majorBidi"/>
                  <w:color w:val="000000" w:themeColor="text1"/>
                  <w:lang w:val="it-IT"/>
                </w:rPr>
                <m:t>)</m:t>
              </m:r>
            </m:e>
            <m:sup>
              <m:r>
                <m:rPr>
                  <m:sty m:val="bi"/>
                </m:rPr>
                <w:rPr>
                  <w:rFonts w:ascii="Cambria Math" w:eastAsiaTheme="majorEastAsia" w:hAnsi="Cambria Math" w:cstheme="majorBidi"/>
                  <w:color w:val="000000" w:themeColor="text1"/>
                  <w:lang w:val="en-GB"/>
                </w:rPr>
                <m:t>d</m:t>
              </m:r>
            </m:sup>
          </m:sSup>
          <m:r>
            <m:rPr>
              <m:nor/>
            </m:rPr>
            <w:rPr>
              <w:rFonts w:asciiTheme="majorHAnsi" w:eastAsiaTheme="majorEastAsia" w:hAnsiTheme="majorHAnsi" w:cstheme="majorBidi"/>
              <w:b/>
              <w:bCs/>
              <w:color w:val="000000" w:themeColor="text1"/>
              <w:lang w:val="it-IT"/>
            </w:rPr>
            <m:t> </m:t>
          </m:r>
          <m:r>
            <m:rPr>
              <m:sty m:val="bi"/>
            </m:rPr>
            <w:rPr>
              <w:rFonts w:ascii="Cambria Math" w:eastAsiaTheme="majorEastAsia" w:hAnsi="Cambria Math" w:cstheme="majorBidi"/>
              <w:color w:val="000000" w:themeColor="text1"/>
              <w:lang w:val="it-IT"/>
            </w:rPr>
            <m:t>(1-</m:t>
          </m:r>
          <m:sSup>
            <m:sSupPr>
              <m:ctrlPr>
                <w:rPr>
                  <w:rFonts w:ascii="Cambria Math" w:eastAsiaTheme="majorEastAsia" w:hAnsi="Cambria Math" w:cstheme="majorBidi"/>
                  <w:b/>
                  <w:bCs/>
                  <w:color w:val="000000" w:themeColor="text1"/>
                  <w:lang w:val="en-GB"/>
                </w:rPr>
              </m:ctrlPr>
            </m:sSupPr>
            <m:e>
              <m:r>
                <m:rPr>
                  <m:sty m:val="bi"/>
                </m:rPr>
                <w:rPr>
                  <w:rFonts w:ascii="Cambria Math" w:eastAsiaTheme="majorEastAsia" w:hAnsi="Cambria Math" w:cstheme="majorBidi"/>
                  <w:color w:val="000000" w:themeColor="text1"/>
                  <w:lang w:val="en-GB"/>
                </w:rPr>
                <m:t>B</m:t>
              </m:r>
            </m:e>
            <m:sup>
              <m:r>
                <m:rPr>
                  <m:sty m:val="bi"/>
                </m:rPr>
                <w:rPr>
                  <w:rFonts w:ascii="Cambria Math" w:eastAsiaTheme="majorEastAsia" w:hAnsi="Cambria Math" w:cstheme="majorBidi"/>
                  <w:color w:val="000000" w:themeColor="text1"/>
                  <w:lang w:val="en-GB"/>
                </w:rPr>
                <m:t>m</m:t>
              </m:r>
            </m:sup>
          </m:sSup>
          <m:sSup>
            <m:sSupPr>
              <m:ctrlPr>
                <w:rPr>
                  <w:rFonts w:ascii="Cambria Math" w:eastAsiaTheme="majorEastAsia" w:hAnsi="Cambria Math" w:cstheme="majorBidi"/>
                  <w:b/>
                  <w:bCs/>
                  <w:color w:val="000000" w:themeColor="text1"/>
                  <w:lang w:val="en-GB"/>
                </w:rPr>
              </m:ctrlPr>
            </m:sSupPr>
            <m:e>
              <m:r>
                <m:rPr>
                  <m:sty m:val="bi"/>
                </m:rPr>
                <w:rPr>
                  <w:rFonts w:ascii="Cambria Math" w:eastAsiaTheme="majorEastAsia" w:hAnsi="Cambria Math" w:cstheme="majorBidi"/>
                  <w:color w:val="000000" w:themeColor="text1"/>
                  <w:lang w:val="it-IT"/>
                </w:rPr>
                <m:t>)</m:t>
              </m:r>
            </m:e>
            <m:sup>
              <m:r>
                <m:rPr>
                  <m:sty m:val="bi"/>
                </m:rPr>
                <w:rPr>
                  <w:rFonts w:ascii="Cambria Math" w:eastAsiaTheme="majorEastAsia" w:hAnsi="Cambria Math" w:cstheme="majorBidi"/>
                  <w:color w:val="000000" w:themeColor="text1"/>
                  <w:lang w:val="en-GB"/>
                </w:rPr>
                <m:t>D</m:t>
              </m:r>
            </m:sup>
          </m:sSup>
          <m:r>
            <m:rPr>
              <m:nor/>
            </m:rPr>
            <w:rPr>
              <w:rFonts w:asciiTheme="majorHAnsi" w:eastAsiaTheme="majorEastAsia" w:hAnsiTheme="majorHAnsi" w:cstheme="majorBidi"/>
              <w:b/>
              <w:bCs/>
              <w:color w:val="000000" w:themeColor="text1"/>
              <w:lang w:val="it-IT"/>
            </w:rPr>
            <m:t> </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r</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it-IT"/>
            </w:rPr>
            <m:t>=</m:t>
          </m:r>
          <m:r>
            <m:rPr>
              <m:sty m:val="b"/>
            </m:rPr>
            <w:rPr>
              <w:rFonts w:ascii="Cambria Math" w:eastAsiaTheme="majorEastAsia" w:hAnsi="Cambria Math" w:cstheme="majorBidi"/>
              <w:color w:val="000000" w:themeColor="text1"/>
              <w:lang w:val="en-GB"/>
            </w:rPr>
            <m:t>Θ</m:t>
          </m:r>
          <m:r>
            <m:rPr>
              <m:sty m:val="bi"/>
            </m:rPr>
            <w:rPr>
              <w:rFonts w:ascii="Cambria Math" w:eastAsiaTheme="majorEastAsia" w:hAnsi="Cambria Math" w:cstheme="majorBidi"/>
              <w:color w:val="000000" w:themeColor="text1"/>
              <w:lang w:val="it-IT"/>
            </w:rPr>
            <m:t>(</m:t>
          </m:r>
          <m:sSup>
            <m:sSupPr>
              <m:ctrlPr>
                <w:rPr>
                  <w:rFonts w:ascii="Cambria Math" w:eastAsiaTheme="majorEastAsia" w:hAnsi="Cambria Math" w:cstheme="majorBidi"/>
                  <w:b/>
                  <w:bCs/>
                  <w:color w:val="000000" w:themeColor="text1"/>
                  <w:lang w:val="en-GB"/>
                </w:rPr>
              </m:ctrlPr>
            </m:sSupPr>
            <m:e>
              <m:r>
                <m:rPr>
                  <m:sty m:val="bi"/>
                </m:rPr>
                <w:rPr>
                  <w:rFonts w:ascii="Cambria Math" w:eastAsiaTheme="majorEastAsia" w:hAnsi="Cambria Math" w:cstheme="majorBidi"/>
                  <w:color w:val="000000" w:themeColor="text1"/>
                  <w:lang w:val="en-GB"/>
                </w:rPr>
                <m:t>B</m:t>
              </m:r>
            </m:e>
            <m:sup>
              <m:r>
                <m:rPr>
                  <m:sty m:val="bi"/>
                </m:rPr>
                <w:rPr>
                  <w:rFonts w:ascii="Cambria Math" w:eastAsiaTheme="majorEastAsia" w:hAnsi="Cambria Math" w:cstheme="majorBidi"/>
                  <w:color w:val="000000" w:themeColor="text1"/>
                  <w:lang w:val="en-GB"/>
                </w:rPr>
                <m:t>m</m:t>
              </m:r>
            </m:sup>
          </m:sSup>
          <m:r>
            <m:rPr>
              <m:sty m:val="bi"/>
            </m:rPr>
            <w:rPr>
              <w:rFonts w:ascii="Cambria Math" w:eastAsiaTheme="majorEastAsia" w:hAnsi="Cambria Math" w:cstheme="majorBidi"/>
              <w:color w:val="000000" w:themeColor="text1"/>
              <w:lang w:val="it-IT"/>
            </w:rPr>
            <m:t>)</m:t>
          </m:r>
          <m:r>
            <m:rPr>
              <m:nor/>
            </m:rPr>
            <w:rPr>
              <w:rFonts w:asciiTheme="majorHAnsi" w:eastAsiaTheme="majorEastAsia" w:hAnsiTheme="majorHAnsi" w:cstheme="majorBidi"/>
              <w:b/>
              <w:bCs/>
              <w:color w:val="000000" w:themeColor="text1"/>
              <w:lang w:val="it-IT"/>
            </w:rPr>
            <m:t> </m:t>
          </m:r>
          <m:r>
            <m:rPr>
              <m:sty m:val="bi"/>
            </m:rPr>
            <w:rPr>
              <w:rFonts w:ascii="Cambria Math" w:eastAsiaTheme="majorEastAsia" w:hAnsi="Cambria Math" w:cstheme="majorBidi"/>
              <w:color w:val="000000" w:themeColor="text1"/>
              <w:lang w:val="en-GB"/>
            </w:rPr>
            <m:t>θ</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B</m:t>
          </m:r>
          <m:r>
            <m:rPr>
              <m:sty m:val="bi"/>
            </m:rPr>
            <w:rPr>
              <w:rFonts w:ascii="Cambria Math" w:eastAsiaTheme="majorEastAsia" w:hAnsi="Cambria Math" w:cstheme="majorBidi"/>
              <w:color w:val="000000" w:themeColor="text1"/>
              <w:lang w:val="it-IT"/>
            </w:rPr>
            <m:t>)</m:t>
          </m:r>
          <m:r>
            <m:rPr>
              <m:nor/>
            </m:rPr>
            <w:rPr>
              <w:rFonts w:asciiTheme="majorHAnsi" w:eastAsiaTheme="majorEastAsia" w:hAnsiTheme="majorHAnsi" w:cstheme="majorBidi"/>
              <w:b/>
              <w:bCs/>
              <w:color w:val="000000" w:themeColor="text1"/>
              <w:lang w:val="it-IT"/>
            </w:rPr>
            <m:t> </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ε</m:t>
              </m:r>
            </m:e>
            <m:sub>
              <m:r>
                <m:rPr>
                  <m:sty m:val="bi"/>
                </m:rPr>
                <w:rPr>
                  <w:rFonts w:ascii="Cambria Math" w:eastAsiaTheme="majorEastAsia" w:hAnsi="Cambria Math" w:cstheme="majorBidi"/>
                  <w:color w:val="000000" w:themeColor="text1"/>
                  <w:lang w:val="en-GB"/>
                </w:rPr>
                <m:t>t</m:t>
              </m:r>
            </m:sub>
          </m:sSub>
          <m:r>
            <m:rPr>
              <m:sty m:val="p"/>
            </m:rPr>
            <w:rPr>
              <w:rFonts w:asciiTheme="majorHAnsi" w:eastAsiaTheme="majorEastAsia" w:hAnsiTheme="majorHAnsi" w:cstheme="majorBidi"/>
              <w:color w:val="000000" w:themeColor="text1"/>
              <w:lang w:val="it-IT"/>
            </w:rPr>
            <w:br/>
          </m:r>
        </m:oMath>
      </m:oMathPara>
    </w:p>
    <w:p w14:paraId="2092C5B4"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dove:</w:t>
      </w:r>
    </w:p>
    <w:p w14:paraId="39B754DF" w14:textId="77777777" w:rsidR="00641FAD" w:rsidRPr="00EF0A3F" w:rsidRDefault="00641FAD" w:rsidP="008242CC">
      <w:pPr>
        <w:numPr>
          <w:ilvl w:val="0"/>
          <w:numId w:val="27"/>
        </w:numPr>
        <w:rPr>
          <w:rFonts w:asciiTheme="majorHAnsi" w:eastAsiaTheme="majorEastAsia" w:hAnsiTheme="majorHAnsi" w:cstheme="majorBidi"/>
          <w:b/>
          <w:bCs/>
          <w:color w:val="000000" w:themeColor="text1"/>
          <w:lang w:val="en-GB"/>
        </w:rPr>
      </w:pPr>
      <m:oMath>
        <m:r>
          <m:rPr>
            <m:sty m:val="bi"/>
          </m:rPr>
          <w:rPr>
            <w:rFonts w:ascii="Cambria Math" w:eastAsiaTheme="majorEastAsia" w:hAnsi="Cambria Math" w:cstheme="majorBidi"/>
            <w:color w:val="000000" w:themeColor="text1"/>
            <w:lang w:val="en-GB"/>
          </w:rPr>
          <m:t>B</m:t>
        </m:r>
      </m:oMath>
      <w:r>
        <w:rPr>
          <w:rFonts w:asciiTheme="majorHAnsi" w:eastAsiaTheme="majorEastAsia" w:hAnsiTheme="majorHAnsi" w:cstheme="majorBidi"/>
          <w:b/>
          <w:bCs/>
          <w:color w:val="000000" w:themeColor="text1"/>
          <w:lang w:val="en-GB"/>
        </w:rPr>
        <w:t>è l'operatore di ritardo,</w:t>
      </w:r>
    </w:p>
    <w:p w14:paraId="493FB79E" w14:textId="77777777" w:rsidR="00641FAD" w:rsidRPr="00EF0A3F" w:rsidRDefault="00641FAD" w:rsidP="008242CC">
      <w:pPr>
        <w:numPr>
          <w:ilvl w:val="0"/>
          <w:numId w:val="27"/>
        </w:numPr>
        <w:rPr>
          <w:rFonts w:asciiTheme="majorHAnsi" w:eastAsiaTheme="majorEastAsia" w:hAnsiTheme="majorHAnsi" w:cstheme="majorBidi"/>
          <w:b/>
          <w:bCs/>
          <w:color w:val="000000" w:themeColor="text1"/>
          <w:lang w:val="en-GB"/>
        </w:rPr>
      </w:pPr>
      <m:oMath>
        <m:r>
          <m:rPr>
            <m:sty m:val="bi"/>
          </m:rPr>
          <w:rPr>
            <w:rFonts w:ascii="Cambria Math" w:eastAsiaTheme="majorEastAsia" w:hAnsi="Cambria Math" w:cstheme="majorBidi"/>
            <w:color w:val="000000" w:themeColor="text1"/>
            <w:lang w:val="en-GB"/>
          </w:rPr>
          <m:t>m</m:t>
        </m:r>
      </m:oMath>
      <w:r>
        <w:rPr>
          <w:rFonts w:asciiTheme="majorHAnsi" w:eastAsiaTheme="majorEastAsia" w:hAnsiTheme="majorHAnsi" w:cstheme="majorBidi"/>
          <w:b/>
          <w:bCs/>
          <w:color w:val="000000" w:themeColor="text1"/>
          <w:lang w:val="en-GB"/>
        </w:rPr>
        <w:t>è la periodicità stagionale,</w:t>
      </w:r>
    </w:p>
    <w:p w14:paraId="2C74029D" w14:textId="77777777" w:rsidR="00641FAD" w:rsidRPr="00254204" w:rsidRDefault="00641FAD" w:rsidP="008242CC">
      <w:pPr>
        <w:numPr>
          <w:ilvl w:val="0"/>
          <w:numId w:val="27"/>
        </w:numPr>
        <w:rPr>
          <w:rFonts w:asciiTheme="majorHAnsi" w:eastAsiaTheme="majorEastAsia" w:hAnsiTheme="majorHAnsi" w:cstheme="majorBidi"/>
          <w:b/>
          <w:bCs/>
          <w:color w:val="000000" w:themeColor="text1"/>
          <w:lang w:val="it-IT"/>
        </w:rPr>
      </w:pPr>
      <m:oMath>
        <m:r>
          <m:rPr>
            <m:sty m:val="bi"/>
          </m:rPr>
          <w:rPr>
            <w:rFonts w:ascii="Cambria Math" w:eastAsiaTheme="majorEastAsia" w:hAnsi="Cambria Math" w:cstheme="majorBidi"/>
            <w:color w:val="000000" w:themeColor="text1"/>
            <w:lang w:val="en-GB"/>
          </w:rPr>
          <m:t>ϕ</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B</m:t>
        </m:r>
        <m:r>
          <m:rPr>
            <m:sty m:val="bi"/>
          </m:rPr>
          <w:rPr>
            <w:rFonts w:ascii="Cambria Math" w:eastAsiaTheme="majorEastAsia" w:hAnsi="Cambria Math" w:cstheme="majorBidi"/>
            <w:color w:val="000000" w:themeColor="text1"/>
            <w:lang w:val="it-IT"/>
          </w:rPr>
          <m:t>)</m:t>
        </m:r>
      </m:oMath>
      <w:r>
        <w:rPr>
          <w:rFonts w:asciiTheme="majorHAnsi" w:eastAsiaTheme="majorEastAsia" w:hAnsiTheme="majorHAnsi" w:cstheme="majorBidi"/>
          <w:b/>
          <w:bCs/>
          <w:color w:val="000000" w:themeColor="text1"/>
          <w:lang w:val="it-IT"/>
        </w:rPr>
        <w:t xml:space="preserve">e </w:t>
      </w:r>
      <m:oMath>
        <m:r>
          <m:rPr>
            <m:sty m:val="bi"/>
          </m:rPr>
          <w:rPr>
            <w:rFonts w:ascii="Cambria Math" w:eastAsiaTheme="majorEastAsia" w:hAnsi="Cambria Math" w:cstheme="majorBidi"/>
            <w:color w:val="000000" w:themeColor="text1"/>
            <w:lang w:val="en-GB"/>
          </w:rPr>
          <m:t>θ</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B</m:t>
        </m:r>
        <m:r>
          <m:rPr>
            <m:sty m:val="bi"/>
          </m:rPr>
          <w:rPr>
            <w:rFonts w:ascii="Cambria Math" w:eastAsiaTheme="majorEastAsia" w:hAnsi="Cambria Math" w:cstheme="majorBidi"/>
            <w:color w:val="000000" w:themeColor="text1"/>
            <w:lang w:val="it-IT"/>
          </w:rPr>
          <m:t>)</m:t>
        </m:r>
      </m:oMath>
      <w:r>
        <w:rPr>
          <w:rFonts w:asciiTheme="majorHAnsi" w:eastAsiaTheme="majorEastAsia" w:hAnsiTheme="majorHAnsi" w:cstheme="majorBidi"/>
          <w:b/>
          <w:bCs/>
          <w:color w:val="000000" w:themeColor="text1"/>
          <w:lang w:val="it-IT"/>
        </w:rPr>
        <w:t>sono i polinomi AR e MA non stagionali,</w:t>
      </w:r>
    </w:p>
    <w:p w14:paraId="79950F2F" w14:textId="77777777" w:rsidR="00641FAD" w:rsidRPr="00254204" w:rsidRDefault="00641FAD" w:rsidP="008242CC">
      <w:pPr>
        <w:numPr>
          <w:ilvl w:val="0"/>
          <w:numId w:val="27"/>
        </w:numPr>
        <w:rPr>
          <w:rFonts w:asciiTheme="majorHAnsi" w:eastAsiaTheme="majorEastAsia" w:hAnsiTheme="majorHAnsi" w:cstheme="majorBidi"/>
          <w:b/>
          <w:bCs/>
          <w:color w:val="000000" w:themeColor="text1"/>
          <w:lang w:val="it-IT"/>
        </w:rPr>
      </w:pPr>
      <m:oMath>
        <m:r>
          <m:rPr>
            <m:sty m:val="b"/>
          </m:rPr>
          <w:rPr>
            <w:rFonts w:ascii="Cambria Math" w:eastAsiaTheme="majorEastAsia" w:hAnsi="Cambria Math" w:cstheme="majorBidi"/>
            <w:color w:val="000000" w:themeColor="text1"/>
            <w:lang w:val="en-GB"/>
          </w:rPr>
          <w:lastRenderedPageBreak/>
          <m:t>Φ</m:t>
        </m:r>
        <m:r>
          <m:rPr>
            <m:sty m:val="bi"/>
          </m:rPr>
          <w:rPr>
            <w:rFonts w:ascii="Cambria Math" w:eastAsiaTheme="majorEastAsia" w:hAnsi="Cambria Math" w:cstheme="majorBidi"/>
            <w:color w:val="000000" w:themeColor="text1"/>
            <w:lang w:val="it-IT"/>
          </w:rPr>
          <m:t>(</m:t>
        </m:r>
        <m:sSup>
          <m:sSupPr>
            <m:ctrlPr>
              <w:rPr>
                <w:rFonts w:ascii="Cambria Math" w:eastAsiaTheme="majorEastAsia" w:hAnsi="Cambria Math" w:cstheme="majorBidi"/>
                <w:b/>
                <w:bCs/>
                <w:color w:val="000000" w:themeColor="text1"/>
                <w:lang w:val="en-GB"/>
              </w:rPr>
            </m:ctrlPr>
          </m:sSupPr>
          <m:e>
            <m:r>
              <m:rPr>
                <m:sty m:val="bi"/>
              </m:rPr>
              <w:rPr>
                <w:rFonts w:ascii="Cambria Math" w:eastAsiaTheme="majorEastAsia" w:hAnsi="Cambria Math" w:cstheme="majorBidi"/>
                <w:color w:val="000000" w:themeColor="text1"/>
                <w:lang w:val="en-GB"/>
              </w:rPr>
              <m:t>B</m:t>
            </m:r>
          </m:e>
          <m:sup>
            <m:r>
              <m:rPr>
                <m:sty m:val="bi"/>
              </m:rPr>
              <w:rPr>
                <w:rFonts w:ascii="Cambria Math" w:eastAsiaTheme="majorEastAsia" w:hAnsi="Cambria Math" w:cstheme="majorBidi"/>
                <w:color w:val="000000" w:themeColor="text1"/>
                <w:lang w:val="en-GB"/>
              </w:rPr>
              <m:t>m</m:t>
            </m:r>
          </m:sup>
        </m:sSup>
        <m:r>
          <m:rPr>
            <m:sty m:val="bi"/>
          </m:rPr>
          <w:rPr>
            <w:rFonts w:ascii="Cambria Math" w:eastAsiaTheme="majorEastAsia" w:hAnsi="Cambria Math" w:cstheme="majorBidi"/>
            <w:color w:val="000000" w:themeColor="text1"/>
            <w:lang w:val="it-IT"/>
          </w:rPr>
          <m:t>)</m:t>
        </m:r>
      </m:oMath>
      <w:r>
        <w:rPr>
          <w:rFonts w:asciiTheme="majorHAnsi" w:eastAsiaTheme="majorEastAsia" w:hAnsiTheme="majorHAnsi" w:cstheme="majorBidi"/>
          <w:b/>
          <w:bCs/>
          <w:color w:val="000000" w:themeColor="text1"/>
          <w:lang w:val="it-IT"/>
        </w:rPr>
        <w:t xml:space="preserve">e </w:t>
      </w:r>
      <m:oMath>
        <m:r>
          <m:rPr>
            <m:sty m:val="b"/>
          </m:rPr>
          <w:rPr>
            <w:rFonts w:ascii="Cambria Math" w:eastAsiaTheme="majorEastAsia" w:hAnsi="Cambria Math" w:cstheme="majorBidi"/>
            <w:color w:val="000000" w:themeColor="text1"/>
            <w:lang w:val="en-GB"/>
          </w:rPr>
          <m:t>Θ</m:t>
        </m:r>
        <m:r>
          <m:rPr>
            <m:sty m:val="bi"/>
          </m:rPr>
          <w:rPr>
            <w:rFonts w:ascii="Cambria Math" w:eastAsiaTheme="majorEastAsia" w:hAnsi="Cambria Math" w:cstheme="majorBidi"/>
            <w:color w:val="000000" w:themeColor="text1"/>
            <w:lang w:val="it-IT"/>
          </w:rPr>
          <m:t>(</m:t>
        </m:r>
        <m:sSup>
          <m:sSupPr>
            <m:ctrlPr>
              <w:rPr>
                <w:rFonts w:ascii="Cambria Math" w:eastAsiaTheme="majorEastAsia" w:hAnsi="Cambria Math" w:cstheme="majorBidi"/>
                <w:b/>
                <w:bCs/>
                <w:color w:val="000000" w:themeColor="text1"/>
                <w:lang w:val="en-GB"/>
              </w:rPr>
            </m:ctrlPr>
          </m:sSupPr>
          <m:e>
            <m:r>
              <m:rPr>
                <m:sty m:val="bi"/>
              </m:rPr>
              <w:rPr>
                <w:rFonts w:ascii="Cambria Math" w:eastAsiaTheme="majorEastAsia" w:hAnsi="Cambria Math" w:cstheme="majorBidi"/>
                <w:color w:val="000000" w:themeColor="text1"/>
                <w:lang w:val="en-GB"/>
              </w:rPr>
              <m:t>B</m:t>
            </m:r>
          </m:e>
          <m:sup>
            <m:r>
              <m:rPr>
                <m:sty m:val="bi"/>
              </m:rPr>
              <w:rPr>
                <w:rFonts w:ascii="Cambria Math" w:eastAsiaTheme="majorEastAsia" w:hAnsi="Cambria Math" w:cstheme="majorBidi"/>
                <w:color w:val="000000" w:themeColor="text1"/>
                <w:lang w:val="en-GB"/>
              </w:rPr>
              <m:t>m</m:t>
            </m:r>
          </m:sup>
        </m:sSup>
        <m:r>
          <m:rPr>
            <m:sty m:val="bi"/>
          </m:rPr>
          <w:rPr>
            <w:rFonts w:ascii="Cambria Math" w:eastAsiaTheme="majorEastAsia" w:hAnsi="Cambria Math" w:cstheme="majorBidi"/>
            <w:color w:val="000000" w:themeColor="text1"/>
            <w:lang w:val="it-IT"/>
          </w:rPr>
          <m:t>)</m:t>
        </m:r>
      </m:oMath>
      <w:r>
        <w:rPr>
          <w:rFonts w:asciiTheme="majorHAnsi" w:eastAsiaTheme="majorEastAsia" w:hAnsiTheme="majorHAnsi" w:cstheme="majorBidi"/>
          <w:b/>
          <w:bCs/>
          <w:color w:val="000000" w:themeColor="text1"/>
          <w:lang w:val="it-IT"/>
        </w:rPr>
        <w:t>sono i polinomi AR e MA stagionali,</w:t>
      </w:r>
    </w:p>
    <w:p w14:paraId="66746938" w14:textId="77777777" w:rsidR="00641FAD" w:rsidRPr="00254204" w:rsidRDefault="00641FAD" w:rsidP="008242CC">
      <w:pPr>
        <w:numPr>
          <w:ilvl w:val="0"/>
          <w:numId w:val="27"/>
        </w:numPr>
        <w:rPr>
          <w:rFonts w:asciiTheme="majorHAnsi" w:eastAsiaTheme="majorEastAsia" w:hAnsiTheme="majorHAnsi" w:cstheme="majorBidi"/>
          <w:b/>
          <w:bCs/>
          <w:color w:val="000000" w:themeColor="text1"/>
          <w:lang w:val="it-IT"/>
        </w:rPr>
      </w:pPr>
      <m:oMath>
        <m:r>
          <m:rPr>
            <m:sty m:val="bi"/>
          </m:rPr>
          <w:rPr>
            <w:rFonts w:ascii="Cambria Math" w:eastAsiaTheme="majorEastAsia" w:hAnsi="Cambria Math" w:cstheme="majorBidi"/>
            <w:color w:val="000000" w:themeColor="text1"/>
            <w:lang w:val="en-GB"/>
          </w:rPr>
          <m:t>d</m:t>
        </m:r>
      </m:oMath>
      <w:r>
        <w:rPr>
          <w:rFonts w:asciiTheme="majorHAnsi" w:eastAsiaTheme="majorEastAsia" w:hAnsiTheme="majorHAnsi" w:cstheme="majorBidi"/>
          <w:b/>
          <w:bCs/>
          <w:color w:val="000000" w:themeColor="text1"/>
          <w:lang w:val="it-IT"/>
        </w:rPr>
        <w:t>è il grado di differenziazione non stagionale,</w:t>
      </w:r>
    </w:p>
    <w:p w14:paraId="1AF57FF5" w14:textId="77777777" w:rsidR="00641FAD" w:rsidRPr="00254204" w:rsidRDefault="00641FAD" w:rsidP="008242CC">
      <w:pPr>
        <w:numPr>
          <w:ilvl w:val="0"/>
          <w:numId w:val="27"/>
        </w:numPr>
        <w:rPr>
          <w:rFonts w:asciiTheme="majorHAnsi" w:eastAsiaTheme="majorEastAsia" w:hAnsiTheme="majorHAnsi" w:cstheme="majorBidi"/>
          <w:b/>
          <w:bCs/>
          <w:color w:val="000000" w:themeColor="text1"/>
          <w:lang w:val="it-IT"/>
        </w:rPr>
      </w:pPr>
      <m:oMath>
        <m:r>
          <m:rPr>
            <m:sty m:val="bi"/>
          </m:rPr>
          <w:rPr>
            <w:rFonts w:ascii="Cambria Math" w:eastAsiaTheme="majorEastAsia" w:hAnsi="Cambria Math" w:cstheme="majorBidi"/>
            <w:color w:val="000000" w:themeColor="text1"/>
            <w:lang w:val="en-GB"/>
          </w:rPr>
          <m:t>D</m:t>
        </m:r>
      </m:oMath>
      <w:r>
        <w:rPr>
          <w:rFonts w:asciiTheme="majorHAnsi" w:eastAsiaTheme="majorEastAsia" w:hAnsiTheme="majorHAnsi" w:cstheme="majorBidi"/>
          <w:b/>
          <w:bCs/>
          <w:color w:val="000000" w:themeColor="text1"/>
          <w:lang w:val="it-IT"/>
        </w:rPr>
        <w:t>è il grado di differenziazione stagionale.</w:t>
      </w:r>
    </w:p>
    <w:p w14:paraId="573AA215"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Nel codice:</w:t>
      </w:r>
    </w:p>
    <w:p w14:paraId="7F68F5CA" w14:textId="77777777" w:rsidR="00641FAD" w:rsidRPr="00254204" w:rsidRDefault="00641FAD" w:rsidP="008242CC">
      <w:pPr>
        <w:numPr>
          <w:ilvl w:val="0"/>
          <w:numId w:val="28"/>
        </w:numPr>
        <w:rPr>
          <w:rFonts w:asciiTheme="majorHAnsi" w:eastAsiaTheme="majorEastAsia" w:hAnsiTheme="majorHAnsi" w:cstheme="majorBidi"/>
          <w:b/>
          <w:bCs/>
          <w:color w:val="000000" w:themeColor="text1"/>
          <w:lang w:val="it-IT"/>
        </w:rPr>
      </w:pPr>
      <m:oMath>
        <m:r>
          <m:rPr>
            <m:sty m:val="bi"/>
          </m:rPr>
          <w:rPr>
            <w:rFonts w:ascii="Cambria Math" w:eastAsiaTheme="majorEastAsia" w:hAnsi="Cambria Math" w:cstheme="majorBidi"/>
            <w:color w:val="000000" w:themeColor="text1"/>
            <w:lang w:val="en-GB"/>
          </w:rPr>
          <m:t>d</m:t>
        </m:r>
      </m:oMath>
      <w:r>
        <w:rPr>
          <w:rFonts w:asciiTheme="majorHAnsi" w:eastAsiaTheme="majorEastAsia" w:hAnsiTheme="majorHAnsi" w:cstheme="majorBidi"/>
          <w:b/>
          <w:bCs/>
          <w:color w:val="000000" w:themeColor="text1"/>
          <w:lang w:val="it-IT"/>
        </w:rPr>
        <w:t>è lasciato a stima automatica;</w:t>
      </w:r>
    </w:p>
    <w:p w14:paraId="78AA3161" w14:textId="77777777" w:rsidR="00641FAD" w:rsidRPr="00254204" w:rsidRDefault="00641FAD" w:rsidP="008242CC">
      <w:pPr>
        <w:numPr>
          <w:ilvl w:val="0"/>
          <w:numId w:val="28"/>
        </w:numPr>
        <w:rPr>
          <w:rFonts w:asciiTheme="majorHAnsi" w:eastAsiaTheme="majorEastAsia" w:hAnsiTheme="majorHAnsi" w:cstheme="majorBidi"/>
          <w:b/>
          <w:bCs/>
          <w:color w:val="000000" w:themeColor="text1"/>
          <w:lang w:val="it-IT"/>
        </w:rPr>
      </w:pPr>
      <m:oMath>
        <m:r>
          <m:rPr>
            <m:sty m:val="bi"/>
          </m:rPr>
          <w:rPr>
            <w:rFonts w:ascii="Cambria Math" w:eastAsiaTheme="majorEastAsia" w:hAnsi="Cambria Math" w:cstheme="majorBidi"/>
            <w:color w:val="000000" w:themeColor="text1"/>
            <w:lang w:val="en-GB"/>
          </w:rPr>
          <m:t>D</m:t>
        </m:r>
      </m:oMath>
      <w:r>
        <w:rPr>
          <w:rFonts w:asciiTheme="majorHAnsi" w:eastAsiaTheme="majorEastAsia" w:hAnsiTheme="majorHAnsi" w:cstheme="majorBidi"/>
          <w:b/>
          <w:bCs/>
          <w:color w:val="000000" w:themeColor="text1"/>
          <w:lang w:val="it-IT"/>
        </w:rPr>
        <w:t xml:space="preserve">è posto uguale a </w:t>
      </w:r>
      <m:oMath>
        <m:r>
          <m:rPr>
            <m:sty m:val="bi"/>
          </m:rPr>
          <w:rPr>
            <w:rFonts w:ascii="Cambria Math" w:eastAsiaTheme="majorEastAsia" w:hAnsi="Cambria Math" w:cstheme="majorBidi"/>
            <w:color w:val="000000" w:themeColor="text1"/>
            <w:lang w:val="en-GB"/>
          </w:rPr>
          <m:t>1</m:t>
        </m:r>
      </m:oMath>
      <w:r>
        <w:rPr>
          <w:rFonts w:asciiTheme="majorHAnsi" w:eastAsiaTheme="majorEastAsia" w:hAnsiTheme="majorHAnsi" w:cstheme="majorBidi"/>
          <w:b/>
          <w:bCs/>
          <w:color w:val="000000" w:themeColor="text1"/>
          <w:lang w:val="it-IT"/>
        </w:rPr>
        <w:t>solo quando esiste evidenza sufficiente di struttura stagionale stabile; altrimenti è lasciato a stima automatica;</w:t>
      </w:r>
    </w:p>
    <w:p w14:paraId="34353EC4" w14:textId="77777777" w:rsidR="00641FAD" w:rsidRPr="00254204" w:rsidRDefault="00641FAD" w:rsidP="008242CC">
      <w:pPr>
        <w:numPr>
          <w:ilvl w:val="0"/>
          <w:numId w:val="28"/>
        </w:num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 xml:space="preserve">se </w:t>
      </w:r>
      <m:oMath>
        <m:r>
          <m:rPr>
            <m:sty m:val="bi"/>
          </m:rPr>
          <w:rPr>
            <w:rFonts w:ascii="Cambria Math" w:eastAsiaTheme="majorEastAsia" w:hAnsi="Cambria Math" w:cstheme="majorBidi"/>
            <w:color w:val="000000" w:themeColor="text1"/>
            <w:lang w:val="en-GB"/>
          </w:rPr>
          <m:t>H</m:t>
        </m:r>
        <m:r>
          <m:rPr>
            <m:sty m:val="bi"/>
          </m:rPr>
          <w:rPr>
            <w:rFonts w:ascii="Cambria Math" w:eastAsiaTheme="majorEastAsia" w:hAnsi="Cambria Math" w:cstheme="majorBidi"/>
            <w:color w:val="000000" w:themeColor="text1"/>
            <w:lang w:val="it-IT"/>
          </w:rPr>
          <m:t>&gt;</m:t>
        </m:r>
        <m:r>
          <m:rPr>
            <m:sty m:val="bi"/>
          </m:rPr>
          <w:rPr>
            <w:rFonts w:ascii="Cambria Math" w:eastAsiaTheme="majorEastAsia" w:hAnsi="Cambria Math" w:cstheme="majorBidi"/>
            <w:color w:val="000000" w:themeColor="text1"/>
            <w:lang w:val="en-GB"/>
          </w:rPr>
          <m:t>90</m:t>
        </m:r>
      </m:oMath>
      <w:r>
        <w:rPr>
          <w:rFonts w:asciiTheme="majorHAnsi" w:eastAsiaTheme="majorEastAsia" w:hAnsiTheme="majorHAnsi" w:cstheme="majorBidi"/>
          <w:b/>
          <w:bCs/>
          <w:color w:val="000000" w:themeColor="text1"/>
          <w:lang w:val="it-IT"/>
        </w:rPr>
        <w:t>, la componente stagionale viene disattivata e il motore passa a un ARIMA non stagionale, cioè</w:t>
      </w:r>
    </w:p>
    <w:p w14:paraId="79B5A7A9" w14:textId="77777777" w:rsidR="00641FAD" w:rsidRPr="00EF0A3F" w:rsidRDefault="00641FAD" w:rsidP="00641FAD">
      <w:pPr>
        <w:rPr>
          <w:rFonts w:asciiTheme="majorHAnsi" w:eastAsiaTheme="majorEastAsia" w:hAnsiTheme="majorHAnsi" w:cstheme="majorBidi"/>
          <w:b/>
          <w:bCs/>
          <w:color w:val="000000" w:themeColor="text1"/>
          <w:lang w:val="en-GB"/>
        </w:rPr>
      </w:pPr>
      <m:oMathPara>
        <m:oMath>
          <m:r>
            <m:rPr>
              <m:sty m:val="bi"/>
            </m:rPr>
            <w:rPr>
              <w:rFonts w:ascii="Cambria Math" w:eastAsiaTheme="majorEastAsia" w:hAnsi="Cambria Math" w:cstheme="majorBidi"/>
              <w:color w:val="000000" w:themeColor="text1"/>
              <w:lang w:val="en-GB"/>
            </w:rPr>
            <m:t>ϕ(B)(1-B</m:t>
          </m:r>
          <m:sSup>
            <m:sSupPr>
              <m:ctrlPr>
                <w:rPr>
                  <w:rFonts w:ascii="Cambria Math" w:eastAsiaTheme="majorEastAsia" w:hAnsi="Cambria Math" w:cstheme="majorBidi"/>
                  <w:b/>
                  <w:bCs/>
                  <w:color w:val="000000" w:themeColor="text1"/>
                  <w:lang w:val="en-GB"/>
                </w:rPr>
              </m:ctrlPr>
            </m:sSupPr>
            <m:e>
              <m:r>
                <m:rPr>
                  <m:sty m:val="bi"/>
                </m:rPr>
                <w:rPr>
                  <w:rFonts w:ascii="Cambria Math" w:eastAsiaTheme="majorEastAsia" w:hAnsi="Cambria Math" w:cstheme="majorBidi"/>
                  <w:color w:val="000000" w:themeColor="text1"/>
                  <w:lang w:val="en-GB"/>
                </w:rPr>
                <m:t>)</m:t>
              </m:r>
            </m:e>
            <m:sup>
              <m:r>
                <m:rPr>
                  <m:sty m:val="bi"/>
                </m:rPr>
                <w:rPr>
                  <w:rFonts w:ascii="Cambria Math" w:eastAsiaTheme="majorEastAsia" w:hAnsi="Cambria Math" w:cstheme="majorBidi"/>
                  <w:color w:val="000000" w:themeColor="text1"/>
                  <w:lang w:val="en-GB"/>
                </w:rPr>
                <m:t>d</m:t>
              </m:r>
            </m:sup>
          </m:sSup>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r</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=θ(B)</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ε</m:t>
              </m:r>
            </m:e>
            <m:sub>
              <m:r>
                <m:rPr>
                  <m:sty m:val="bi"/>
                </m:rPr>
                <w:rPr>
                  <w:rFonts w:ascii="Cambria Math" w:eastAsiaTheme="majorEastAsia" w:hAnsi="Cambria Math" w:cstheme="majorBidi"/>
                  <w:color w:val="000000" w:themeColor="text1"/>
                  <w:lang w:val="en-GB"/>
                </w:rPr>
                <m:t>t</m:t>
              </m:r>
            </m:sub>
          </m:sSub>
          <m:r>
            <m:rPr>
              <m:sty m:val="p"/>
            </m:rPr>
            <w:rPr>
              <w:rFonts w:asciiTheme="majorHAnsi" w:eastAsiaTheme="majorEastAsia" w:hAnsiTheme="majorHAnsi" w:cstheme="majorBidi"/>
              <w:color w:val="000000" w:themeColor="text1"/>
              <w:lang w:val="en-GB"/>
            </w:rPr>
            <w:br/>
          </m:r>
        </m:oMath>
      </m:oMathPara>
    </w:p>
    <w:p w14:paraId="48EE0304"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Esiste inoltre un vincolo di fattibilità orizzonte/storia:</w:t>
      </w:r>
    </w:p>
    <w:p w14:paraId="6DF69DC5" w14:textId="77777777" w:rsidR="00641FAD" w:rsidRPr="00254204" w:rsidRDefault="00C0462E" w:rsidP="00641FAD">
      <w:pPr>
        <w:rPr>
          <w:rFonts w:asciiTheme="majorHAnsi" w:eastAsiaTheme="majorEastAsia" w:hAnsiTheme="majorHAnsi" w:cstheme="majorBidi"/>
          <w:b/>
          <w:bCs/>
          <w:color w:val="000000" w:themeColor="text1"/>
          <w:lang w:val="fr-FR"/>
        </w:rPr>
      </w:pPr>
      <m:oMathPara>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N</m:t>
              </m:r>
            </m:e>
            <m:sub>
              <m:r>
                <m:rPr>
                  <m:nor/>
                </m:rPr>
                <w:rPr>
                  <w:rFonts w:asciiTheme="majorHAnsi" w:eastAsiaTheme="majorEastAsia" w:hAnsiTheme="majorHAnsi" w:cstheme="majorBidi"/>
                  <w:b/>
                  <w:bCs/>
                  <w:color w:val="000000" w:themeColor="text1"/>
                  <w:lang w:val="fr-FR"/>
                </w:rPr>
                <m:t>usable</m:t>
              </m:r>
            </m:sub>
          </m:sSub>
          <m:r>
            <m:rPr>
              <m:sty m:val="bi"/>
            </m:rPr>
            <w:rPr>
              <w:rFonts w:ascii="Cambria Math" w:eastAsiaTheme="majorEastAsia" w:hAnsi="Cambria Math" w:cstheme="majorBidi"/>
              <w:color w:val="000000" w:themeColor="text1"/>
              <w:lang w:val="fr-FR"/>
            </w:rPr>
            <m:t>≥</m:t>
          </m:r>
          <m:r>
            <m:rPr>
              <m:sty m:val="b"/>
            </m:rPr>
            <w:rPr>
              <w:rFonts w:ascii="Cambria Math" w:eastAsiaTheme="majorEastAsia" w:hAnsi="Cambria Math" w:cstheme="majorBidi"/>
              <w:color w:val="000000" w:themeColor="text1"/>
              <w:lang w:val="en-GB"/>
            </w:rPr>
            <m:t>max</m:t>
          </m:r>
          <m:r>
            <m:rPr>
              <m:sty m:val="bi"/>
            </m:rPr>
            <w:rPr>
              <w:rFonts w:ascii="Cambria Math" w:eastAsiaTheme="majorEastAsia" w:hAnsi="Cambria Math" w:cstheme="majorBidi"/>
              <w:color w:val="000000" w:themeColor="text1"/>
              <w:lang w:val="fr-FR"/>
            </w:rPr>
            <m:t>⁡(50,</m:t>
          </m:r>
          <m:r>
            <m:rPr>
              <m:nor/>
            </m:rPr>
            <w:rPr>
              <w:rFonts w:asciiTheme="majorHAnsi" w:eastAsiaTheme="majorEastAsia" w:hAnsiTheme="majorHAnsi" w:cstheme="majorBidi"/>
              <w:b/>
              <w:bCs/>
              <w:color w:val="000000" w:themeColor="text1"/>
              <w:lang w:val="fr-FR"/>
            </w:rPr>
            <m:t>  </m:t>
          </m:r>
          <m:r>
            <m:rPr>
              <m:sty m:val="bi"/>
            </m:rPr>
            <w:rPr>
              <w:rFonts w:ascii="Cambria Math" w:eastAsiaTheme="majorEastAsia" w:hAnsi="Cambria Math" w:cstheme="majorBidi"/>
              <w:color w:val="000000" w:themeColor="text1"/>
              <w:lang w:val="en-GB"/>
            </w:rPr>
            <m:t>2</m:t>
          </m:r>
          <m:r>
            <m:rPr>
              <m:sty m:val="bi"/>
            </m:rPr>
            <w:rPr>
              <w:rFonts w:ascii="Cambria Math" w:eastAsiaTheme="majorEastAsia" w:hAnsi="Cambria Math" w:cstheme="majorBidi"/>
              <w:color w:val="000000" w:themeColor="text1"/>
              <w:lang w:val="en-GB"/>
            </w:rPr>
            <m:t>H</m:t>
          </m:r>
          <m:r>
            <m:rPr>
              <m:sty m:val="bi"/>
            </m:rPr>
            <w:rPr>
              <w:rFonts w:ascii="Cambria Math" w:eastAsiaTheme="majorEastAsia" w:hAnsi="Cambria Math" w:cstheme="majorBidi"/>
              <w:color w:val="000000" w:themeColor="text1"/>
              <w:lang w:val="fr-FR"/>
            </w:rPr>
            <m:t>)</m:t>
          </m:r>
          <m:r>
            <m:rPr>
              <m:sty m:val="p"/>
            </m:rPr>
            <w:rPr>
              <w:rFonts w:ascii="Cambria Math" w:eastAsiaTheme="majorEastAsia" w:hAnsi="Cambria Math" w:cstheme="majorBidi"/>
              <w:color w:val="000000" w:themeColor="text1"/>
              <w:lang w:val="fr-FR"/>
            </w:rPr>
            <w:br/>
          </m:r>
        </m:oMath>
      </m:oMathPara>
    </w:p>
    <w:p w14:paraId="290F8F4C"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 xml:space="preserve">dove </w:t>
      </w:r>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N</m:t>
            </m:r>
          </m:e>
          <m:sub>
            <m:r>
              <m:rPr>
                <m:nor/>
              </m:rPr>
              <w:rPr>
                <w:rFonts w:asciiTheme="majorHAnsi" w:eastAsiaTheme="majorEastAsia" w:hAnsiTheme="majorHAnsi" w:cstheme="majorBidi"/>
                <w:b/>
                <w:bCs/>
                <w:color w:val="000000" w:themeColor="text1"/>
                <w:lang w:val="it-IT"/>
              </w:rPr>
              <m:t>usable</m:t>
            </m:r>
          </m:sub>
        </m:sSub>
      </m:oMath>
      <w:r>
        <w:rPr>
          <w:rFonts w:asciiTheme="majorHAnsi" w:eastAsiaTheme="majorEastAsia" w:hAnsiTheme="majorHAnsi" w:cstheme="majorBidi"/>
          <w:b/>
          <w:bCs/>
          <w:color w:val="000000" w:themeColor="text1"/>
          <w:lang w:val="it-IT"/>
        </w:rPr>
        <w:t>è il numero di rendimenti utili disponibili dopo la costruzione della serie dei log-return. Se il vincolo non è soddisfatto, SARIMA viene escluso.</w:t>
      </w:r>
    </w:p>
    <w:p w14:paraId="54F90C7B"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La previsione finale del prezzo si ottiene cumulando i rendimenti previsti:</w:t>
      </w:r>
    </w:p>
    <w:p w14:paraId="7160BB86" w14:textId="77777777" w:rsidR="00641FAD" w:rsidRPr="00254204" w:rsidRDefault="00C0462E" w:rsidP="00641FAD">
      <w:pPr>
        <w:rPr>
          <w:rFonts w:asciiTheme="majorHAnsi" w:eastAsiaTheme="majorEastAsia" w:hAnsiTheme="majorHAnsi" w:cstheme="majorBidi"/>
          <w:b/>
          <w:bCs/>
          <w:color w:val="000000" w:themeColor="text1"/>
          <w:lang w:val="it-IT"/>
        </w:rPr>
      </w:pPr>
      <m:oMathPara>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r>
            <m:rPr>
              <m:sty m:val="bi"/>
            </m:rPr>
            <w:rPr>
              <w:rFonts w:ascii="Cambria Math" w:eastAsiaTheme="majorEastAsia" w:hAnsi="Cambria Math" w:cstheme="majorBidi"/>
              <w:color w:val="000000" w:themeColor="text1"/>
              <w:lang w:val="it-IT"/>
            </w:rPr>
            <m:t>=</m:t>
          </m:r>
          <m:nary>
            <m:naryPr>
              <m:chr m:val="∑"/>
              <m:limLoc m:val="undOvr"/>
              <m:grow m:val="1"/>
              <m:ctrlPr>
                <w:rPr>
                  <w:rFonts w:ascii="Cambria Math" w:eastAsiaTheme="majorEastAsia" w:hAnsi="Cambria Math" w:cstheme="majorBidi"/>
                  <w:b/>
                  <w:bCs/>
                  <w:color w:val="000000" w:themeColor="text1"/>
                  <w:lang w:val="en-GB"/>
                </w:rPr>
              </m:ctrlPr>
            </m:naryPr>
            <m:sub>
              <m:r>
                <m:rPr>
                  <m:sty m:val="bi"/>
                </m:rPr>
                <w:rPr>
                  <w:rFonts w:ascii="Cambria Math" w:eastAsiaTheme="majorEastAsia" w:hAnsi="Cambria Math" w:cstheme="majorBidi"/>
                  <w:color w:val="000000" w:themeColor="text1"/>
                  <w:lang w:val="en-GB"/>
                </w:rPr>
                <m:t>h</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1</m:t>
              </m:r>
            </m:sub>
            <m:sup>
              <m:r>
                <m:rPr>
                  <m:sty m:val="bi"/>
                </m:rPr>
                <w:rPr>
                  <w:rFonts w:ascii="Cambria Math" w:eastAsiaTheme="majorEastAsia" w:hAnsi="Cambria Math" w:cstheme="majorBidi"/>
                  <w:color w:val="000000" w:themeColor="text1"/>
                  <w:lang w:val="en-GB"/>
                </w:rPr>
                <m:t>H</m:t>
              </m:r>
            </m:sup>
            <m:e>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e>
          </m:nary>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P</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r>
            <m:rPr>
              <m:nor/>
            </m:rPr>
            <w:rPr>
              <w:rFonts w:asciiTheme="majorHAnsi" w:eastAsiaTheme="majorEastAsia" w:hAnsiTheme="majorHAnsi" w:cstheme="majorBidi"/>
              <w:b/>
              <w:bCs/>
              <w:color w:val="000000" w:themeColor="text1"/>
              <w:lang w:val="it-IT"/>
            </w:rPr>
            <m:t> </m:t>
          </m:r>
          <m:sSup>
            <m:sSupPr>
              <m:ctrlPr>
                <w:rPr>
                  <w:rFonts w:ascii="Cambria Math" w:eastAsiaTheme="majorEastAsia" w:hAnsi="Cambria Math" w:cstheme="majorBidi"/>
                  <w:b/>
                  <w:bCs/>
                  <w:color w:val="000000" w:themeColor="text1"/>
                  <w:lang w:val="en-GB"/>
                </w:rPr>
              </m:ctrlPr>
            </m:sSupPr>
            <m:e>
              <m:r>
                <m:rPr>
                  <m:sty m:val="bi"/>
                </m:rPr>
                <w:rPr>
                  <w:rFonts w:ascii="Cambria Math" w:eastAsiaTheme="majorEastAsia" w:hAnsi="Cambria Math" w:cstheme="majorBidi"/>
                  <w:color w:val="000000" w:themeColor="text1"/>
                  <w:lang w:val="en-GB"/>
                </w:rPr>
                <m:t>e</m:t>
              </m:r>
            </m:e>
            <m:sup>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sup>
          </m:sSup>
          <m:r>
            <m:rPr>
              <m:sty m:val="p"/>
            </m:rPr>
            <w:rPr>
              <w:rFonts w:asciiTheme="majorHAnsi" w:eastAsiaTheme="majorEastAsia" w:hAnsiTheme="majorHAnsi" w:cstheme="majorBidi"/>
              <w:color w:val="000000" w:themeColor="text1"/>
              <w:lang w:val="it-IT"/>
            </w:rPr>
            <w:br/>
          </m:r>
        </m:oMath>
      </m:oMathPara>
    </w:p>
    <w:p w14:paraId="2706F2A6"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Il cumulato logaritmico viene inoltre limitato numericamente:</w:t>
      </w:r>
    </w:p>
    <w:p w14:paraId="5097A498"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t,H</m:t>
              </m:r>
            </m:sub>
          </m:sSub>
          <m:r>
            <m:rPr>
              <m:sty m:val="bi"/>
            </m:rPr>
            <w:rPr>
              <w:rFonts w:ascii="Cambria Math" w:eastAsiaTheme="majorEastAsia" w:hAnsi="Cambria Math" w:cstheme="majorBidi"/>
              <w:color w:val="000000" w:themeColor="text1"/>
              <w:lang w:val="en-GB"/>
            </w:rPr>
            <m:t>←</m:t>
          </m:r>
          <m:r>
            <m:rPr>
              <m:sty m:val="b"/>
            </m:rPr>
            <w:rPr>
              <w:rFonts w:ascii="Cambria Math" w:eastAsiaTheme="majorEastAsia" w:hAnsi="Cambria Math" w:cstheme="majorBidi"/>
              <w:color w:val="000000" w:themeColor="text1"/>
              <w:lang w:val="en-GB"/>
            </w:rPr>
            <m:t>clip</m:t>
          </m:r>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t,H</m:t>
              </m:r>
            </m:sub>
          </m:sSub>
          <m:r>
            <m:rPr>
              <m:sty m:val="bi"/>
            </m:rPr>
            <w:rPr>
              <w:rFonts w:ascii="Cambria Math" w:eastAsiaTheme="majorEastAsia" w:hAnsi="Cambria Math" w:cstheme="majorBidi"/>
              <w:color w:val="000000" w:themeColor="text1"/>
              <w:lang w:val="en-GB"/>
            </w:rPr>
            <m:t>,-20,20)</m:t>
          </m:r>
          <m:r>
            <m:rPr>
              <m:sty m:val="p"/>
            </m:rPr>
            <w:rPr>
              <w:rFonts w:ascii="Cambria Math" w:eastAsiaTheme="majorEastAsia" w:hAnsi="Cambria Math" w:cstheme="majorBidi"/>
              <w:color w:val="000000" w:themeColor="text1"/>
              <w:lang w:val="en-GB"/>
            </w:rPr>
            <w:br/>
          </m:r>
        </m:oMath>
      </m:oMathPara>
    </w:p>
    <w:p w14:paraId="64923056"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per evitare overflow nell'esponenziale.</w:t>
      </w:r>
    </w:p>
    <w:p w14:paraId="57553A44" w14:textId="77777777" w:rsidR="00641FAD" w:rsidRPr="00EF0A3F" w:rsidRDefault="00C0462E"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pict w14:anchorId="5CC82A29">
          <v:rect id="_x0000_i1030" style="width:0;height:1.5pt" o:hralign="center" o:hrstd="t" o:hr="t" fillcolor="#a0a0a0" stroked="f"/>
        </w:pict>
      </w:r>
    </w:p>
    <w:p w14:paraId="7BA93989" w14:textId="77777777" w:rsidR="00641FAD" w:rsidRPr="00254204" w:rsidRDefault="00641FAD" w:rsidP="00641FAD">
      <w:pPr>
        <w:pStyle w:val="Heading2"/>
        <w:rPr>
          <w:color w:val="000000" w:themeColor="text1"/>
          <w:lang w:val="it-IT"/>
        </w:rPr>
      </w:pPr>
      <w:bookmarkStart w:id="59" w:name="_Toc236387234"/>
      <w:r>
        <w:rPr>
          <w:color w:val="000000" w:themeColor="text1"/>
          <w:lang w:val="it-IT"/>
        </w:rPr>
        <w:t>7.4 Prophet</w:t>
      </w:r>
      <w:bookmarkEnd w:id="59"/>
    </w:p>
    <w:p w14:paraId="2611401F"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Spazio modellato: log-price.</w:t>
      </w:r>
    </w:p>
    <w:p w14:paraId="7ED5A8C5"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La variabile modellata è</w:t>
      </w:r>
    </w:p>
    <w:p w14:paraId="65B880A7"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y</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m:t>
          </m:r>
          <m:r>
            <m:rPr>
              <m:sty m:val="b"/>
            </m:rPr>
            <w:rPr>
              <w:rFonts w:ascii="Cambria Math" w:eastAsiaTheme="majorEastAsia" w:hAnsi="Cambria Math" w:cstheme="majorBidi"/>
              <w:color w:val="000000" w:themeColor="text1"/>
              <w:lang w:val="en-GB"/>
            </w:rPr>
            <m:t>log</m:t>
          </m:r>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m:t>
          </m:r>
          <m:r>
            <m:rPr>
              <m:sty m:val="p"/>
            </m:rPr>
            <w:rPr>
              <w:rFonts w:ascii="Cambria Math" w:eastAsiaTheme="majorEastAsia" w:hAnsi="Cambria Math" w:cstheme="majorBidi"/>
              <w:color w:val="000000" w:themeColor="text1"/>
              <w:lang w:val="en-GB"/>
            </w:rPr>
            <w:br/>
          </m:r>
        </m:oMath>
      </m:oMathPara>
    </w:p>
    <w:p w14:paraId="722C86DE"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lastRenderedPageBreak/>
        <w:t>La forma del modello è additiva nello spazio del log-prezzo:</w:t>
      </w:r>
    </w:p>
    <w:p w14:paraId="313EEAAF"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y</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=g(t)+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s</m:t>
              </m:r>
            </m:e>
            <m:sub>
              <m:r>
                <m:rPr>
                  <m:sty m:val="bi"/>
                </m:rPr>
                <w:rPr>
                  <w:rFonts w:ascii="Cambria Math" w:eastAsiaTheme="majorEastAsia" w:hAnsi="Cambria Math" w:cstheme="majorBidi"/>
                  <w:color w:val="000000" w:themeColor="text1"/>
                  <w:lang w:val="en-GB"/>
                </w:rPr>
                <m:t>w</m:t>
              </m:r>
            </m:sub>
          </m:sSub>
          <m:r>
            <m:rPr>
              <m:sty m:val="bi"/>
            </m:rPr>
            <w:rPr>
              <w:rFonts w:ascii="Cambria Math" w:eastAsiaTheme="majorEastAsia" w:hAnsi="Cambria Math" w:cstheme="majorBidi"/>
              <w:color w:val="000000" w:themeColor="text1"/>
              <w:lang w:val="en-GB"/>
            </w:rPr>
            <m:t>(t)+h(t)+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ε</m:t>
              </m:r>
            </m:e>
            <m:sub>
              <m:r>
                <m:rPr>
                  <m:sty m:val="bi"/>
                </m:rPr>
                <w:rPr>
                  <w:rFonts w:ascii="Cambria Math" w:eastAsiaTheme="majorEastAsia" w:hAnsi="Cambria Math" w:cstheme="majorBidi"/>
                  <w:color w:val="000000" w:themeColor="text1"/>
                  <w:lang w:val="en-GB"/>
                </w:rPr>
                <m:t>t</m:t>
              </m:r>
            </m:sub>
          </m:sSub>
          <m:r>
            <m:rPr>
              <m:sty m:val="p"/>
            </m:rPr>
            <w:rPr>
              <w:rFonts w:asciiTheme="majorHAnsi" w:eastAsiaTheme="majorEastAsia" w:hAnsiTheme="majorHAnsi" w:cstheme="majorBidi"/>
              <w:color w:val="000000" w:themeColor="text1"/>
              <w:lang w:val="en-GB"/>
            </w:rPr>
            <w:br/>
          </m:r>
        </m:oMath>
      </m:oMathPara>
    </w:p>
    <w:p w14:paraId="55BE151D"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dove:</w:t>
      </w:r>
    </w:p>
    <w:p w14:paraId="783CD5B2" w14:textId="77777777" w:rsidR="00641FAD" w:rsidRPr="00254204" w:rsidRDefault="00641FAD" w:rsidP="008242CC">
      <w:pPr>
        <w:numPr>
          <w:ilvl w:val="0"/>
          <w:numId w:val="29"/>
        </w:numPr>
        <w:rPr>
          <w:rFonts w:asciiTheme="majorHAnsi" w:eastAsiaTheme="majorEastAsia" w:hAnsiTheme="majorHAnsi" w:cstheme="majorBidi"/>
          <w:b/>
          <w:bCs/>
          <w:color w:val="000000" w:themeColor="text1"/>
          <w:lang w:val="it-IT"/>
        </w:rPr>
      </w:pPr>
      <m:oMath>
        <m:r>
          <m:rPr>
            <m:sty m:val="bi"/>
          </m:rPr>
          <w:rPr>
            <w:rFonts w:ascii="Cambria Math" w:eastAsiaTheme="majorEastAsia" w:hAnsi="Cambria Math" w:cstheme="majorBidi"/>
            <w:color w:val="000000" w:themeColor="text1"/>
            <w:lang w:val="en-GB"/>
          </w:rPr>
          <m:t>g</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oMath>
      <w:r>
        <w:rPr>
          <w:rFonts w:asciiTheme="majorHAnsi" w:eastAsiaTheme="majorEastAsia" w:hAnsiTheme="majorHAnsi" w:cstheme="majorBidi"/>
          <w:b/>
          <w:bCs/>
          <w:color w:val="000000" w:themeColor="text1"/>
          <w:lang w:val="it-IT"/>
        </w:rPr>
        <w:t>è il trend piecewise lineare regolarizzato dai changepoint,</w:t>
      </w:r>
    </w:p>
    <w:p w14:paraId="50DEF789" w14:textId="77777777" w:rsidR="00641FAD" w:rsidRPr="00254204" w:rsidRDefault="00C0462E" w:rsidP="008242CC">
      <w:pPr>
        <w:numPr>
          <w:ilvl w:val="0"/>
          <w:numId w:val="29"/>
        </w:numPr>
        <w:rPr>
          <w:rFonts w:asciiTheme="majorHAnsi" w:eastAsiaTheme="majorEastAsia" w:hAnsiTheme="majorHAnsi" w:cstheme="majorBidi"/>
          <w:b/>
          <w:bCs/>
          <w:color w:val="000000" w:themeColor="text1"/>
          <w:lang w:val="it-IT"/>
        </w:rPr>
      </w:pPr>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s</m:t>
            </m:r>
          </m:e>
          <m:sub>
            <m:r>
              <m:rPr>
                <m:sty m:val="bi"/>
              </m:rPr>
              <w:rPr>
                <w:rFonts w:ascii="Cambria Math" w:eastAsiaTheme="majorEastAsia" w:hAnsi="Cambria Math" w:cstheme="majorBidi"/>
                <w:color w:val="000000" w:themeColor="text1"/>
                <w:lang w:val="en-GB"/>
              </w:rPr>
              <m:t>w</m:t>
            </m:r>
          </m:sub>
        </m:sSub>
        <m:r>
          <m:rPr>
            <m:sty m:val="bi"/>
          </m:rPr>
          <w:rPr>
            <w:rFonts w:ascii="Cambria Math" w:eastAsiaTheme="majorEastAsia" w:hAnsi="Cambria Math" w:cstheme="majorBidi"/>
            <w:color w:val="000000" w:themeColor="text1"/>
            <w:lang w:val="it-IT"/>
          </w:rPr>
          <m:t>(t)</m:t>
        </m:r>
      </m:oMath>
      <w:r w:rsidR="00383D83">
        <w:rPr>
          <w:rFonts w:asciiTheme="majorHAnsi" w:eastAsiaTheme="majorEastAsia" w:hAnsiTheme="majorHAnsi" w:cstheme="majorBidi"/>
          <w:b/>
          <w:bCs/>
          <w:color w:val="000000" w:themeColor="text1"/>
          <w:lang w:val="it-IT"/>
        </w:rPr>
        <w:t>è la componente stagionale settimanale,</w:t>
      </w:r>
    </w:p>
    <w:p w14:paraId="14CB35F0" w14:textId="77777777" w:rsidR="00641FAD" w:rsidRPr="00254204" w:rsidRDefault="00641FAD" w:rsidP="008242CC">
      <w:pPr>
        <w:numPr>
          <w:ilvl w:val="0"/>
          <w:numId w:val="29"/>
        </w:numPr>
        <w:rPr>
          <w:rFonts w:asciiTheme="majorHAnsi" w:eastAsiaTheme="majorEastAsia" w:hAnsiTheme="majorHAnsi" w:cstheme="majorBidi"/>
          <w:b/>
          <w:bCs/>
          <w:color w:val="000000" w:themeColor="text1"/>
          <w:lang w:val="it-IT"/>
        </w:rPr>
      </w:pPr>
      <m:oMath>
        <m:r>
          <m:rPr>
            <m:sty m:val="bi"/>
          </m:rPr>
          <w:rPr>
            <w:rFonts w:ascii="Cambria Math" w:eastAsiaTheme="majorEastAsia" w:hAnsi="Cambria Math" w:cstheme="majorBidi"/>
            <w:color w:val="000000" w:themeColor="text1"/>
            <w:lang w:val="en-GB"/>
          </w:rPr>
          <m:t>h</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oMath>
      <w:r>
        <w:rPr>
          <w:rFonts w:asciiTheme="majorHAnsi" w:eastAsiaTheme="majorEastAsia" w:hAnsiTheme="majorHAnsi" w:cstheme="majorBidi"/>
          <w:b/>
          <w:bCs/>
          <w:color w:val="000000" w:themeColor="text1"/>
          <w:lang w:val="it-IT"/>
        </w:rPr>
        <w:t>è l'eventuale componente holiday, attivata solo se richiesta,</w:t>
      </w:r>
    </w:p>
    <w:p w14:paraId="52E0F2A1" w14:textId="77777777" w:rsidR="00641FAD" w:rsidRPr="00254204" w:rsidRDefault="00C0462E" w:rsidP="008242CC">
      <w:pPr>
        <w:numPr>
          <w:ilvl w:val="0"/>
          <w:numId w:val="29"/>
        </w:numPr>
        <w:rPr>
          <w:rFonts w:asciiTheme="majorHAnsi" w:eastAsiaTheme="majorEastAsia" w:hAnsiTheme="majorHAnsi" w:cstheme="majorBidi"/>
          <w:b/>
          <w:bCs/>
          <w:color w:val="000000" w:themeColor="text1"/>
          <w:lang w:val="it-IT"/>
        </w:rPr>
      </w:pPr>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ε</m:t>
            </m:r>
          </m:e>
          <m:sub>
            <m:r>
              <m:rPr>
                <m:sty m:val="bi"/>
              </m:rPr>
              <w:rPr>
                <w:rFonts w:ascii="Cambria Math" w:eastAsiaTheme="majorEastAsia" w:hAnsi="Cambria Math" w:cstheme="majorBidi"/>
                <w:color w:val="000000" w:themeColor="text1"/>
                <w:lang w:val="en-GB"/>
              </w:rPr>
              <m:t>t</m:t>
            </m:r>
          </m:sub>
        </m:sSub>
      </m:oMath>
      <w:r w:rsidR="00383D83">
        <w:rPr>
          <w:rFonts w:asciiTheme="majorHAnsi" w:eastAsiaTheme="majorEastAsia" w:hAnsiTheme="majorHAnsi" w:cstheme="majorBidi"/>
          <w:b/>
          <w:bCs/>
          <w:color w:val="000000" w:themeColor="text1"/>
          <w:lang w:val="it-IT"/>
        </w:rPr>
        <w:t>è il termine residuo.</w:t>
      </w:r>
    </w:p>
    <w:p w14:paraId="1AC8FE68"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Nel setup di default usato dal sistema:</w:t>
      </w:r>
    </w:p>
    <w:p w14:paraId="2BD48F2F" w14:textId="77777777" w:rsidR="00641FAD" w:rsidRPr="00EF0A3F" w:rsidRDefault="00641FAD" w:rsidP="008242CC">
      <w:pPr>
        <w:numPr>
          <w:ilvl w:val="0"/>
          <w:numId w:val="30"/>
        </w:num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nessuna componente stagionale infragiornaliera;</w:t>
      </w:r>
    </w:p>
    <w:p w14:paraId="1485C8C8" w14:textId="77777777" w:rsidR="00641FAD" w:rsidRPr="00EF0A3F" w:rsidRDefault="00641FAD" w:rsidP="008242CC">
      <w:pPr>
        <w:numPr>
          <w:ilvl w:val="0"/>
          <w:numId w:val="30"/>
        </w:num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componente stagionale settimanale attiva;</w:t>
      </w:r>
    </w:p>
    <w:p w14:paraId="6B7457CD" w14:textId="77777777" w:rsidR="00641FAD" w:rsidRPr="00EF0A3F" w:rsidRDefault="00641FAD" w:rsidP="008242CC">
      <w:pPr>
        <w:numPr>
          <w:ilvl w:val="0"/>
          <w:numId w:val="30"/>
        </w:num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nessuna componente stagionale annuale;</w:t>
      </w:r>
    </w:p>
    <w:p w14:paraId="695947AF" w14:textId="77777777" w:rsidR="00641FAD" w:rsidRPr="00254204" w:rsidRDefault="00641FAD" w:rsidP="008242CC">
      <w:pPr>
        <w:numPr>
          <w:ilvl w:val="0"/>
          <w:numId w:val="30"/>
        </w:num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nessun campionamento MCMC: la previsione puntuale è ottenuta in forma deterministica (stima MAP).</w:t>
      </w:r>
    </w:p>
    <w:p w14:paraId="211FFA4A"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 xml:space="preserve">Il forecast in log-spazio al passo finale </w:t>
      </w:r>
      <m:oMath>
        <m:r>
          <m:rPr>
            <m:sty m:val="bi"/>
          </m:rPr>
          <w:rPr>
            <w:rFonts w:ascii="Cambria Math" w:eastAsiaTheme="majorEastAsia" w:hAnsi="Cambria Math" w:cstheme="majorBidi"/>
            <w:color w:val="000000" w:themeColor="text1"/>
            <w:lang w:val="en-GB"/>
          </w:rPr>
          <m:t>H</m:t>
        </m:r>
      </m:oMath>
      <w:r>
        <w:rPr>
          <w:rFonts w:asciiTheme="majorHAnsi" w:eastAsiaTheme="majorEastAsia" w:hAnsiTheme="majorHAnsi" w:cstheme="majorBidi"/>
          <w:b/>
          <w:bCs/>
          <w:color w:val="000000" w:themeColor="text1"/>
          <w:lang w:val="it-IT"/>
        </w:rPr>
        <w:t xml:space="preserve">è </w:t>
      </w:r>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y</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oMath>
      <w:r>
        <w:rPr>
          <w:rFonts w:asciiTheme="majorHAnsi" w:eastAsiaTheme="majorEastAsia" w:hAnsiTheme="majorHAnsi" w:cstheme="majorBidi"/>
          <w:b/>
          <w:bCs/>
          <w:color w:val="000000" w:themeColor="text1"/>
          <w:lang w:val="it-IT"/>
        </w:rPr>
        <w:t>. Prima del ritorno nello spazio prezzo, il forecast viene clampato attorno all'ultimo log-prezzo osservato:</w:t>
      </w:r>
    </w:p>
    <w:p w14:paraId="62D1AA12"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Sup>
            <m:sSubSupPr>
              <m:ctrlPr>
                <w:rPr>
                  <w:rFonts w:ascii="Cambria Math" w:eastAsiaTheme="majorEastAsia" w:hAnsi="Cambria Math" w:cstheme="majorBidi"/>
                  <w:b/>
                  <w:bCs/>
                  <w:color w:val="000000" w:themeColor="text1"/>
                  <w:lang w:val="en-GB"/>
                </w:rPr>
              </m:ctrlPr>
            </m:sSubSupPr>
            <m:e>
              <m:r>
                <m:rPr>
                  <m:sty m:val="bi"/>
                </m:rPr>
                <w:rPr>
                  <w:rFonts w:ascii="Cambria Math" w:eastAsiaTheme="majorEastAsia" w:hAnsi="Cambria Math" w:cstheme="majorBidi"/>
                  <w:color w:val="000000" w:themeColor="text1"/>
                  <w:lang w:val="en-GB"/>
                </w:rPr>
                <m:t>y</m:t>
              </m:r>
            </m:e>
            <m:sub>
              <m:r>
                <m:rPr>
                  <m:sty m:val="bi"/>
                </m:rPr>
                <w:rPr>
                  <w:rFonts w:ascii="Cambria Math" w:eastAsiaTheme="majorEastAsia" w:hAnsi="Cambria Math" w:cstheme="majorBidi"/>
                  <w:color w:val="000000" w:themeColor="text1"/>
                  <w:lang w:val="en-GB"/>
                </w:rPr>
                <m:t>t</m:t>
              </m:r>
            </m:sub>
            <m:sup>
              <m:r>
                <m:rPr>
                  <m:nor/>
                </m:rPr>
                <w:rPr>
                  <w:rFonts w:asciiTheme="majorHAnsi" w:eastAsiaTheme="majorEastAsia" w:hAnsiTheme="majorHAnsi" w:cstheme="majorBidi"/>
                  <w:b/>
                  <w:bCs/>
                  <w:color w:val="000000" w:themeColor="text1"/>
                  <w:lang w:val="en-GB"/>
                </w:rPr>
                <m:t>last</m:t>
              </m:r>
            </m:sup>
          </m:sSubSup>
          <m:r>
            <m:rPr>
              <m:sty m:val="bi"/>
            </m:rPr>
            <w:rPr>
              <w:rFonts w:ascii="Cambria Math" w:eastAsiaTheme="majorEastAsia" w:hAnsi="Cambria Math" w:cstheme="majorBidi"/>
              <w:color w:val="000000" w:themeColor="text1"/>
              <w:lang w:val="en-GB"/>
            </w:rPr>
            <m:t>=</m:t>
          </m:r>
          <m:r>
            <m:rPr>
              <m:sty m:val="b"/>
            </m:rPr>
            <w:rPr>
              <w:rFonts w:ascii="Cambria Math" w:eastAsiaTheme="majorEastAsia" w:hAnsi="Cambria Math" w:cstheme="majorBidi"/>
              <w:color w:val="000000" w:themeColor="text1"/>
              <w:lang w:val="en-GB"/>
            </w:rPr>
            <m:t>log</m:t>
          </m:r>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m:t>
          </m:r>
          <m:r>
            <m:rPr>
              <m:sty m:val="p"/>
            </m:rPr>
            <w:rPr>
              <w:rFonts w:ascii="Cambria Math" w:eastAsiaTheme="majorEastAsia" w:hAnsi="Cambria Math" w:cstheme="majorBidi"/>
              <w:color w:val="000000" w:themeColor="text1"/>
              <w:lang w:val="en-GB"/>
            </w:rPr>
            <w:br/>
          </m:r>
        </m:oMath>
        <m:oMath>
          <m:sSub>
            <m:sSubPr>
              <m:ctrlPr>
                <w:rPr>
                  <w:rFonts w:ascii="Cambria Math" w:eastAsiaTheme="majorEastAsia" w:hAnsi="Cambria Math" w:cstheme="majorBidi"/>
                  <w:b/>
                  <w:bCs/>
                  <w:color w:val="000000" w:themeColor="text1"/>
                  <w:lang w:val="en-GB"/>
                </w:rPr>
              </m:ctrlPr>
            </m:sSubPr>
            <m:e>
              <m:r>
                <m:rPr>
                  <m:sty m:val="b"/>
                </m:rPr>
                <w:rPr>
                  <w:rFonts w:ascii="Cambria Math" w:eastAsiaTheme="majorEastAsia" w:hAnsi="Cambria Math" w:cstheme="majorBidi"/>
                  <w:color w:val="000000" w:themeColor="text1"/>
                  <w:lang w:val="en-GB"/>
                </w:rPr>
                <m:t>bound</m:t>
              </m:r>
            </m:e>
            <m:sub>
              <m:r>
                <m:rPr>
                  <m:sty m:val="b"/>
                </m:rPr>
                <w:rPr>
                  <w:rFonts w:ascii="Cambria Math" w:eastAsiaTheme="majorEastAsia" w:hAnsi="Cambria Math" w:cstheme="majorBidi"/>
                  <w:color w:val="000000" w:themeColor="text1"/>
                  <w:lang w:val="en-GB"/>
                </w:rPr>
                <m:t>log</m:t>
              </m:r>
            </m:sub>
          </m:sSub>
          <m:r>
            <m:rPr>
              <m:sty m:val="bi"/>
            </m:rPr>
            <w:rPr>
              <w:rFonts w:ascii="Cambria Math" w:eastAsiaTheme="majorEastAsia" w:hAnsi="Cambria Math" w:cstheme="majorBidi"/>
              <w:color w:val="000000" w:themeColor="text1"/>
              <w:lang w:val="en-GB"/>
            </w:rPr>
            <m:t>=κ</m:t>
          </m:r>
          <m:r>
            <m:rPr>
              <m:nor/>
            </m:rPr>
            <w:rPr>
              <w:rFonts w:asciiTheme="majorHAnsi" w:eastAsiaTheme="majorEastAsia" w:hAnsiTheme="majorHAnsi" w:cstheme="majorBidi"/>
              <w:b/>
              <w:bCs/>
              <w:color w:val="000000" w:themeColor="text1"/>
              <w:lang w:val="en-GB"/>
            </w:rPr>
            <m:t> </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σ</m:t>
              </m:r>
            </m:e>
            <m:sub>
              <m:r>
                <m:rPr>
                  <m:sty m:val="bi"/>
                </m:rPr>
                <w:rPr>
                  <w:rFonts w:ascii="Cambria Math" w:eastAsiaTheme="majorEastAsia" w:hAnsi="Cambria Math" w:cstheme="majorBidi"/>
                  <w:color w:val="000000" w:themeColor="text1"/>
                  <w:lang w:val="en-GB"/>
                </w:rPr>
                <m:t>lr</m:t>
              </m:r>
            </m:sub>
          </m:sSub>
          <m:rad>
            <m:radPr>
              <m:degHide m:val="1"/>
              <m:ctrlPr>
                <w:rPr>
                  <w:rFonts w:ascii="Cambria Math" w:eastAsiaTheme="majorEastAsia" w:hAnsi="Cambria Math" w:cstheme="majorBidi"/>
                  <w:b/>
                  <w:bCs/>
                  <w:color w:val="000000" w:themeColor="text1"/>
                  <w:lang w:val="en-GB"/>
                </w:rPr>
              </m:ctrlPr>
            </m:radPr>
            <m:deg/>
            <m:e>
              <m:r>
                <m:rPr>
                  <m:sty m:val="bi"/>
                </m:rPr>
                <w:rPr>
                  <w:rFonts w:ascii="Cambria Math" w:eastAsiaTheme="majorEastAsia" w:hAnsi="Cambria Math" w:cstheme="majorBidi"/>
                  <w:color w:val="000000" w:themeColor="text1"/>
                  <w:lang w:val="en-GB"/>
                </w:rPr>
                <m:t>H</m:t>
              </m:r>
            </m:e>
          </m:rad>
          <m:r>
            <m:rPr>
              <m:sty m:val="p"/>
            </m:rPr>
            <w:rPr>
              <w:rFonts w:asciiTheme="majorHAnsi" w:eastAsiaTheme="majorEastAsia" w:hAnsiTheme="majorHAnsi" w:cstheme="majorBidi"/>
              <w:color w:val="000000" w:themeColor="text1"/>
              <w:lang w:val="en-GB"/>
            </w:rPr>
            <w:br/>
          </m:r>
        </m:oMath>
      </m:oMathPara>
    </w:p>
    <w:p w14:paraId="20764F6E"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dove:</w:t>
      </w:r>
    </w:p>
    <w:p w14:paraId="75D1EF19" w14:textId="77777777" w:rsidR="00641FAD" w:rsidRPr="00254204" w:rsidRDefault="00641FAD" w:rsidP="008242CC">
      <w:pPr>
        <w:numPr>
          <w:ilvl w:val="0"/>
          <w:numId w:val="31"/>
        </w:numPr>
        <w:rPr>
          <w:rFonts w:asciiTheme="majorHAnsi" w:eastAsiaTheme="majorEastAsia" w:hAnsiTheme="majorHAnsi" w:cstheme="majorBidi"/>
          <w:b/>
          <w:bCs/>
          <w:color w:val="000000" w:themeColor="text1"/>
          <w:lang w:val="it-IT"/>
        </w:rPr>
      </w:pPr>
      <m:oMath>
        <m:r>
          <m:rPr>
            <m:sty m:val="bi"/>
          </m:rPr>
          <w:rPr>
            <w:rFonts w:ascii="Cambria Math" w:eastAsiaTheme="majorEastAsia" w:hAnsi="Cambria Math" w:cstheme="majorBidi"/>
            <w:color w:val="000000" w:themeColor="text1"/>
            <w:lang w:val="en-GB"/>
          </w:rPr>
          <m:t>κ</m:t>
        </m:r>
      </m:oMath>
      <w:r>
        <w:rPr>
          <w:rFonts w:asciiTheme="majorHAnsi" w:eastAsiaTheme="majorEastAsia" w:hAnsiTheme="majorHAnsi" w:cstheme="majorBidi"/>
          <w:b/>
          <w:bCs/>
          <w:color w:val="000000" w:themeColor="text1"/>
          <w:lang w:val="it-IT"/>
        </w:rPr>
        <w:t>è il coefficiente di clamp configurabile,</w:t>
      </w:r>
    </w:p>
    <w:p w14:paraId="11CE7E82" w14:textId="77777777" w:rsidR="00641FAD" w:rsidRPr="00254204" w:rsidRDefault="00C0462E" w:rsidP="008242CC">
      <w:pPr>
        <w:numPr>
          <w:ilvl w:val="0"/>
          <w:numId w:val="31"/>
        </w:numPr>
        <w:rPr>
          <w:rFonts w:asciiTheme="majorHAnsi" w:eastAsiaTheme="majorEastAsia" w:hAnsiTheme="majorHAnsi" w:cstheme="majorBidi"/>
          <w:b/>
          <w:bCs/>
          <w:color w:val="000000" w:themeColor="text1"/>
          <w:lang w:val="it-IT"/>
        </w:rPr>
      </w:pPr>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σ</m:t>
            </m:r>
          </m:e>
          <m:sub>
            <m:r>
              <m:rPr>
                <m:sty m:val="bi"/>
              </m:rPr>
              <w:rPr>
                <w:rFonts w:ascii="Cambria Math" w:eastAsiaTheme="majorEastAsia" w:hAnsi="Cambria Math" w:cstheme="majorBidi"/>
                <w:color w:val="000000" w:themeColor="text1"/>
                <w:lang w:val="en-GB"/>
              </w:rPr>
              <m:t>lr</m:t>
            </m:r>
          </m:sub>
        </m:sSub>
      </m:oMath>
      <w:r w:rsidR="00383D83">
        <w:rPr>
          <w:rFonts w:asciiTheme="majorHAnsi" w:eastAsiaTheme="majorEastAsia" w:hAnsiTheme="majorHAnsi" w:cstheme="majorBidi"/>
          <w:b/>
          <w:bCs/>
          <w:color w:val="000000" w:themeColor="text1"/>
          <w:lang w:val="it-IT"/>
        </w:rPr>
        <w:t>è la deviazione standard rolling dei log-return recenti.</w:t>
      </w:r>
    </w:p>
    <w:p w14:paraId="39D7EE69"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Quindi:</w:t>
      </w:r>
    </w:p>
    <w:p w14:paraId="2BE1F9ED"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y</m:t>
                  </m:r>
                </m:e>
              </m:acc>
            </m:e>
            <m:sub>
              <m:r>
                <m:rPr>
                  <m:sty m:val="bi"/>
                </m:rPr>
                <w:rPr>
                  <w:rFonts w:ascii="Cambria Math" w:eastAsiaTheme="majorEastAsia" w:hAnsi="Cambria Math" w:cstheme="majorBidi"/>
                  <w:color w:val="000000" w:themeColor="text1"/>
                  <w:lang w:val="en-GB"/>
                </w:rPr>
                <m:t>t+H</m:t>
              </m:r>
            </m:sub>
          </m:sSub>
          <m:r>
            <m:rPr>
              <m:sty m:val="bi"/>
            </m:rPr>
            <w:rPr>
              <w:rFonts w:ascii="Cambria Math" w:eastAsiaTheme="majorEastAsia" w:hAnsi="Cambria Math" w:cstheme="majorBidi"/>
              <w:color w:val="000000" w:themeColor="text1"/>
              <w:lang w:val="en-GB"/>
            </w:rPr>
            <m:t>←</m:t>
          </m:r>
          <m:r>
            <m:rPr>
              <m:sty m:val="b"/>
            </m:rPr>
            <w:rPr>
              <w:rFonts w:ascii="Cambria Math" w:eastAsiaTheme="majorEastAsia" w:hAnsi="Cambria Math" w:cstheme="majorBidi"/>
              <w:color w:val="000000" w:themeColor="text1"/>
              <w:lang w:val="en-GB"/>
            </w:rPr>
            <m:t>clip</m:t>
          </m:r>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y</m:t>
                  </m:r>
                </m:e>
              </m:acc>
            </m:e>
            <m:sub>
              <m:r>
                <m:rPr>
                  <m:sty m:val="bi"/>
                </m:rPr>
                <w:rPr>
                  <w:rFonts w:ascii="Cambria Math" w:eastAsiaTheme="majorEastAsia" w:hAnsi="Cambria Math" w:cstheme="majorBidi"/>
                  <w:color w:val="000000" w:themeColor="text1"/>
                  <w:lang w:val="en-GB"/>
                </w:rPr>
                <m:t>t+H</m:t>
              </m:r>
            </m:sub>
          </m:sSub>
          <m:r>
            <m:rPr>
              <m:sty m:val="bi"/>
            </m:rPr>
            <w:rPr>
              <w:rFonts w:ascii="Cambria Math" w:eastAsiaTheme="majorEastAsia" w:hAnsi="Cambria Math" w:cstheme="majorBidi"/>
              <w:color w:val="000000" w:themeColor="text1"/>
              <w:lang w:val="en-GB"/>
            </w:rPr>
            <m:t>,</m:t>
          </m:r>
          <m:r>
            <m:rPr>
              <m:nor/>
            </m:rPr>
            <w:rPr>
              <w:rFonts w:asciiTheme="majorHAnsi" w:eastAsiaTheme="majorEastAsia" w:hAnsiTheme="majorHAnsi" w:cstheme="majorBidi"/>
              <w:b/>
              <w:bCs/>
              <w:color w:val="000000" w:themeColor="text1"/>
              <w:lang w:val="en-GB"/>
            </w:rPr>
            <m:t>  </m:t>
          </m:r>
          <m:sSubSup>
            <m:sSubSupPr>
              <m:ctrlPr>
                <w:rPr>
                  <w:rFonts w:ascii="Cambria Math" w:eastAsiaTheme="majorEastAsia" w:hAnsi="Cambria Math" w:cstheme="majorBidi"/>
                  <w:b/>
                  <w:bCs/>
                  <w:color w:val="000000" w:themeColor="text1"/>
                  <w:lang w:val="en-GB"/>
                </w:rPr>
              </m:ctrlPr>
            </m:sSubSupPr>
            <m:e>
              <m:r>
                <m:rPr>
                  <m:sty m:val="bi"/>
                </m:rPr>
                <w:rPr>
                  <w:rFonts w:ascii="Cambria Math" w:eastAsiaTheme="majorEastAsia" w:hAnsi="Cambria Math" w:cstheme="majorBidi"/>
                  <w:color w:val="000000" w:themeColor="text1"/>
                  <w:lang w:val="en-GB"/>
                </w:rPr>
                <m:t>y</m:t>
              </m:r>
            </m:e>
            <m:sub>
              <m:r>
                <m:rPr>
                  <m:sty m:val="bi"/>
                </m:rPr>
                <w:rPr>
                  <w:rFonts w:ascii="Cambria Math" w:eastAsiaTheme="majorEastAsia" w:hAnsi="Cambria Math" w:cstheme="majorBidi"/>
                  <w:color w:val="000000" w:themeColor="text1"/>
                  <w:lang w:val="en-GB"/>
                </w:rPr>
                <m:t>t</m:t>
              </m:r>
            </m:sub>
            <m:sup>
              <m:r>
                <m:rPr>
                  <m:nor/>
                </m:rPr>
                <w:rPr>
                  <w:rFonts w:asciiTheme="majorHAnsi" w:eastAsiaTheme="majorEastAsia" w:hAnsiTheme="majorHAnsi" w:cstheme="majorBidi"/>
                  <w:b/>
                  <w:bCs/>
                  <w:color w:val="000000" w:themeColor="text1"/>
                  <w:lang w:val="en-GB"/>
                </w:rPr>
                <m:t>last</m:t>
              </m:r>
            </m:sup>
          </m:sSubSup>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
                </m:rPr>
                <w:rPr>
                  <w:rFonts w:ascii="Cambria Math" w:eastAsiaTheme="majorEastAsia" w:hAnsi="Cambria Math" w:cstheme="majorBidi"/>
                  <w:color w:val="000000" w:themeColor="text1"/>
                  <w:lang w:val="en-GB"/>
                </w:rPr>
                <m:t>bound</m:t>
              </m:r>
            </m:e>
            <m:sub>
              <m:r>
                <m:rPr>
                  <m:sty m:val="b"/>
                </m:rPr>
                <w:rPr>
                  <w:rFonts w:ascii="Cambria Math" w:eastAsiaTheme="majorEastAsia" w:hAnsi="Cambria Math" w:cstheme="majorBidi"/>
                  <w:color w:val="000000" w:themeColor="text1"/>
                  <w:lang w:val="en-GB"/>
                </w:rPr>
                <m:t>log</m:t>
              </m:r>
            </m:sub>
          </m:sSub>
          <m:r>
            <m:rPr>
              <m:sty m:val="bi"/>
            </m:rPr>
            <w:rPr>
              <w:rFonts w:ascii="Cambria Math" w:eastAsiaTheme="majorEastAsia" w:hAnsi="Cambria Math" w:cstheme="majorBidi"/>
              <w:color w:val="000000" w:themeColor="text1"/>
              <w:lang w:val="en-GB"/>
            </w:rPr>
            <m:t>,</m:t>
          </m:r>
          <m:r>
            <m:rPr>
              <m:nor/>
            </m:rPr>
            <w:rPr>
              <w:rFonts w:asciiTheme="majorHAnsi" w:eastAsiaTheme="majorEastAsia" w:hAnsiTheme="majorHAnsi" w:cstheme="majorBidi"/>
              <w:b/>
              <w:bCs/>
              <w:color w:val="000000" w:themeColor="text1"/>
              <w:lang w:val="en-GB"/>
            </w:rPr>
            <m:t>  </m:t>
          </m:r>
          <m:sSubSup>
            <m:sSubSupPr>
              <m:ctrlPr>
                <w:rPr>
                  <w:rFonts w:ascii="Cambria Math" w:eastAsiaTheme="majorEastAsia" w:hAnsi="Cambria Math" w:cstheme="majorBidi"/>
                  <w:b/>
                  <w:bCs/>
                  <w:color w:val="000000" w:themeColor="text1"/>
                  <w:lang w:val="en-GB"/>
                </w:rPr>
              </m:ctrlPr>
            </m:sSubSupPr>
            <m:e>
              <m:r>
                <m:rPr>
                  <m:sty m:val="bi"/>
                </m:rPr>
                <w:rPr>
                  <w:rFonts w:ascii="Cambria Math" w:eastAsiaTheme="majorEastAsia" w:hAnsi="Cambria Math" w:cstheme="majorBidi"/>
                  <w:color w:val="000000" w:themeColor="text1"/>
                  <w:lang w:val="en-GB"/>
                </w:rPr>
                <m:t>y</m:t>
              </m:r>
            </m:e>
            <m:sub>
              <m:r>
                <m:rPr>
                  <m:sty m:val="bi"/>
                </m:rPr>
                <w:rPr>
                  <w:rFonts w:ascii="Cambria Math" w:eastAsiaTheme="majorEastAsia" w:hAnsi="Cambria Math" w:cstheme="majorBidi"/>
                  <w:color w:val="000000" w:themeColor="text1"/>
                  <w:lang w:val="en-GB"/>
                </w:rPr>
                <m:t>t</m:t>
              </m:r>
            </m:sub>
            <m:sup>
              <m:r>
                <m:rPr>
                  <m:nor/>
                </m:rPr>
                <w:rPr>
                  <w:rFonts w:asciiTheme="majorHAnsi" w:eastAsiaTheme="majorEastAsia" w:hAnsiTheme="majorHAnsi" w:cstheme="majorBidi"/>
                  <w:b/>
                  <w:bCs/>
                  <w:color w:val="000000" w:themeColor="text1"/>
                  <w:lang w:val="en-GB"/>
                </w:rPr>
                <m:t>last</m:t>
              </m:r>
            </m:sup>
          </m:sSubSup>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
                </m:rPr>
                <w:rPr>
                  <w:rFonts w:ascii="Cambria Math" w:eastAsiaTheme="majorEastAsia" w:hAnsi="Cambria Math" w:cstheme="majorBidi"/>
                  <w:color w:val="000000" w:themeColor="text1"/>
                  <w:lang w:val="en-GB"/>
                </w:rPr>
                <m:t>bound</m:t>
              </m:r>
            </m:e>
            <m:sub>
              <m:r>
                <m:rPr>
                  <m:sty m:val="b"/>
                </m:rPr>
                <w:rPr>
                  <w:rFonts w:ascii="Cambria Math" w:eastAsiaTheme="majorEastAsia" w:hAnsi="Cambria Math" w:cstheme="majorBidi"/>
                  <w:color w:val="000000" w:themeColor="text1"/>
                  <w:lang w:val="en-GB"/>
                </w:rPr>
                <m:t>log</m:t>
              </m:r>
            </m:sub>
          </m:sSub>
          <m:r>
            <m:rPr>
              <m:sty m:val="bi"/>
            </m:rPr>
            <w:rPr>
              <w:rFonts w:ascii="Cambria Math" w:eastAsiaTheme="majorEastAsia" w:hAnsi="Cambria Math" w:cstheme="majorBidi"/>
              <w:color w:val="000000" w:themeColor="text1"/>
              <w:lang w:val="en-GB"/>
            </w:rPr>
            <m:t>)</m:t>
          </m:r>
          <m:r>
            <m:rPr>
              <m:sty m:val="p"/>
            </m:rPr>
            <w:rPr>
              <w:rFonts w:ascii="Cambria Math" w:eastAsiaTheme="majorEastAsia" w:hAnsi="Cambria Math" w:cstheme="majorBidi"/>
              <w:color w:val="000000" w:themeColor="text1"/>
              <w:lang w:val="en-GB"/>
            </w:rPr>
            <w:br/>
          </m:r>
        </m:oMath>
      </m:oMathPara>
    </w:p>
    <w:p w14:paraId="173DD364"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Il ritorno nello spazio prezzo è dato da</w:t>
      </w:r>
    </w:p>
    <w:p w14:paraId="39E35216"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P</m:t>
                  </m:r>
                </m:e>
              </m:acc>
            </m:e>
            <m:sub>
              <m:r>
                <m:rPr>
                  <m:sty m:val="bi"/>
                </m:rPr>
                <w:rPr>
                  <w:rFonts w:ascii="Cambria Math" w:eastAsiaTheme="majorEastAsia" w:hAnsi="Cambria Math" w:cstheme="majorBidi"/>
                  <w:color w:val="000000" w:themeColor="text1"/>
                  <w:lang w:val="en-GB"/>
                </w:rPr>
                <m:t>t+H</m:t>
              </m:r>
            </m:sub>
          </m:sSub>
          <m:r>
            <m:rPr>
              <m:sty m:val="bi"/>
            </m:rPr>
            <w:rPr>
              <w:rFonts w:ascii="Cambria Math" w:eastAsiaTheme="majorEastAsia" w:hAnsi="Cambria Math" w:cstheme="majorBidi"/>
              <w:color w:val="000000" w:themeColor="text1"/>
              <w:lang w:val="en-GB"/>
            </w:rPr>
            <m:t>=</m:t>
          </m:r>
          <m:sSup>
            <m:sSupPr>
              <m:ctrlPr>
                <w:rPr>
                  <w:rFonts w:ascii="Cambria Math" w:eastAsiaTheme="majorEastAsia" w:hAnsi="Cambria Math" w:cstheme="majorBidi"/>
                  <w:b/>
                  <w:bCs/>
                  <w:color w:val="000000" w:themeColor="text1"/>
                  <w:lang w:val="en-GB"/>
                </w:rPr>
              </m:ctrlPr>
            </m:sSupPr>
            <m:e>
              <m:r>
                <m:rPr>
                  <m:sty m:val="bi"/>
                </m:rPr>
                <w:rPr>
                  <w:rFonts w:ascii="Cambria Math" w:eastAsiaTheme="majorEastAsia" w:hAnsi="Cambria Math" w:cstheme="majorBidi"/>
                  <w:color w:val="000000" w:themeColor="text1"/>
                  <w:lang w:val="en-GB"/>
                </w:rPr>
                <m:t>e</m:t>
              </m:r>
            </m:e>
            <m:sup>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y</m:t>
                      </m:r>
                    </m:e>
                  </m:acc>
                </m:e>
                <m:sub>
                  <m:r>
                    <m:rPr>
                      <m:sty m:val="bi"/>
                    </m:rPr>
                    <w:rPr>
                      <w:rFonts w:ascii="Cambria Math" w:eastAsiaTheme="majorEastAsia" w:hAnsi="Cambria Math" w:cstheme="majorBidi"/>
                      <w:color w:val="000000" w:themeColor="text1"/>
                      <w:lang w:val="en-GB"/>
                    </w:rPr>
                    <m:t>t+H</m:t>
                  </m:r>
                </m:sub>
              </m:sSub>
            </m:sup>
          </m:sSup>
          <m:r>
            <m:rPr>
              <m:sty m:val="p"/>
            </m:rPr>
            <w:rPr>
              <w:rFonts w:asciiTheme="majorHAnsi" w:eastAsiaTheme="majorEastAsia" w:hAnsiTheme="majorHAnsi" w:cstheme="majorBidi"/>
              <w:color w:val="000000" w:themeColor="text1"/>
              <w:lang w:val="en-GB"/>
            </w:rPr>
            <w:br/>
          </m:r>
        </m:oMath>
      </m:oMathPara>
    </w:p>
    <w:p w14:paraId="60D0D6A7" w14:textId="77777777" w:rsidR="00641FAD" w:rsidRPr="00EF0A3F" w:rsidRDefault="00C0462E"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pict w14:anchorId="060642FC">
          <v:rect id="_x0000_i1031" style="width:0;height:1.5pt" o:hralign="center" o:hrstd="t" o:hr="t" fillcolor="#a0a0a0" stroked="f"/>
        </w:pict>
      </w:r>
    </w:p>
    <w:p w14:paraId="46C7BB81" w14:textId="77777777" w:rsidR="00641FAD" w:rsidRPr="00254204" w:rsidRDefault="00641FAD" w:rsidP="00641FAD">
      <w:pPr>
        <w:pStyle w:val="Heading2"/>
        <w:rPr>
          <w:color w:val="000000" w:themeColor="text1"/>
          <w:lang w:val="it-IT"/>
        </w:rPr>
      </w:pPr>
      <w:bookmarkStart w:id="60" w:name="_Toc236387235"/>
      <w:r>
        <w:rPr>
          <w:color w:val="000000" w:themeColor="text1"/>
          <w:lang w:val="it-IT"/>
        </w:rPr>
        <w:lastRenderedPageBreak/>
        <w:t>7.5 TBATS</w:t>
      </w:r>
      <w:bookmarkEnd w:id="60"/>
    </w:p>
    <w:p w14:paraId="777120D9"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Spazio modellato: log-price.</w:t>
      </w:r>
    </w:p>
    <w:p w14:paraId="4A060EA1"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Anche in questo caso la variabile modellata è</w:t>
      </w:r>
    </w:p>
    <w:p w14:paraId="656C229C"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y</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m:t>
          </m:r>
          <m:r>
            <m:rPr>
              <m:sty m:val="b"/>
            </m:rPr>
            <w:rPr>
              <w:rFonts w:ascii="Cambria Math" w:eastAsiaTheme="majorEastAsia" w:hAnsi="Cambria Math" w:cstheme="majorBidi"/>
              <w:color w:val="000000" w:themeColor="text1"/>
              <w:lang w:val="en-GB"/>
            </w:rPr>
            <m:t>log</m:t>
          </m:r>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m:t>
          </m:r>
          <m:r>
            <m:rPr>
              <m:sty m:val="p"/>
            </m:rPr>
            <w:rPr>
              <w:rFonts w:ascii="Cambria Math" w:eastAsiaTheme="majorEastAsia" w:hAnsi="Cambria Math" w:cstheme="majorBidi"/>
              <w:color w:val="000000" w:themeColor="text1"/>
              <w:lang w:val="en-GB"/>
            </w:rPr>
            <w:br/>
          </m:r>
        </m:oMath>
      </m:oMathPara>
    </w:p>
    <w:p w14:paraId="007898A3"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it-IT"/>
        </w:rPr>
        <w:t xml:space="preserve">La famiglia TBATS utilizzata è una formulazione in spazio di stato con trend, eventuale trend smorzato e componenti stagionali trigonometriche. </w:t>
      </w:r>
      <w:r>
        <w:rPr>
          <w:rFonts w:asciiTheme="majorHAnsi" w:eastAsiaTheme="majorEastAsia" w:hAnsiTheme="majorHAnsi" w:cstheme="majorBidi"/>
          <w:b/>
          <w:bCs/>
          <w:color w:val="000000" w:themeColor="text1"/>
          <w:lang w:val="en-GB"/>
        </w:rPr>
        <w:t>In forma sintetica:</w:t>
      </w:r>
    </w:p>
    <w:p w14:paraId="2D845026"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y</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cr m:val="script"/>
                  <m:sty m:val="b"/>
                </m:rPr>
                <w:rPr>
                  <w:rFonts w:ascii="Cambria Math" w:eastAsiaTheme="majorEastAsia" w:hAnsi="Cambria Math" w:cstheme="majorBidi"/>
                  <w:color w:val="000000" w:themeColor="text1"/>
                  <w:lang w:val="en-GB"/>
                </w:rPr>
                <m:t>l</m:t>
              </m:r>
            </m:e>
            <m:sub>
              <m:r>
                <m:rPr>
                  <m:sty m:val="bi"/>
                </m:rPr>
                <w:rPr>
                  <w:rFonts w:ascii="Cambria Math" w:eastAsiaTheme="majorEastAsia" w:hAnsi="Cambria Math" w:cstheme="majorBidi"/>
                  <w:color w:val="000000" w:themeColor="text1"/>
                  <w:lang w:val="en-GB"/>
                </w:rPr>
                <m:t>t-1</m:t>
              </m:r>
            </m:sub>
          </m:sSub>
          <m:r>
            <m:rPr>
              <m:sty m:val="bi"/>
            </m:rPr>
            <w:rPr>
              <w:rFonts w:ascii="Cambria Math" w:eastAsiaTheme="majorEastAsia" w:hAnsi="Cambria Math" w:cstheme="majorBidi"/>
              <w:color w:val="000000" w:themeColor="text1"/>
              <w:lang w:val="en-GB"/>
            </w:rPr>
            <m:t>+ϕ</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b</m:t>
              </m:r>
            </m:e>
            <m:sub>
              <m:r>
                <m:rPr>
                  <m:sty m:val="bi"/>
                </m:rPr>
                <w:rPr>
                  <w:rFonts w:ascii="Cambria Math" w:eastAsiaTheme="majorEastAsia" w:hAnsi="Cambria Math" w:cstheme="majorBidi"/>
                  <w:color w:val="000000" w:themeColor="text1"/>
                  <w:lang w:val="en-GB"/>
                </w:rPr>
                <m:t>t-1</m:t>
              </m:r>
            </m:sub>
          </m:sSub>
          <m:r>
            <m:rPr>
              <m:sty m:val="bi"/>
            </m:rPr>
            <w:rPr>
              <w:rFonts w:ascii="Cambria Math" w:eastAsiaTheme="majorEastAsia" w:hAnsi="Cambria Math" w:cstheme="majorBidi"/>
              <w:color w:val="000000" w:themeColor="text1"/>
              <w:lang w:val="en-GB"/>
            </w:rPr>
            <m:t>+</m:t>
          </m:r>
          <m:nary>
            <m:naryPr>
              <m:chr m:val="∑"/>
              <m:limLoc m:val="undOvr"/>
              <m:grow m:val="1"/>
              <m:ctrlPr>
                <w:rPr>
                  <w:rFonts w:ascii="Cambria Math" w:eastAsiaTheme="majorEastAsia" w:hAnsi="Cambria Math" w:cstheme="majorBidi"/>
                  <w:b/>
                  <w:bCs/>
                  <w:color w:val="000000" w:themeColor="text1"/>
                  <w:lang w:val="en-GB"/>
                </w:rPr>
              </m:ctrlPr>
            </m:naryPr>
            <m:sub>
              <m:r>
                <m:rPr>
                  <m:sty m:val="bi"/>
                </m:rPr>
                <w:rPr>
                  <w:rFonts w:ascii="Cambria Math" w:eastAsiaTheme="majorEastAsia" w:hAnsi="Cambria Math" w:cstheme="majorBidi"/>
                  <w:color w:val="000000" w:themeColor="text1"/>
                  <w:lang w:val="en-GB"/>
                </w:rPr>
                <m:t>j=1</m:t>
              </m:r>
            </m:sub>
            <m:sup>
              <m:r>
                <m:rPr>
                  <m:sty m:val="bi"/>
                </m:rPr>
                <w:rPr>
                  <w:rFonts w:ascii="Cambria Math" w:eastAsiaTheme="majorEastAsia" w:hAnsi="Cambria Math" w:cstheme="majorBidi"/>
                  <w:color w:val="000000" w:themeColor="text1"/>
                  <w:lang w:val="en-GB"/>
                </w:rPr>
                <m:t>J</m:t>
              </m:r>
            </m:sup>
            <m:e>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s</m:t>
                  </m:r>
                </m:e>
                <m:sub>
                  <m:r>
                    <m:rPr>
                      <m:sty m:val="bi"/>
                    </m:rPr>
                    <w:rPr>
                      <w:rFonts w:ascii="Cambria Math" w:eastAsiaTheme="majorEastAsia" w:hAnsi="Cambria Math" w:cstheme="majorBidi"/>
                      <w:color w:val="000000" w:themeColor="text1"/>
                      <w:lang w:val="en-GB"/>
                    </w:rPr>
                    <m:t>j,t-1</m:t>
                  </m:r>
                </m:sub>
              </m:sSub>
            </m:e>
          </m:nary>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ε</m:t>
              </m:r>
            </m:e>
            <m:sub>
              <m:r>
                <m:rPr>
                  <m:sty m:val="bi"/>
                </m:rPr>
                <w:rPr>
                  <w:rFonts w:ascii="Cambria Math" w:eastAsiaTheme="majorEastAsia" w:hAnsi="Cambria Math" w:cstheme="majorBidi"/>
                  <w:color w:val="000000" w:themeColor="text1"/>
                  <w:lang w:val="en-GB"/>
                </w:rPr>
                <m:t>t</m:t>
              </m:r>
            </m:sub>
          </m:sSub>
          <m:r>
            <m:rPr>
              <m:sty m:val="p"/>
            </m:rPr>
            <w:rPr>
              <w:rFonts w:asciiTheme="majorHAnsi" w:eastAsiaTheme="majorEastAsia" w:hAnsiTheme="majorHAnsi" w:cstheme="majorBidi"/>
              <w:color w:val="000000" w:themeColor="text1"/>
              <w:lang w:val="en-GB"/>
            </w:rPr>
            <w:br/>
          </m:r>
        </m:oMath>
      </m:oMathPara>
    </w:p>
    <w:p w14:paraId="48039EB7"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dove:</w:t>
      </w:r>
    </w:p>
    <w:p w14:paraId="4DECC0D0" w14:textId="77777777" w:rsidR="00641FAD" w:rsidRPr="00254204" w:rsidRDefault="00C0462E" w:rsidP="008242CC">
      <w:pPr>
        <w:numPr>
          <w:ilvl w:val="0"/>
          <w:numId w:val="32"/>
        </w:numPr>
        <w:rPr>
          <w:rFonts w:asciiTheme="majorHAnsi" w:eastAsiaTheme="majorEastAsia" w:hAnsiTheme="majorHAnsi" w:cstheme="majorBidi"/>
          <w:b/>
          <w:bCs/>
          <w:color w:val="000000" w:themeColor="text1"/>
          <w:lang w:val="it-IT"/>
        </w:rPr>
      </w:pPr>
      <m:oMath>
        <m:sSub>
          <m:sSubPr>
            <m:ctrlPr>
              <w:rPr>
                <w:rFonts w:ascii="Cambria Math" w:eastAsiaTheme="majorEastAsia" w:hAnsi="Cambria Math" w:cstheme="majorBidi"/>
                <w:b/>
                <w:bCs/>
                <w:color w:val="000000" w:themeColor="text1"/>
                <w:lang w:val="en-GB"/>
              </w:rPr>
            </m:ctrlPr>
          </m:sSubPr>
          <m:e>
            <m:r>
              <m:rPr>
                <m:scr m:val="script"/>
                <m:sty m:val="b"/>
              </m:rPr>
              <w:rPr>
                <w:rFonts w:ascii="Cambria Math" w:eastAsiaTheme="majorEastAsia" w:hAnsi="Cambria Math" w:cstheme="majorBidi"/>
                <w:color w:val="000000" w:themeColor="text1"/>
                <w:lang w:val="en-GB"/>
              </w:rPr>
              <m:t>l</m:t>
            </m:r>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1</m:t>
            </m:r>
          </m:sub>
        </m:sSub>
      </m:oMath>
      <w:r w:rsidR="00383D83">
        <w:rPr>
          <w:rFonts w:asciiTheme="majorHAnsi" w:eastAsiaTheme="majorEastAsia" w:hAnsiTheme="majorHAnsi" w:cstheme="majorBidi"/>
          <w:b/>
          <w:bCs/>
          <w:color w:val="000000" w:themeColor="text1"/>
          <w:lang w:val="it-IT"/>
        </w:rPr>
        <w:t>è il livello,</w:t>
      </w:r>
    </w:p>
    <w:p w14:paraId="0EADC422" w14:textId="77777777" w:rsidR="00641FAD" w:rsidRPr="00254204" w:rsidRDefault="00C0462E" w:rsidP="008242CC">
      <w:pPr>
        <w:numPr>
          <w:ilvl w:val="0"/>
          <w:numId w:val="32"/>
        </w:numPr>
        <w:rPr>
          <w:rFonts w:asciiTheme="majorHAnsi" w:eastAsiaTheme="majorEastAsia" w:hAnsiTheme="majorHAnsi" w:cstheme="majorBidi"/>
          <w:b/>
          <w:bCs/>
          <w:color w:val="000000" w:themeColor="text1"/>
          <w:lang w:val="it-IT"/>
        </w:rPr>
      </w:pPr>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b</m:t>
            </m:r>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1</m:t>
            </m:r>
          </m:sub>
        </m:sSub>
      </m:oMath>
      <w:r w:rsidR="00383D83">
        <w:rPr>
          <w:rFonts w:asciiTheme="majorHAnsi" w:eastAsiaTheme="majorEastAsia" w:hAnsiTheme="majorHAnsi" w:cstheme="majorBidi"/>
          <w:b/>
          <w:bCs/>
          <w:color w:val="000000" w:themeColor="text1"/>
          <w:lang w:val="it-IT"/>
        </w:rPr>
        <w:t>è il trend,</w:t>
      </w:r>
    </w:p>
    <w:p w14:paraId="3B49F44A" w14:textId="77777777" w:rsidR="00641FAD" w:rsidRPr="00254204" w:rsidRDefault="00641FAD" w:rsidP="008242CC">
      <w:pPr>
        <w:numPr>
          <w:ilvl w:val="0"/>
          <w:numId w:val="32"/>
        </w:numPr>
        <w:rPr>
          <w:rFonts w:asciiTheme="majorHAnsi" w:eastAsiaTheme="majorEastAsia" w:hAnsiTheme="majorHAnsi" w:cstheme="majorBidi"/>
          <w:b/>
          <w:bCs/>
          <w:color w:val="000000" w:themeColor="text1"/>
          <w:lang w:val="it-IT"/>
        </w:rPr>
      </w:pPr>
      <m:oMath>
        <m:r>
          <m:rPr>
            <m:sty m:val="bi"/>
          </m:rPr>
          <w:rPr>
            <w:rFonts w:ascii="Cambria Math" w:eastAsiaTheme="majorEastAsia" w:hAnsi="Cambria Math" w:cstheme="majorBidi"/>
            <w:color w:val="000000" w:themeColor="text1"/>
            <w:lang w:val="en-GB"/>
          </w:rPr>
          <m:t>ϕ</m:t>
        </m:r>
      </m:oMath>
      <w:r>
        <w:rPr>
          <w:rFonts w:asciiTheme="majorHAnsi" w:eastAsiaTheme="majorEastAsia" w:hAnsiTheme="majorHAnsi" w:cstheme="majorBidi"/>
          <w:b/>
          <w:bCs/>
          <w:color w:val="000000" w:themeColor="text1"/>
          <w:lang w:val="it-IT"/>
        </w:rPr>
        <w:t>è il coefficiente di damping del trend,</w:t>
      </w:r>
    </w:p>
    <w:p w14:paraId="1F2D8D9B" w14:textId="77777777" w:rsidR="00641FAD" w:rsidRPr="00254204" w:rsidRDefault="00C0462E" w:rsidP="008242CC">
      <w:pPr>
        <w:numPr>
          <w:ilvl w:val="0"/>
          <w:numId w:val="32"/>
        </w:numPr>
        <w:rPr>
          <w:rFonts w:asciiTheme="majorHAnsi" w:eastAsiaTheme="majorEastAsia" w:hAnsiTheme="majorHAnsi" w:cstheme="majorBidi"/>
          <w:b/>
          <w:bCs/>
          <w:color w:val="000000" w:themeColor="text1"/>
          <w:lang w:val="it-IT"/>
        </w:rPr>
      </w:pPr>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s</m:t>
            </m:r>
          </m:e>
          <m:sub>
            <m:r>
              <m:rPr>
                <m:sty m:val="bi"/>
              </m:rPr>
              <w:rPr>
                <w:rFonts w:ascii="Cambria Math" w:eastAsiaTheme="majorEastAsia" w:hAnsi="Cambria Math" w:cstheme="majorBidi"/>
                <w:color w:val="000000" w:themeColor="text1"/>
                <w:lang w:val="en-GB"/>
              </w:rPr>
              <m:t>j</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1</m:t>
            </m:r>
          </m:sub>
        </m:sSub>
      </m:oMath>
      <w:r w:rsidR="00383D83">
        <w:rPr>
          <w:rFonts w:asciiTheme="majorHAnsi" w:eastAsiaTheme="majorEastAsia" w:hAnsiTheme="majorHAnsi" w:cstheme="majorBidi"/>
          <w:b/>
          <w:bCs/>
          <w:color w:val="000000" w:themeColor="text1"/>
          <w:lang w:val="it-IT"/>
        </w:rPr>
        <w:t>sono le componenti stagionali.</w:t>
      </w:r>
    </w:p>
    <w:p w14:paraId="319E3B2B"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 xml:space="preserve">Ogni componente stagionale è rappresentata tramite armoniche di Fourier. Per una periodicità </w:t>
      </w:r>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m</m:t>
            </m:r>
          </m:e>
          <m:sub>
            <m:r>
              <m:rPr>
                <m:sty m:val="bi"/>
              </m:rPr>
              <w:rPr>
                <w:rFonts w:ascii="Cambria Math" w:eastAsiaTheme="majorEastAsia" w:hAnsi="Cambria Math" w:cstheme="majorBidi"/>
                <w:color w:val="000000" w:themeColor="text1"/>
                <w:lang w:val="en-GB"/>
              </w:rPr>
              <m:t>j</m:t>
            </m:r>
          </m:sub>
        </m:sSub>
      </m:oMath>
      <w:r>
        <w:rPr>
          <w:rFonts w:asciiTheme="majorHAnsi" w:eastAsiaTheme="majorEastAsia" w:hAnsiTheme="majorHAnsi" w:cstheme="majorBidi"/>
          <w:b/>
          <w:bCs/>
          <w:color w:val="000000" w:themeColor="text1"/>
          <w:lang w:val="it-IT"/>
        </w:rPr>
        <w:t>, la parte stagionale può essere scritta come combinazione di termini seno/coseno:</w:t>
      </w:r>
    </w:p>
    <w:p w14:paraId="1E509B84" w14:textId="77777777" w:rsidR="00641FAD" w:rsidRPr="00254204" w:rsidRDefault="00C0462E" w:rsidP="00641FAD">
      <w:pPr>
        <w:rPr>
          <w:rFonts w:asciiTheme="majorHAnsi" w:eastAsiaTheme="majorEastAsia" w:hAnsiTheme="majorHAnsi" w:cstheme="majorBidi"/>
          <w:b/>
          <w:bCs/>
          <w:color w:val="000000" w:themeColor="text1"/>
          <w:lang w:val="it-IT"/>
        </w:rPr>
      </w:pPr>
      <m:oMathPara>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s</m:t>
              </m:r>
            </m:e>
            <m:sub>
              <m:r>
                <m:rPr>
                  <m:sty m:val="bi"/>
                </m:rPr>
                <w:rPr>
                  <w:rFonts w:ascii="Cambria Math" w:eastAsiaTheme="majorEastAsia" w:hAnsi="Cambria Math" w:cstheme="majorBidi"/>
                  <w:color w:val="000000" w:themeColor="text1"/>
                  <w:lang w:val="en-GB"/>
                </w:rPr>
                <m:t>j</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it-IT"/>
            </w:rPr>
            <m:t>=</m:t>
          </m:r>
          <m:nary>
            <m:naryPr>
              <m:chr m:val="∑"/>
              <m:limLoc m:val="undOvr"/>
              <m:grow m:val="1"/>
              <m:ctrlPr>
                <w:rPr>
                  <w:rFonts w:ascii="Cambria Math" w:eastAsiaTheme="majorEastAsia" w:hAnsi="Cambria Math" w:cstheme="majorBidi"/>
                  <w:b/>
                  <w:bCs/>
                  <w:color w:val="000000" w:themeColor="text1"/>
                  <w:lang w:val="en-GB"/>
                </w:rPr>
              </m:ctrlPr>
            </m:naryPr>
            <m:sub>
              <m:r>
                <m:rPr>
                  <m:sty m:val="bi"/>
                </m:rPr>
                <w:rPr>
                  <w:rFonts w:ascii="Cambria Math" w:eastAsiaTheme="majorEastAsia" w:hAnsi="Cambria Math" w:cstheme="majorBidi"/>
                  <w:color w:val="000000" w:themeColor="text1"/>
                  <w:lang w:val="en-GB"/>
                </w:rPr>
                <m:t>k</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1</m:t>
              </m:r>
            </m:sub>
            <m:sup>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K</m:t>
                  </m:r>
                </m:e>
                <m:sub>
                  <m:r>
                    <m:rPr>
                      <m:sty m:val="bi"/>
                    </m:rPr>
                    <w:rPr>
                      <w:rFonts w:ascii="Cambria Math" w:eastAsiaTheme="majorEastAsia" w:hAnsi="Cambria Math" w:cstheme="majorBidi"/>
                      <w:color w:val="000000" w:themeColor="text1"/>
                      <w:lang w:val="en-GB"/>
                    </w:rPr>
                    <m:t>j</m:t>
                  </m:r>
                </m:sub>
              </m:sSub>
            </m:sup>
            <m:e>
              <m:d>
                <m:dPr>
                  <m:begChr m:val="["/>
                  <m:endChr m:val="]"/>
                  <m:ctrlPr>
                    <w:rPr>
                      <w:rFonts w:ascii="Cambria Math" w:eastAsiaTheme="majorEastAsia" w:hAnsi="Cambria Math" w:cstheme="majorBidi"/>
                      <w:b/>
                      <w:bCs/>
                      <w:color w:val="000000" w:themeColor="text1"/>
                      <w:lang w:val="en-GB"/>
                    </w:rPr>
                  </m:ctrlPr>
                </m:dPr>
                <m:e>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a</m:t>
                      </m:r>
                    </m:e>
                    <m:sub>
                      <m:r>
                        <m:rPr>
                          <m:sty m:val="bi"/>
                        </m:rPr>
                        <w:rPr>
                          <w:rFonts w:ascii="Cambria Math" w:eastAsiaTheme="majorEastAsia" w:hAnsi="Cambria Math" w:cstheme="majorBidi"/>
                          <w:color w:val="000000" w:themeColor="text1"/>
                          <w:lang w:val="en-GB"/>
                        </w:rPr>
                        <m:t>j</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k</m:t>
                      </m:r>
                    </m:sub>
                  </m:sSub>
                  <m:r>
                    <m:rPr>
                      <m:sty m:val="b"/>
                    </m:rPr>
                    <w:rPr>
                      <w:rFonts w:ascii="Cambria Math" w:eastAsiaTheme="majorEastAsia" w:hAnsi="Cambria Math" w:cstheme="majorBidi"/>
                      <w:color w:val="000000" w:themeColor="text1"/>
                      <w:lang w:val="en-GB"/>
                    </w:rPr>
                    <m:t>cos</m:t>
                  </m:r>
                  <m:r>
                    <m:rPr>
                      <m:sty m:val="bi"/>
                    </m:rPr>
                    <w:rPr>
                      <w:rFonts w:ascii="Cambria Math" w:eastAsiaTheme="majorEastAsia" w:hAnsi="Cambria Math" w:cstheme="majorBidi"/>
                      <w:color w:val="000000" w:themeColor="text1"/>
                      <w:lang w:val="it-IT"/>
                    </w:rPr>
                    <m:t>⁡</m:t>
                  </m:r>
                  <m:r>
                    <m:rPr>
                      <m:nor/>
                    </m:rPr>
                    <w:rPr>
                      <w:rFonts w:asciiTheme="majorHAnsi" w:eastAsiaTheme="majorEastAsia" w:hAnsiTheme="majorHAnsi" w:cstheme="majorBidi"/>
                      <w:b/>
                      <w:bCs/>
                      <w:color w:val="000000" w:themeColor="text1"/>
                      <w:lang w:val="it-IT"/>
                    </w:rPr>
                    <m:t> </m:t>
                  </m:r>
                  <m:d>
                    <m:dPr>
                      <m:ctrlPr>
                        <w:rPr>
                          <w:rFonts w:ascii="Cambria Math" w:eastAsiaTheme="majorEastAsia" w:hAnsi="Cambria Math" w:cstheme="majorBidi"/>
                          <w:b/>
                          <w:bCs/>
                          <w:color w:val="000000" w:themeColor="text1"/>
                          <w:lang w:val="en-GB"/>
                        </w:rPr>
                      </m:ctrlPr>
                    </m:dPr>
                    <m:e>
                      <m:f>
                        <m:fPr>
                          <m:ctrlPr>
                            <w:rPr>
                              <w:rFonts w:ascii="Cambria Math" w:eastAsiaTheme="majorEastAsia" w:hAnsi="Cambria Math" w:cstheme="majorBidi"/>
                              <w:b/>
                              <w:bCs/>
                              <w:color w:val="000000" w:themeColor="text1"/>
                              <w:lang w:val="en-GB"/>
                            </w:rPr>
                          </m:ctrlPr>
                        </m:fPr>
                        <m:num>
                          <m:r>
                            <m:rPr>
                              <m:sty m:val="bi"/>
                            </m:rPr>
                            <w:rPr>
                              <w:rFonts w:ascii="Cambria Math" w:eastAsiaTheme="majorEastAsia" w:hAnsi="Cambria Math" w:cstheme="majorBidi"/>
                              <w:color w:val="000000" w:themeColor="text1"/>
                              <w:lang w:val="en-GB"/>
                            </w:rPr>
                            <m:t>2</m:t>
                          </m:r>
                          <m:r>
                            <m:rPr>
                              <m:sty m:val="bi"/>
                            </m:rPr>
                            <w:rPr>
                              <w:rFonts w:ascii="Cambria Math" w:eastAsiaTheme="majorEastAsia" w:hAnsi="Cambria Math" w:cstheme="majorBidi"/>
                              <w:color w:val="000000" w:themeColor="text1"/>
                              <w:lang w:val="en-GB"/>
                            </w:rPr>
                            <m:t>πkt</m:t>
                          </m:r>
                        </m:num>
                        <m:den>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m</m:t>
                              </m:r>
                            </m:e>
                            <m:sub>
                              <m:r>
                                <m:rPr>
                                  <m:sty m:val="bi"/>
                                </m:rPr>
                                <w:rPr>
                                  <w:rFonts w:ascii="Cambria Math" w:eastAsiaTheme="majorEastAsia" w:hAnsi="Cambria Math" w:cstheme="majorBidi"/>
                                  <w:color w:val="000000" w:themeColor="text1"/>
                                  <w:lang w:val="en-GB"/>
                                </w:rPr>
                                <m:t>j</m:t>
                              </m:r>
                            </m:sub>
                          </m:sSub>
                        </m:den>
                      </m:f>
                    </m:e>
                  </m:d>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b</m:t>
                      </m:r>
                    </m:e>
                    <m:sub>
                      <m:r>
                        <m:rPr>
                          <m:sty m:val="bi"/>
                        </m:rPr>
                        <w:rPr>
                          <w:rFonts w:ascii="Cambria Math" w:eastAsiaTheme="majorEastAsia" w:hAnsi="Cambria Math" w:cstheme="majorBidi"/>
                          <w:color w:val="000000" w:themeColor="text1"/>
                          <w:lang w:val="en-GB"/>
                        </w:rPr>
                        <m:t>j</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k</m:t>
                      </m:r>
                    </m:sub>
                  </m:sSub>
                  <m:r>
                    <m:rPr>
                      <m:sty m:val="b"/>
                    </m:rPr>
                    <w:rPr>
                      <w:rFonts w:ascii="Cambria Math" w:eastAsiaTheme="majorEastAsia" w:hAnsi="Cambria Math" w:cstheme="majorBidi"/>
                      <w:color w:val="000000" w:themeColor="text1"/>
                      <w:lang w:val="en-GB"/>
                    </w:rPr>
                    <m:t>sin</m:t>
                  </m:r>
                  <m:r>
                    <m:rPr>
                      <m:sty m:val="bi"/>
                    </m:rPr>
                    <w:rPr>
                      <w:rFonts w:ascii="Cambria Math" w:eastAsiaTheme="majorEastAsia" w:hAnsi="Cambria Math" w:cstheme="majorBidi"/>
                      <w:color w:val="000000" w:themeColor="text1"/>
                      <w:lang w:val="it-IT"/>
                    </w:rPr>
                    <m:t>⁡</m:t>
                  </m:r>
                  <m:r>
                    <m:rPr>
                      <m:nor/>
                    </m:rPr>
                    <w:rPr>
                      <w:rFonts w:asciiTheme="majorHAnsi" w:eastAsiaTheme="majorEastAsia" w:hAnsiTheme="majorHAnsi" w:cstheme="majorBidi"/>
                      <w:b/>
                      <w:bCs/>
                      <w:color w:val="000000" w:themeColor="text1"/>
                      <w:lang w:val="it-IT"/>
                    </w:rPr>
                    <m:t> </m:t>
                  </m:r>
                  <m:d>
                    <m:dPr>
                      <m:ctrlPr>
                        <w:rPr>
                          <w:rFonts w:ascii="Cambria Math" w:eastAsiaTheme="majorEastAsia" w:hAnsi="Cambria Math" w:cstheme="majorBidi"/>
                          <w:b/>
                          <w:bCs/>
                          <w:color w:val="000000" w:themeColor="text1"/>
                          <w:lang w:val="en-GB"/>
                        </w:rPr>
                      </m:ctrlPr>
                    </m:dPr>
                    <m:e>
                      <m:f>
                        <m:fPr>
                          <m:ctrlPr>
                            <w:rPr>
                              <w:rFonts w:ascii="Cambria Math" w:eastAsiaTheme="majorEastAsia" w:hAnsi="Cambria Math" w:cstheme="majorBidi"/>
                              <w:b/>
                              <w:bCs/>
                              <w:color w:val="000000" w:themeColor="text1"/>
                              <w:lang w:val="en-GB"/>
                            </w:rPr>
                          </m:ctrlPr>
                        </m:fPr>
                        <m:num>
                          <m:r>
                            <m:rPr>
                              <m:sty m:val="bi"/>
                            </m:rPr>
                            <w:rPr>
                              <w:rFonts w:ascii="Cambria Math" w:eastAsiaTheme="majorEastAsia" w:hAnsi="Cambria Math" w:cstheme="majorBidi"/>
                              <w:color w:val="000000" w:themeColor="text1"/>
                              <w:lang w:val="en-GB"/>
                            </w:rPr>
                            <m:t>2</m:t>
                          </m:r>
                          <m:r>
                            <m:rPr>
                              <m:sty m:val="bi"/>
                            </m:rPr>
                            <w:rPr>
                              <w:rFonts w:ascii="Cambria Math" w:eastAsiaTheme="majorEastAsia" w:hAnsi="Cambria Math" w:cstheme="majorBidi"/>
                              <w:color w:val="000000" w:themeColor="text1"/>
                              <w:lang w:val="en-GB"/>
                            </w:rPr>
                            <m:t>πkt</m:t>
                          </m:r>
                        </m:num>
                        <m:den>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m</m:t>
                              </m:r>
                            </m:e>
                            <m:sub>
                              <m:r>
                                <m:rPr>
                                  <m:sty m:val="bi"/>
                                </m:rPr>
                                <w:rPr>
                                  <w:rFonts w:ascii="Cambria Math" w:eastAsiaTheme="majorEastAsia" w:hAnsi="Cambria Math" w:cstheme="majorBidi"/>
                                  <w:color w:val="000000" w:themeColor="text1"/>
                                  <w:lang w:val="en-GB"/>
                                </w:rPr>
                                <m:t>j</m:t>
                              </m:r>
                            </m:sub>
                          </m:sSub>
                        </m:den>
                      </m:f>
                    </m:e>
                  </m:d>
                </m:e>
              </m:d>
            </m:e>
          </m:nary>
          <m:r>
            <m:rPr>
              <m:sty m:val="p"/>
            </m:rPr>
            <w:rPr>
              <w:rFonts w:asciiTheme="majorHAnsi" w:eastAsiaTheme="majorEastAsia" w:hAnsiTheme="majorHAnsi" w:cstheme="majorBidi"/>
              <w:color w:val="000000" w:themeColor="text1"/>
              <w:lang w:val="it-IT"/>
            </w:rPr>
            <w:br/>
          </m:r>
        </m:oMath>
      </m:oMathPara>
    </w:p>
    <w:p w14:paraId="156AE7F4"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Nel codice:</w:t>
      </w:r>
    </w:p>
    <w:p w14:paraId="41513CAE" w14:textId="77777777" w:rsidR="00641FAD" w:rsidRPr="00122D14" w:rsidRDefault="00641FAD" w:rsidP="008242CC">
      <w:pPr>
        <w:numPr>
          <w:ilvl w:val="0"/>
          <w:numId w:val="33"/>
        </w:num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trasformazione Box-Cox disattivata (la serie è già in log-prezzo);</w:t>
      </w:r>
    </w:p>
    <w:p w14:paraId="6491AC29" w14:textId="77777777" w:rsidR="00641FAD" w:rsidRPr="00EF0A3F" w:rsidRDefault="00641FAD" w:rsidP="008242CC">
      <w:pPr>
        <w:numPr>
          <w:ilvl w:val="0"/>
          <w:numId w:val="33"/>
        </w:num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componente di trend attiva;</w:t>
      </w:r>
    </w:p>
    <w:p w14:paraId="43868FA3" w14:textId="77777777" w:rsidR="00641FAD" w:rsidRPr="00122D14" w:rsidRDefault="00641FAD" w:rsidP="008242CC">
      <w:pPr>
        <w:numPr>
          <w:ilvl w:val="0"/>
          <w:numId w:val="33"/>
        </w:num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trend smorzato (damped trend) attivo per default;</w:t>
      </w:r>
    </w:p>
    <w:p w14:paraId="1C414BE4" w14:textId="77777777" w:rsidR="00641FAD" w:rsidRPr="00254204" w:rsidRDefault="00641FAD" w:rsidP="008242CC">
      <w:pPr>
        <w:numPr>
          <w:ilvl w:val="0"/>
          <w:numId w:val="33"/>
        </w:num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componente ARMA sugli errori normalmente disattivata per stabilità del fit.</w:t>
      </w:r>
    </w:p>
    <w:p w14:paraId="10091DFB"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it-IT"/>
        </w:rPr>
        <w:t xml:space="preserve">Le periodicità candidate dipendono dalla frequenza e dal mercato. </w:t>
      </w:r>
      <w:r>
        <w:rPr>
          <w:rFonts w:asciiTheme="majorHAnsi" w:eastAsiaTheme="majorEastAsia" w:hAnsiTheme="majorHAnsi" w:cstheme="majorBidi"/>
          <w:b/>
          <w:bCs/>
          <w:color w:val="000000" w:themeColor="text1"/>
          <w:lang w:val="en-GB"/>
        </w:rPr>
        <w:t>In configurazione daily:</w:t>
      </w:r>
    </w:p>
    <w:p w14:paraId="48CFE9D8" w14:textId="77777777" w:rsidR="00641FAD" w:rsidRPr="00254204" w:rsidRDefault="00641FAD" w:rsidP="008242CC">
      <w:pPr>
        <w:numPr>
          <w:ilvl w:val="0"/>
          <w:numId w:val="34"/>
        </w:num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 xml:space="preserve">per equity, la base di default è </w:t>
      </w:r>
      <m:oMath>
        <m:d>
          <m:dPr>
            <m:begChr m:val="["/>
            <m:sepChr m:val=","/>
            <m:endChr m:val="]"/>
            <m:ctrlPr>
              <w:rPr>
                <w:rFonts w:ascii="Cambria Math" w:eastAsiaTheme="majorEastAsia" w:hAnsi="Cambria Math" w:cstheme="majorBidi"/>
                <w:b/>
                <w:bCs/>
                <w:color w:val="000000" w:themeColor="text1"/>
                <w:lang w:val="en-GB"/>
              </w:rPr>
            </m:ctrlPr>
          </m:dPr>
          <m:e>
            <m:r>
              <m:rPr>
                <m:sty m:val="bi"/>
              </m:rPr>
              <w:rPr>
                <w:rFonts w:ascii="Cambria Math" w:eastAsiaTheme="majorEastAsia" w:hAnsi="Cambria Math" w:cstheme="majorBidi"/>
                <w:color w:val="000000" w:themeColor="text1"/>
                <w:lang w:val="en-GB"/>
              </w:rPr>
              <m:t>5</m:t>
            </m:r>
          </m:e>
          <m:e>
            <m:r>
              <m:rPr>
                <m:nor/>
              </m:rPr>
              <w:rPr>
                <w:rFonts w:asciiTheme="majorHAnsi" w:eastAsiaTheme="majorEastAsia" w:hAnsiTheme="majorHAnsi" w:cstheme="majorBidi"/>
                <w:b/>
                <w:bCs/>
                <w:color w:val="000000" w:themeColor="text1"/>
                <w:lang w:val="it-IT"/>
              </w:rPr>
              <m:t>  </m:t>
            </m:r>
            <m:r>
              <m:rPr>
                <m:sty m:val="bi"/>
              </m:rPr>
              <w:rPr>
                <w:rFonts w:ascii="Cambria Math" w:eastAsiaTheme="majorEastAsia" w:hAnsi="Cambria Math" w:cstheme="majorBidi"/>
                <w:color w:val="000000" w:themeColor="text1"/>
                <w:lang w:val="en-GB"/>
              </w:rPr>
              <m:t>10</m:t>
            </m:r>
          </m:e>
          <m:e>
            <m:r>
              <m:rPr>
                <m:nor/>
              </m:rPr>
              <w:rPr>
                <w:rFonts w:asciiTheme="majorHAnsi" w:eastAsiaTheme="majorEastAsia" w:hAnsiTheme="majorHAnsi" w:cstheme="majorBidi"/>
                <w:b/>
                <w:bCs/>
                <w:color w:val="000000" w:themeColor="text1"/>
                <w:lang w:val="it-IT"/>
              </w:rPr>
              <m:t>  </m:t>
            </m:r>
            <m:r>
              <m:rPr>
                <m:sty m:val="bi"/>
              </m:rPr>
              <w:rPr>
                <w:rFonts w:ascii="Cambria Math" w:eastAsiaTheme="majorEastAsia" w:hAnsi="Cambria Math" w:cstheme="majorBidi"/>
                <w:color w:val="000000" w:themeColor="text1"/>
                <w:lang w:val="en-GB"/>
              </w:rPr>
              <m:t>20</m:t>
            </m:r>
          </m:e>
          <m:e>
            <m:r>
              <m:rPr>
                <m:nor/>
              </m:rPr>
              <w:rPr>
                <w:rFonts w:asciiTheme="majorHAnsi" w:eastAsiaTheme="majorEastAsia" w:hAnsiTheme="majorHAnsi" w:cstheme="majorBidi"/>
                <w:b/>
                <w:bCs/>
                <w:color w:val="000000" w:themeColor="text1"/>
                <w:lang w:val="it-IT"/>
              </w:rPr>
              <m:t>  </m:t>
            </m:r>
            <m:r>
              <m:rPr>
                <m:sty m:val="bi"/>
              </m:rPr>
              <w:rPr>
                <w:rFonts w:ascii="Cambria Math" w:eastAsiaTheme="majorEastAsia" w:hAnsi="Cambria Math" w:cstheme="majorBidi"/>
                <w:color w:val="000000" w:themeColor="text1"/>
                <w:lang w:val="en-GB"/>
              </w:rPr>
              <m:t>252</m:t>
            </m:r>
          </m:e>
        </m:d>
      </m:oMath>
      <w:r>
        <w:rPr>
          <w:rFonts w:asciiTheme="majorHAnsi" w:eastAsiaTheme="majorEastAsia" w:hAnsiTheme="majorHAnsi" w:cstheme="majorBidi"/>
          <w:b/>
          <w:bCs/>
          <w:color w:val="000000" w:themeColor="text1"/>
          <w:lang w:val="it-IT"/>
        </w:rPr>
        <w:t>,</w:t>
      </w:r>
    </w:p>
    <w:p w14:paraId="6B4ADE21" w14:textId="77777777" w:rsidR="00641FAD" w:rsidRPr="00254204" w:rsidRDefault="00641FAD" w:rsidP="008242CC">
      <w:pPr>
        <w:numPr>
          <w:ilvl w:val="0"/>
          <w:numId w:val="34"/>
        </w:num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 xml:space="preserve">per crypto, la base operativa prevista dai settaggi di frequenza è </w:t>
      </w:r>
      <m:oMath>
        <m:d>
          <m:dPr>
            <m:begChr m:val="["/>
            <m:sepChr m:val=","/>
            <m:endChr m:val="]"/>
            <m:ctrlPr>
              <w:rPr>
                <w:rFonts w:ascii="Cambria Math" w:eastAsiaTheme="majorEastAsia" w:hAnsi="Cambria Math" w:cstheme="majorBidi"/>
                <w:b/>
                <w:bCs/>
                <w:color w:val="000000" w:themeColor="text1"/>
                <w:lang w:val="en-GB"/>
              </w:rPr>
            </m:ctrlPr>
          </m:dPr>
          <m:e>
            <m:r>
              <m:rPr>
                <m:sty m:val="bi"/>
              </m:rPr>
              <w:rPr>
                <w:rFonts w:ascii="Cambria Math" w:eastAsiaTheme="majorEastAsia" w:hAnsi="Cambria Math" w:cstheme="majorBidi"/>
                <w:color w:val="000000" w:themeColor="text1"/>
                <w:lang w:val="en-GB"/>
              </w:rPr>
              <m:t>7</m:t>
            </m:r>
          </m:e>
          <m:e>
            <m:r>
              <m:rPr>
                <m:nor/>
              </m:rPr>
              <w:rPr>
                <w:rFonts w:asciiTheme="majorHAnsi" w:eastAsiaTheme="majorEastAsia" w:hAnsiTheme="majorHAnsi" w:cstheme="majorBidi"/>
                <w:b/>
                <w:bCs/>
                <w:color w:val="000000" w:themeColor="text1"/>
                <w:lang w:val="it-IT"/>
              </w:rPr>
              <m:t>  </m:t>
            </m:r>
            <m:r>
              <m:rPr>
                <m:sty m:val="bi"/>
              </m:rPr>
              <w:rPr>
                <w:rFonts w:ascii="Cambria Math" w:eastAsiaTheme="majorEastAsia" w:hAnsi="Cambria Math" w:cstheme="majorBidi"/>
                <w:color w:val="000000" w:themeColor="text1"/>
                <w:lang w:val="en-GB"/>
              </w:rPr>
              <m:t>30</m:t>
            </m:r>
          </m:e>
          <m:e>
            <m:r>
              <m:rPr>
                <m:nor/>
              </m:rPr>
              <w:rPr>
                <w:rFonts w:asciiTheme="majorHAnsi" w:eastAsiaTheme="majorEastAsia" w:hAnsiTheme="majorHAnsi" w:cstheme="majorBidi"/>
                <w:b/>
                <w:bCs/>
                <w:color w:val="000000" w:themeColor="text1"/>
                <w:lang w:val="it-IT"/>
              </w:rPr>
              <m:t>  </m:t>
            </m:r>
            <m:r>
              <m:rPr>
                <m:sty m:val="bi"/>
              </m:rPr>
              <w:rPr>
                <w:rFonts w:ascii="Cambria Math" w:eastAsiaTheme="majorEastAsia" w:hAnsi="Cambria Math" w:cstheme="majorBidi"/>
                <w:color w:val="000000" w:themeColor="text1"/>
                <w:lang w:val="en-GB"/>
              </w:rPr>
              <m:t>365</m:t>
            </m:r>
          </m:e>
        </m:d>
      </m:oMath>
      <w:r>
        <w:rPr>
          <w:rFonts w:asciiTheme="majorHAnsi" w:eastAsiaTheme="majorEastAsia" w:hAnsiTheme="majorHAnsi" w:cstheme="majorBidi"/>
          <w:b/>
          <w:bCs/>
          <w:color w:val="000000" w:themeColor="text1"/>
          <w:lang w:val="it-IT"/>
        </w:rPr>
        <w:t>.</w:t>
      </w:r>
    </w:p>
    <w:p w14:paraId="32388FF3"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lastRenderedPageBreak/>
        <w:t xml:space="preserve">Una periodicità </w:t>
      </w:r>
      <m:oMath>
        <m:r>
          <m:rPr>
            <m:sty m:val="bi"/>
          </m:rPr>
          <w:rPr>
            <w:rFonts w:ascii="Cambria Math" w:eastAsiaTheme="majorEastAsia" w:hAnsi="Cambria Math" w:cstheme="majorBidi"/>
            <w:color w:val="000000" w:themeColor="text1"/>
            <w:lang w:val="en-GB"/>
          </w:rPr>
          <m:t>m</m:t>
        </m:r>
      </m:oMath>
      <w:r>
        <w:rPr>
          <w:rFonts w:asciiTheme="majorHAnsi" w:eastAsiaTheme="majorEastAsia" w:hAnsiTheme="majorHAnsi" w:cstheme="majorBidi"/>
          <w:b/>
          <w:bCs/>
          <w:color w:val="000000" w:themeColor="text1"/>
          <w:lang w:val="it-IT"/>
        </w:rPr>
        <w:t>è considerata utilizzabile solo se esistono almeno 3 cicli completi:</w:t>
      </w:r>
    </w:p>
    <w:p w14:paraId="3EF72FC6" w14:textId="77777777" w:rsidR="00641FAD" w:rsidRPr="00EF0A3F" w:rsidRDefault="00641FAD" w:rsidP="00641FAD">
      <w:pPr>
        <w:rPr>
          <w:rFonts w:asciiTheme="majorHAnsi" w:eastAsiaTheme="majorEastAsia" w:hAnsiTheme="majorHAnsi" w:cstheme="majorBidi"/>
          <w:b/>
          <w:bCs/>
          <w:color w:val="000000" w:themeColor="text1"/>
          <w:lang w:val="en-GB"/>
        </w:rPr>
      </w:pPr>
      <m:oMathPara>
        <m:oMath>
          <m:r>
            <m:rPr>
              <m:sty m:val="bi"/>
            </m:rPr>
            <w:rPr>
              <w:rFonts w:ascii="Cambria Math" w:eastAsiaTheme="majorEastAsia" w:hAnsi="Cambria Math" w:cstheme="majorBidi"/>
              <w:color w:val="000000" w:themeColor="text1"/>
              <w:lang w:val="en-GB"/>
            </w:rPr>
            <m:t>N≥3</m:t>
          </m:r>
          <m:r>
            <m:rPr>
              <m:sty m:val="bi"/>
            </m:rPr>
            <w:rPr>
              <w:rFonts w:ascii="Cambria Math" w:eastAsiaTheme="majorEastAsia" w:hAnsi="Cambria Math" w:cstheme="majorBidi"/>
              <w:color w:val="000000" w:themeColor="text1"/>
              <w:lang w:val="en-GB"/>
            </w:rPr>
            <m:t>m</m:t>
          </m:r>
          <m:r>
            <m:rPr>
              <m:sty m:val="p"/>
            </m:rPr>
            <w:rPr>
              <w:rFonts w:ascii="Cambria Math" w:eastAsiaTheme="majorEastAsia" w:hAnsi="Cambria Math" w:cstheme="majorBidi"/>
              <w:color w:val="000000" w:themeColor="text1"/>
              <w:lang w:val="en-GB"/>
            </w:rPr>
            <w:br/>
          </m:r>
        </m:oMath>
      </m:oMathPara>
    </w:p>
    <w:p w14:paraId="2BF0983F"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Se nessuna periodicità supera questo vincolo, il modello viene escluso.</w:t>
      </w:r>
    </w:p>
    <w:p w14:paraId="480D7025"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 xml:space="preserve">Il forecast finale produce </w:t>
      </w:r>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y</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oMath>
      <w:r>
        <w:rPr>
          <w:rFonts w:asciiTheme="majorHAnsi" w:eastAsiaTheme="majorEastAsia" w:hAnsiTheme="majorHAnsi" w:cstheme="majorBidi"/>
          <w:b/>
          <w:bCs/>
          <w:color w:val="000000" w:themeColor="text1"/>
          <w:lang w:val="it-IT"/>
        </w:rPr>
        <w:t>in log-spazio. Anche qui si applica un clamp:</w:t>
      </w:r>
    </w:p>
    <w:p w14:paraId="46940B51" w14:textId="77777777" w:rsidR="00641FAD" w:rsidRPr="00254204" w:rsidRDefault="00C0462E" w:rsidP="00641FAD">
      <w:pPr>
        <w:rPr>
          <w:rFonts w:asciiTheme="majorHAnsi" w:eastAsiaTheme="majorEastAsia" w:hAnsiTheme="majorHAnsi" w:cstheme="majorBidi"/>
          <w:b/>
          <w:bCs/>
          <w:color w:val="000000" w:themeColor="text1"/>
          <w:lang w:val="it-IT"/>
        </w:rPr>
      </w:pPr>
      <m:oMathPara>
        <m:oMath>
          <m:sSub>
            <m:sSubPr>
              <m:ctrlPr>
                <w:rPr>
                  <w:rFonts w:ascii="Cambria Math" w:eastAsiaTheme="majorEastAsia" w:hAnsi="Cambria Math" w:cstheme="majorBidi"/>
                  <w:b/>
                  <w:bCs/>
                  <w:color w:val="000000" w:themeColor="text1"/>
                  <w:lang w:val="en-GB"/>
                </w:rPr>
              </m:ctrlPr>
            </m:sSubPr>
            <m:e>
              <m:r>
                <m:rPr>
                  <m:sty m:val="b"/>
                </m:rPr>
                <w:rPr>
                  <w:rFonts w:ascii="Cambria Math" w:eastAsiaTheme="majorEastAsia" w:hAnsi="Cambria Math" w:cstheme="majorBidi"/>
                  <w:color w:val="000000" w:themeColor="text1"/>
                  <w:lang w:val="en-GB"/>
                </w:rPr>
                <m:t>bound</m:t>
              </m:r>
            </m:e>
            <m:sub>
              <m:r>
                <m:rPr>
                  <m:sty m:val="b"/>
                </m:rPr>
                <w:rPr>
                  <w:rFonts w:ascii="Cambria Math" w:eastAsiaTheme="majorEastAsia" w:hAnsi="Cambria Math" w:cstheme="majorBidi"/>
                  <w:color w:val="000000" w:themeColor="text1"/>
                  <w:lang w:val="en-GB"/>
                </w:rPr>
                <m:t>log</m:t>
              </m:r>
            </m:sub>
          </m:sSub>
          <m:r>
            <m:rPr>
              <m:sty m:val="bi"/>
            </m:rPr>
            <w:rPr>
              <w:rFonts w:ascii="Cambria Math" w:eastAsiaTheme="majorEastAsia" w:hAnsi="Cambria Math" w:cstheme="majorBidi"/>
              <w:color w:val="000000" w:themeColor="text1"/>
              <w:lang w:val="it-IT"/>
            </w:rPr>
            <m:t>=κ</m:t>
          </m:r>
          <m:r>
            <m:rPr>
              <m:nor/>
            </m:rPr>
            <w:rPr>
              <w:rFonts w:asciiTheme="majorHAnsi" w:eastAsiaTheme="majorEastAsia" w:hAnsiTheme="majorHAnsi" w:cstheme="majorBidi"/>
              <w:b/>
              <w:bCs/>
              <w:color w:val="000000" w:themeColor="text1"/>
              <w:lang w:val="it-IT"/>
            </w:rPr>
            <m:t> </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σ</m:t>
              </m:r>
            </m:e>
            <m:sub>
              <m:r>
                <m:rPr>
                  <m:sty m:val="bi"/>
                </m:rPr>
                <w:rPr>
                  <w:rFonts w:ascii="Cambria Math" w:eastAsiaTheme="majorEastAsia" w:hAnsi="Cambria Math" w:cstheme="majorBidi"/>
                  <w:color w:val="000000" w:themeColor="text1"/>
                  <w:lang w:val="en-GB"/>
                </w:rPr>
                <m:t>lr</m:t>
              </m:r>
            </m:sub>
          </m:sSub>
          <m:rad>
            <m:radPr>
              <m:degHide m:val="1"/>
              <m:ctrlPr>
                <w:rPr>
                  <w:rFonts w:ascii="Cambria Math" w:eastAsiaTheme="majorEastAsia" w:hAnsi="Cambria Math" w:cstheme="majorBidi"/>
                  <w:b/>
                  <w:bCs/>
                  <w:color w:val="000000" w:themeColor="text1"/>
                  <w:lang w:val="en-GB"/>
                </w:rPr>
              </m:ctrlPr>
            </m:radPr>
            <m:deg/>
            <m:e>
              <m:r>
                <m:rPr>
                  <m:sty m:val="bi"/>
                </m:rPr>
                <w:rPr>
                  <w:rFonts w:ascii="Cambria Math" w:eastAsiaTheme="majorEastAsia" w:hAnsi="Cambria Math" w:cstheme="majorBidi"/>
                  <w:color w:val="000000" w:themeColor="text1"/>
                  <w:lang w:val="en-GB"/>
                </w:rPr>
                <m:t>H</m:t>
              </m:r>
            </m:e>
          </m:rad>
          <m:r>
            <m:rPr>
              <m:sty m:val="p"/>
            </m:rPr>
            <w:rPr>
              <w:rFonts w:asciiTheme="majorHAnsi" w:eastAsiaTheme="majorEastAsia" w:hAnsiTheme="majorHAnsi" w:cstheme="majorBidi"/>
              <w:color w:val="000000" w:themeColor="text1"/>
              <w:lang w:val="it-IT"/>
            </w:rPr>
            <w:br/>
          </m:r>
        </m:oMath>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y</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r>
            <m:rPr>
              <m:sty m:val="bi"/>
            </m:rPr>
            <w:rPr>
              <w:rFonts w:ascii="Cambria Math" w:eastAsiaTheme="majorEastAsia" w:hAnsi="Cambria Math" w:cstheme="majorBidi"/>
              <w:color w:val="000000" w:themeColor="text1"/>
              <w:lang w:val="it-IT"/>
            </w:rPr>
            <m:t>←</m:t>
          </m:r>
          <m:r>
            <m:rPr>
              <m:sty m:val="b"/>
            </m:rPr>
            <w:rPr>
              <w:rFonts w:ascii="Cambria Math" w:eastAsiaTheme="majorEastAsia" w:hAnsi="Cambria Math" w:cstheme="majorBidi"/>
              <w:color w:val="000000" w:themeColor="text1"/>
              <w:lang w:val="en-GB"/>
            </w:rPr>
            <m:t>clip</m:t>
          </m:r>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y</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r>
            <m:rPr>
              <m:sty m:val="bi"/>
            </m:rPr>
            <w:rPr>
              <w:rFonts w:ascii="Cambria Math" w:eastAsiaTheme="majorEastAsia" w:hAnsi="Cambria Math" w:cstheme="majorBidi"/>
              <w:color w:val="000000" w:themeColor="text1"/>
              <w:lang w:val="it-IT"/>
            </w:rPr>
            <m:t>,</m:t>
          </m:r>
          <m:r>
            <m:rPr>
              <m:nor/>
            </m:rPr>
            <w:rPr>
              <w:rFonts w:asciiTheme="majorHAnsi" w:eastAsiaTheme="majorEastAsia" w:hAnsiTheme="majorHAnsi" w:cstheme="majorBidi"/>
              <w:b/>
              <w:bCs/>
              <w:color w:val="000000" w:themeColor="text1"/>
              <w:lang w:val="it-IT"/>
            </w:rPr>
            <m:t>  </m:t>
          </m:r>
          <m:r>
            <m:rPr>
              <m:sty m:val="b"/>
            </m:rPr>
            <w:rPr>
              <w:rFonts w:ascii="Cambria Math" w:eastAsiaTheme="majorEastAsia" w:hAnsi="Cambria Math" w:cstheme="majorBidi"/>
              <w:color w:val="000000" w:themeColor="text1"/>
              <w:lang w:val="en-GB"/>
            </w:rPr>
            <m:t>log</m:t>
          </m:r>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
                </m:rPr>
                <w:rPr>
                  <w:rFonts w:ascii="Cambria Math" w:eastAsiaTheme="majorEastAsia" w:hAnsi="Cambria Math" w:cstheme="majorBidi"/>
                  <w:color w:val="000000" w:themeColor="text1"/>
                  <w:lang w:val="en-GB"/>
                </w:rPr>
                <m:t>bound</m:t>
              </m:r>
            </m:e>
            <m:sub>
              <m:r>
                <m:rPr>
                  <m:sty m:val="b"/>
                </m:rPr>
                <w:rPr>
                  <w:rFonts w:ascii="Cambria Math" w:eastAsiaTheme="majorEastAsia" w:hAnsi="Cambria Math" w:cstheme="majorBidi"/>
                  <w:color w:val="000000" w:themeColor="text1"/>
                  <w:lang w:val="en-GB"/>
                </w:rPr>
                <m:t>log</m:t>
              </m:r>
            </m:sub>
          </m:sSub>
          <m:r>
            <m:rPr>
              <m:sty m:val="bi"/>
            </m:rPr>
            <w:rPr>
              <w:rFonts w:ascii="Cambria Math" w:eastAsiaTheme="majorEastAsia" w:hAnsi="Cambria Math" w:cstheme="majorBidi"/>
              <w:color w:val="000000" w:themeColor="text1"/>
              <w:lang w:val="it-IT"/>
            </w:rPr>
            <m:t>,</m:t>
          </m:r>
          <m:r>
            <m:rPr>
              <m:nor/>
            </m:rPr>
            <w:rPr>
              <w:rFonts w:asciiTheme="majorHAnsi" w:eastAsiaTheme="majorEastAsia" w:hAnsiTheme="majorHAnsi" w:cstheme="majorBidi"/>
              <w:b/>
              <w:bCs/>
              <w:color w:val="000000" w:themeColor="text1"/>
              <w:lang w:val="it-IT"/>
            </w:rPr>
            <m:t>  </m:t>
          </m:r>
          <m:r>
            <m:rPr>
              <m:sty m:val="b"/>
            </m:rPr>
            <w:rPr>
              <w:rFonts w:ascii="Cambria Math" w:eastAsiaTheme="majorEastAsia" w:hAnsi="Cambria Math" w:cstheme="majorBidi"/>
              <w:color w:val="000000" w:themeColor="text1"/>
              <w:lang w:val="en-GB"/>
            </w:rPr>
            <m:t>log</m:t>
          </m:r>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
                </m:rPr>
                <w:rPr>
                  <w:rFonts w:ascii="Cambria Math" w:eastAsiaTheme="majorEastAsia" w:hAnsi="Cambria Math" w:cstheme="majorBidi"/>
                  <w:color w:val="000000" w:themeColor="text1"/>
                  <w:lang w:val="en-GB"/>
                </w:rPr>
                <m:t>bound</m:t>
              </m:r>
            </m:e>
            <m:sub>
              <m:r>
                <m:rPr>
                  <m:sty m:val="b"/>
                </m:rPr>
                <w:rPr>
                  <w:rFonts w:ascii="Cambria Math" w:eastAsiaTheme="majorEastAsia" w:hAnsi="Cambria Math" w:cstheme="majorBidi"/>
                  <w:color w:val="000000" w:themeColor="text1"/>
                  <w:lang w:val="en-GB"/>
                </w:rPr>
                <m:t>log</m:t>
              </m:r>
            </m:sub>
          </m:sSub>
          <m:r>
            <m:rPr>
              <m:sty m:val="bi"/>
            </m:rPr>
            <w:rPr>
              <w:rFonts w:ascii="Cambria Math" w:eastAsiaTheme="majorEastAsia" w:hAnsi="Cambria Math" w:cstheme="majorBidi"/>
              <w:color w:val="000000" w:themeColor="text1"/>
              <w:lang w:val="it-IT"/>
            </w:rPr>
            <m:t>)</m:t>
          </m:r>
          <m:r>
            <m:rPr>
              <m:sty m:val="p"/>
            </m:rPr>
            <w:rPr>
              <w:rFonts w:ascii="Cambria Math" w:eastAsiaTheme="majorEastAsia" w:hAnsi="Cambria Math" w:cstheme="majorBidi"/>
              <w:color w:val="000000" w:themeColor="text1"/>
              <w:lang w:val="it-IT"/>
            </w:rPr>
            <w:br/>
          </m:r>
        </m:oMath>
      </m:oMathPara>
    </w:p>
    <w:p w14:paraId="3882EE07"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e poi</w:t>
      </w:r>
    </w:p>
    <w:p w14:paraId="11F266F3"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P</m:t>
                  </m:r>
                </m:e>
              </m:acc>
            </m:e>
            <m:sub>
              <m:r>
                <m:rPr>
                  <m:sty m:val="bi"/>
                </m:rPr>
                <w:rPr>
                  <w:rFonts w:ascii="Cambria Math" w:eastAsiaTheme="majorEastAsia" w:hAnsi="Cambria Math" w:cstheme="majorBidi"/>
                  <w:color w:val="000000" w:themeColor="text1"/>
                  <w:lang w:val="en-GB"/>
                </w:rPr>
                <m:t>t+H</m:t>
              </m:r>
            </m:sub>
          </m:sSub>
          <m:r>
            <m:rPr>
              <m:sty m:val="bi"/>
            </m:rPr>
            <w:rPr>
              <w:rFonts w:ascii="Cambria Math" w:eastAsiaTheme="majorEastAsia" w:hAnsi="Cambria Math" w:cstheme="majorBidi"/>
              <w:color w:val="000000" w:themeColor="text1"/>
              <w:lang w:val="en-GB"/>
            </w:rPr>
            <m:t>=</m:t>
          </m:r>
          <m:sSup>
            <m:sSupPr>
              <m:ctrlPr>
                <w:rPr>
                  <w:rFonts w:ascii="Cambria Math" w:eastAsiaTheme="majorEastAsia" w:hAnsi="Cambria Math" w:cstheme="majorBidi"/>
                  <w:b/>
                  <w:bCs/>
                  <w:color w:val="000000" w:themeColor="text1"/>
                  <w:lang w:val="en-GB"/>
                </w:rPr>
              </m:ctrlPr>
            </m:sSupPr>
            <m:e>
              <m:r>
                <m:rPr>
                  <m:sty m:val="bi"/>
                </m:rPr>
                <w:rPr>
                  <w:rFonts w:ascii="Cambria Math" w:eastAsiaTheme="majorEastAsia" w:hAnsi="Cambria Math" w:cstheme="majorBidi"/>
                  <w:color w:val="000000" w:themeColor="text1"/>
                  <w:lang w:val="en-GB"/>
                </w:rPr>
                <m:t>e</m:t>
              </m:r>
            </m:e>
            <m:sup>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y</m:t>
                      </m:r>
                    </m:e>
                  </m:acc>
                </m:e>
                <m:sub>
                  <m:r>
                    <m:rPr>
                      <m:sty m:val="bi"/>
                    </m:rPr>
                    <w:rPr>
                      <w:rFonts w:ascii="Cambria Math" w:eastAsiaTheme="majorEastAsia" w:hAnsi="Cambria Math" w:cstheme="majorBidi"/>
                      <w:color w:val="000000" w:themeColor="text1"/>
                      <w:lang w:val="en-GB"/>
                    </w:rPr>
                    <m:t>t+H</m:t>
                  </m:r>
                </m:sub>
              </m:sSub>
            </m:sup>
          </m:sSup>
          <m:r>
            <m:rPr>
              <m:sty m:val="p"/>
            </m:rPr>
            <w:rPr>
              <w:rFonts w:asciiTheme="majorHAnsi" w:eastAsiaTheme="majorEastAsia" w:hAnsiTheme="majorHAnsi" w:cstheme="majorBidi"/>
              <w:color w:val="000000" w:themeColor="text1"/>
              <w:lang w:val="en-GB"/>
            </w:rPr>
            <w:br/>
          </m:r>
        </m:oMath>
      </m:oMathPara>
    </w:p>
    <w:p w14:paraId="1B643B0A" w14:textId="77777777" w:rsidR="00641FAD" w:rsidRPr="00EF0A3F" w:rsidRDefault="00C0462E"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pict w14:anchorId="39447A17">
          <v:rect id="_x0000_i1032" style="width:0;height:1.5pt" o:hralign="center" o:hrstd="t" o:hr="t" fillcolor="#a0a0a0" stroked="f"/>
        </w:pict>
      </w:r>
    </w:p>
    <w:p w14:paraId="6F39C266" w14:textId="77777777" w:rsidR="00641FAD" w:rsidRPr="00254204" w:rsidRDefault="00641FAD" w:rsidP="00641FAD">
      <w:pPr>
        <w:pStyle w:val="Heading2"/>
        <w:rPr>
          <w:color w:val="000000" w:themeColor="text1"/>
          <w:lang w:val="it-IT"/>
        </w:rPr>
      </w:pPr>
      <w:bookmarkStart w:id="61" w:name="_Toc236387236"/>
      <w:r>
        <w:rPr>
          <w:color w:val="000000" w:themeColor="text1"/>
          <w:lang w:val="it-IT"/>
        </w:rPr>
        <w:t>7.6 ETS</w:t>
      </w:r>
      <w:bookmarkEnd w:id="61"/>
    </w:p>
    <w:p w14:paraId="15E3C61B"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Spazio modellato: log-price.</w:t>
      </w:r>
    </w:p>
    <w:p w14:paraId="5E33C7CF"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La variabile modellata è</w:t>
      </w:r>
    </w:p>
    <w:p w14:paraId="03852D6A"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y</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m:t>
          </m:r>
          <m:r>
            <m:rPr>
              <m:sty m:val="b"/>
            </m:rPr>
            <w:rPr>
              <w:rFonts w:ascii="Cambria Math" w:eastAsiaTheme="majorEastAsia" w:hAnsi="Cambria Math" w:cstheme="majorBidi"/>
              <w:color w:val="000000" w:themeColor="text1"/>
              <w:lang w:val="en-GB"/>
            </w:rPr>
            <m:t>log</m:t>
          </m:r>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m:t>
          </m:r>
          <m:r>
            <m:rPr>
              <m:sty m:val="p"/>
            </m:rPr>
            <w:rPr>
              <w:rFonts w:ascii="Cambria Math" w:eastAsiaTheme="majorEastAsia" w:hAnsi="Cambria Math" w:cstheme="majorBidi"/>
              <w:color w:val="000000" w:themeColor="text1"/>
              <w:lang w:val="en-GB"/>
            </w:rPr>
            <w:br/>
          </m:r>
        </m:oMath>
      </m:oMathPara>
    </w:p>
    <w:p w14:paraId="272BED7D"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it-IT"/>
        </w:rPr>
        <w:t xml:space="preserve">Il motore usa un modello ETS in spazio di stato, cioè una famiglia Error–Trend–Seasonal. </w:t>
      </w:r>
      <w:r>
        <w:rPr>
          <w:rFonts w:asciiTheme="majorHAnsi" w:eastAsiaTheme="majorEastAsia" w:hAnsiTheme="majorHAnsi" w:cstheme="majorBidi"/>
          <w:b/>
          <w:bCs/>
          <w:color w:val="000000" w:themeColor="text1"/>
          <w:lang w:val="en-GB"/>
        </w:rPr>
        <w:t>In forma generale:</w:t>
      </w:r>
    </w:p>
    <w:p w14:paraId="5B428DCE"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y</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cr m:val="script"/>
                  <m:sty m:val="b"/>
                </m:rPr>
                <w:rPr>
                  <w:rFonts w:ascii="Cambria Math" w:eastAsiaTheme="majorEastAsia" w:hAnsi="Cambria Math" w:cstheme="majorBidi"/>
                  <w:color w:val="000000" w:themeColor="text1"/>
                  <w:lang w:val="en-GB"/>
                </w:rPr>
                <m:t>l</m:t>
              </m:r>
            </m:e>
            <m:sub>
              <m:r>
                <m:rPr>
                  <m:sty m:val="bi"/>
                </m:rPr>
                <w:rPr>
                  <w:rFonts w:ascii="Cambria Math" w:eastAsiaTheme="majorEastAsia" w:hAnsi="Cambria Math" w:cstheme="majorBidi"/>
                  <w:color w:val="000000" w:themeColor="text1"/>
                  <w:lang w:val="en-GB"/>
                </w:rPr>
                <m:t>t-1</m:t>
              </m:r>
            </m:sub>
          </m:sSub>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b</m:t>
              </m:r>
            </m:e>
            <m:sub>
              <m:r>
                <m:rPr>
                  <m:sty m:val="bi"/>
                </m:rPr>
                <w:rPr>
                  <w:rFonts w:ascii="Cambria Math" w:eastAsiaTheme="majorEastAsia" w:hAnsi="Cambria Math" w:cstheme="majorBidi"/>
                  <w:color w:val="000000" w:themeColor="text1"/>
                  <w:lang w:val="en-GB"/>
                </w:rPr>
                <m:t>t-1</m:t>
              </m:r>
            </m:sub>
          </m:sSub>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s</m:t>
              </m:r>
            </m:e>
            <m:sub>
              <m:r>
                <m:rPr>
                  <m:sty m:val="bi"/>
                </m:rPr>
                <w:rPr>
                  <w:rFonts w:ascii="Cambria Math" w:eastAsiaTheme="majorEastAsia" w:hAnsi="Cambria Math" w:cstheme="majorBidi"/>
                  <w:color w:val="000000" w:themeColor="text1"/>
                  <w:lang w:val="en-GB"/>
                </w:rPr>
                <m:t>t-m</m:t>
              </m:r>
            </m:sub>
          </m:sSub>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ε</m:t>
              </m:r>
            </m:e>
            <m:sub>
              <m:r>
                <m:rPr>
                  <m:sty m:val="bi"/>
                </m:rPr>
                <w:rPr>
                  <w:rFonts w:ascii="Cambria Math" w:eastAsiaTheme="majorEastAsia" w:hAnsi="Cambria Math" w:cstheme="majorBidi"/>
                  <w:color w:val="000000" w:themeColor="text1"/>
                  <w:lang w:val="en-GB"/>
                </w:rPr>
                <m:t>t</m:t>
              </m:r>
            </m:sub>
          </m:sSub>
          <m:r>
            <m:rPr>
              <m:sty m:val="p"/>
            </m:rPr>
            <w:rPr>
              <w:rFonts w:asciiTheme="majorHAnsi" w:eastAsiaTheme="majorEastAsia" w:hAnsiTheme="majorHAnsi" w:cstheme="majorBidi"/>
              <w:color w:val="000000" w:themeColor="text1"/>
              <w:lang w:val="en-GB"/>
            </w:rPr>
            <w:br/>
          </m:r>
        </m:oMath>
      </m:oMathPara>
    </w:p>
    <w:p w14:paraId="2346F6EC"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nella variante con trend e stagione additivi, con opportune semplificazioni quando trend o stagionalità vengono disattivati.</w:t>
      </w:r>
    </w:p>
    <w:p w14:paraId="747B8277"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Nel codice non viene fissata una sola struttura ETS; viene invece provata una sequenza ordinata di configurazioni:</w:t>
      </w:r>
    </w:p>
    <w:p w14:paraId="4148FB0D" w14:textId="77777777" w:rsidR="00641FAD" w:rsidRPr="00254204" w:rsidRDefault="00641FAD" w:rsidP="008242CC">
      <w:pPr>
        <w:numPr>
          <w:ilvl w:val="0"/>
          <w:numId w:val="35"/>
        </w:num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additivo senza trend né stagionalità,</w:t>
      </w:r>
    </w:p>
    <w:p w14:paraId="27D40A40" w14:textId="77777777" w:rsidR="00641FAD" w:rsidRPr="00EF0A3F" w:rsidRDefault="00641FAD" w:rsidP="008242CC">
      <w:pPr>
        <w:numPr>
          <w:ilvl w:val="0"/>
          <w:numId w:val="35"/>
        </w:num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additivo con trend,</w:t>
      </w:r>
    </w:p>
    <w:p w14:paraId="0C99FBA4" w14:textId="77777777" w:rsidR="00641FAD" w:rsidRPr="00254204" w:rsidRDefault="00641FAD" w:rsidP="008242CC">
      <w:pPr>
        <w:numPr>
          <w:ilvl w:val="0"/>
          <w:numId w:val="35"/>
        </w:num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additivo con stagionalità, se ci sono abbastanza cicli,</w:t>
      </w:r>
    </w:p>
    <w:p w14:paraId="0A577383" w14:textId="77777777" w:rsidR="00641FAD" w:rsidRPr="00254204" w:rsidRDefault="00641FAD" w:rsidP="008242CC">
      <w:pPr>
        <w:numPr>
          <w:ilvl w:val="0"/>
          <w:numId w:val="35"/>
        </w:num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additivo con trend e stagionalità.</w:t>
      </w:r>
    </w:p>
    <w:p w14:paraId="57F70D27"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lastRenderedPageBreak/>
        <w:t xml:space="preserve">Per orizzonti lunghi viene inoltre favorito il damped trend, cioè un trend smorzato, che in forma concettuale sostituisce il termine lineare </w:t>
      </w:r>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b</m:t>
            </m:r>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1</m:t>
            </m:r>
          </m:sub>
        </m:sSub>
      </m:oMath>
      <w:r>
        <w:rPr>
          <w:rFonts w:asciiTheme="majorHAnsi" w:eastAsiaTheme="majorEastAsia" w:hAnsiTheme="majorHAnsi" w:cstheme="majorBidi"/>
          <w:b/>
          <w:bCs/>
          <w:color w:val="000000" w:themeColor="text1"/>
          <w:lang w:val="it-IT"/>
        </w:rPr>
        <w:t xml:space="preserve">con </w:t>
      </w:r>
      <m:oMath>
        <m:r>
          <m:rPr>
            <m:sty m:val="bi"/>
          </m:rPr>
          <w:rPr>
            <w:rFonts w:ascii="Cambria Math" w:eastAsiaTheme="majorEastAsia" w:hAnsi="Cambria Math" w:cstheme="majorBidi"/>
            <w:color w:val="000000" w:themeColor="text1"/>
            <w:lang w:val="en-GB"/>
          </w:rPr>
          <m:t>ϕ</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b</m:t>
            </m:r>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1</m:t>
            </m:r>
          </m:sub>
        </m:sSub>
      </m:oMath>
      <w:r>
        <w:rPr>
          <w:rFonts w:asciiTheme="majorHAnsi" w:eastAsiaTheme="majorEastAsia" w:hAnsiTheme="majorHAnsi" w:cstheme="majorBidi"/>
          <w:b/>
          <w:bCs/>
          <w:color w:val="000000" w:themeColor="text1"/>
          <w:lang w:val="it-IT"/>
        </w:rPr>
        <w:t xml:space="preserve">, con </w:t>
      </w:r>
      <m:oMath>
        <m:r>
          <m:rPr>
            <m:sty m:val="bi"/>
          </m:rPr>
          <w:rPr>
            <w:rFonts w:ascii="Cambria Math" w:eastAsiaTheme="majorEastAsia" w:hAnsi="Cambria Math" w:cstheme="majorBidi"/>
            <w:color w:val="000000" w:themeColor="text1"/>
            <w:lang w:val="en-GB"/>
          </w:rPr>
          <m:t>0</m:t>
        </m:r>
        <m:r>
          <m:rPr>
            <m:sty m:val="bi"/>
          </m:rPr>
          <w:rPr>
            <w:rFonts w:ascii="Cambria Math" w:eastAsiaTheme="majorEastAsia" w:hAnsi="Cambria Math" w:cstheme="majorBidi"/>
            <w:color w:val="000000" w:themeColor="text1"/>
            <w:lang w:val="it-IT"/>
          </w:rPr>
          <m:t>&lt;</m:t>
        </m:r>
        <m:r>
          <m:rPr>
            <m:sty m:val="bi"/>
          </m:rPr>
          <w:rPr>
            <w:rFonts w:ascii="Cambria Math" w:eastAsiaTheme="majorEastAsia" w:hAnsi="Cambria Math" w:cstheme="majorBidi"/>
            <w:color w:val="000000" w:themeColor="text1"/>
            <w:lang w:val="en-GB"/>
          </w:rPr>
          <m:t>ϕ</m:t>
        </m:r>
        <m:r>
          <m:rPr>
            <m:sty m:val="bi"/>
          </m:rPr>
          <w:rPr>
            <w:rFonts w:ascii="Cambria Math" w:eastAsiaTheme="majorEastAsia" w:hAnsi="Cambria Math" w:cstheme="majorBidi"/>
            <w:color w:val="000000" w:themeColor="text1"/>
            <w:lang w:val="it-IT"/>
          </w:rPr>
          <m:t>&lt;</m:t>
        </m:r>
        <m:r>
          <m:rPr>
            <m:sty m:val="bi"/>
          </m:rPr>
          <w:rPr>
            <w:rFonts w:ascii="Cambria Math" w:eastAsiaTheme="majorEastAsia" w:hAnsi="Cambria Math" w:cstheme="majorBidi"/>
            <w:color w:val="000000" w:themeColor="text1"/>
            <w:lang w:val="en-GB"/>
          </w:rPr>
          <m:t>1</m:t>
        </m:r>
      </m:oMath>
      <w:r>
        <w:rPr>
          <w:rFonts w:asciiTheme="majorHAnsi" w:eastAsiaTheme="majorEastAsia" w:hAnsiTheme="majorHAnsi" w:cstheme="majorBidi"/>
          <w:b/>
          <w:bCs/>
          <w:color w:val="000000" w:themeColor="text1"/>
          <w:lang w:val="it-IT"/>
        </w:rPr>
        <w:t>, per limitare extrapolazioni troppo aggressive.</w:t>
      </w:r>
    </w:p>
    <w:p w14:paraId="3BC08396"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La stagionalità è ammessa solo se esistono almeno 3 cicli completi:</w:t>
      </w:r>
    </w:p>
    <w:p w14:paraId="6384D2FA" w14:textId="77777777" w:rsidR="00641FAD" w:rsidRPr="00EF0A3F" w:rsidRDefault="00641FAD" w:rsidP="00641FAD">
      <w:pPr>
        <w:rPr>
          <w:rFonts w:asciiTheme="majorHAnsi" w:eastAsiaTheme="majorEastAsia" w:hAnsiTheme="majorHAnsi" w:cstheme="majorBidi"/>
          <w:b/>
          <w:bCs/>
          <w:color w:val="000000" w:themeColor="text1"/>
          <w:lang w:val="en-GB"/>
        </w:rPr>
      </w:pPr>
      <m:oMathPara>
        <m:oMath>
          <m:r>
            <m:rPr>
              <m:sty m:val="bi"/>
            </m:rPr>
            <w:rPr>
              <w:rFonts w:ascii="Cambria Math" w:eastAsiaTheme="majorEastAsia" w:hAnsi="Cambria Math" w:cstheme="majorBidi"/>
              <w:color w:val="000000" w:themeColor="text1"/>
              <w:lang w:val="en-GB"/>
            </w:rPr>
            <m:t>N≥3</m:t>
          </m:r>
          <m:r>
            <m:rPr>
              <m:sty m:val="bi"/>
            </m:rPr>
            <w:rPr>
              <w:rFonts w:ascii="Cambria Math" w:eastAsiaTheme="majorEastAsia" w:hAnsi="Cambria Math" w:cstheme="majorBidi"/>
              <w:color w:val="000000" w:themeColor="text1"/>
              <w:lang w:val="en-GB"/>
            </w:rPr>
            <m:t>m</m:t>
          </m:r>
          <m:r>
            <m:rPr>
              <m:sty m:val="p"/>
            </m:rPr>
            <w:rPr>
              <w:rFonts w:ascii="Cambria Math" w:eastAsiaTheme="majorEastAsia" w:hAnsi="Cambria Math" w:cstheme="majorBidi"/>
              <w:color w:val="000000" w:themeColor="text1"/>
              <w:lang w:val="en-GB"/>
            </w:rPr>
            <w:br/>
          </m:r>
        </m:oMath>
      </m:oMathPara>
    </w:p>
    <w:p w14:paraId="799EB794"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 xml:space="preserve">Il modello fornisce una previsione in log-spazio </w:t>
      </w:r>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y</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oMath>
      <w:r>
        <w:rPr>
          <w:rFonts w:asciiTheme="majorHAnsi" w:eastAsiaTheme="majorEastAsia" w:hAnsiTheme="majorHAnsi" w:cstheme="majorBidi"/>
          <w:b/>
          <w:bCs/>
          <w:color w:val="000000" w:themeColor="text1"/>
          <w:lang w:val="it-IT"/>
        </w:rPr>
        <w:t>, che viene poi clampata come:</w:t>
      </w:r>
    </w:p>
    <w:p w14:paraId="58F5A525" w14:textId="77777777" w:rsidR="00641FAD" w:rsidRPr="00254204" w:rsidRDefault="00C0462E" w:rsidP="00641FAD">
      <w:pPr>
        <w:rPr>
          <w:rFonts w:asciiTheme="majorHAnsi" w:eastAsiaTheme="majorEastAsia" w:hAnsiTheme="majorHAnsi" w:cstheme="majorBidi"/>
          <w:b/>
          <w:bCs/>
          <w:color w:val="000000" w:themeColor="text1"/>
          <w:lang w:val="it-IT"/>
        </w:rPr>
      </w:pPr>
      <m:oMathPara>
        <m:oMath>
          <m:sSub>
            <m:sSubPr>
              <m:ctrlPr>
                <w:rPr>
                  <w:rFonts w:ascii="Cambria Math" w:eastAsiaTheme="majorEastAsia" w:hAnsi="Cambria Math" w:cstheme="majorBidi"/>
                  <w:b/>
                  <w:bCs/>
                  <w:color w:val="000000" w:themeColor="text1"/>
                  <w:lang w:val="en-GB"/>
                </w:rPr>
              </m:ctrlPr>
            </m:sSubPr>
            <m:e>
              <m:r>
                <m:rPr>
                  <m:sty m:val="b"/>
                </m:rPr>
                <w:rPr>
                  <w:rFonts w:ascii="Cambria Math" w:eastAsiaTheme="majorEastAsia" w:hAnsi="Cambria Math" w:cstheme="majorBidi"/>
                  <w:color w:val="000000" w:themeColor="text1"/>
                  <w:lang w:val="en-GB"/>
                </w:rPr>
                <m:t>bound</m:t>
              </m:r>
            </m:e>
            <m:sub>
              <m:r>
                <m:rPr>
                  <m:sty m:val="b"/>
                </m:rPr>
                <w:rPr>
                  <w:rFonts w:ascii="Cambria Math" w:eastAsiaTheme="majorEastAsia" w:hAnsi="Cambria Math" w:cstheme="majorBidi"/>
                  <w:color w:val="000000" w:themeColor="text1"/>
                  <w:lang w:val="en-GB"/>
                </w:rPr>
                <m:t>log</m:t>
              </m:r>
            </m:sub>
          </m:sSub>
          <m:r>
            <m:rPr>
              <m:sty m:val="bi"/>
            </m:rPr>
            <w:rPr>
              <w:rFonts w:ascii="Cambria Math" w:eastAsiaTheme="majorEastAsia" w:hAnsi="Cambria Math" w:cstheme="majorBidi"/>
              <w:color w:val="000000" w:themeColor="text1"/>
              <w:lang w:val="it-IT"/>
            </w:rPr>
            <m:t>=κ</m:t>
          </m:r>
          <m:r>
            <m:rPr>
              <m:nor/>
            </m:rPr>
            <w:rPr>
              <w:rFonts w:asciiTheme="majorHAnsi" w:eastAsiaTheme="majorEastAsia" w:hAnsiTheme="majorHAnsi" w:cstheme="majorBidi"/>
              <w:b/>
              <w:bCs/>
              <w:color w:val="000000" w:themeColor="text1"/>
              <w:lang w:val="it-IT"/>
            </w:rPr>
            <m:t> </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σ</m:t>
              </m:r>
            </m:e>
            <m:sub>
              <m:r>
                <m:rPr>
                  <m:sty m:val="bi"/>
                </m:rPr>
                <w:rPr>
                  <w:rFonts w:ascii="Cambria Math" w:eastAsiaTheme="majorEastAsia" w:hAnsi="Cambria Math" w:cstheme="majorBidi"/>
                  <w:color w:val="000000" w:themeColor="text1"/>
                  <w:lang w:val="en-GB"/>
                </w:rPr>
                <m:t>lr</m:t>
              </m:r>
            </m:sub>
          </m:sSub>
          <m:rad>
            <m:radPr>
              <m:degHide m:val="1"/>
              <m:ctrlPr>
                <w:rPr>
                  <w:rFonts w:ascii="Cambria Math" w:eastAsiaTheme="majorEastAsia" w:hAnsi="Cambria Math" w:cstheme="majorBidi"/>
                  <w:b/>
                  <w:bCs/>
                  <w:color w:val="000000" w:themeColor="text1"/>
                  <w:lang w:val="en-GB"/>
                </w:rPr>
              </m:ctrlPr>
            </m:radPr>
            <m:deg/>
            <m:e>
              <m:r>
                <m:rPr>
                  <m:sty m:val="bi"/>
                </m:rPr>
                <w:rPr>
                  <w:rFonts w:ascii="Cambria Math" w:eastAsiaTheme="majorEastAsia" w:hAnsi="Cambria Math" w:cstheme="majorBidi"/>
                  <w:color w:val="000000" w:themeColor="text1"/>
                  <w:lang w:val="en-GB"/>
                </w:rPr>
                <m:t>H</m:t>
              </m:r>
            </m:e>
          </m:rad>
          <m:r>
            <m:rPr>
              <m:sty m:val="p"/>
            </m:rPr>
            <w:rPr>
              <w:rFonts w:asciiTheme="majorHAnsi" w:eastAsiaTheme="majorEastAsia" w:hAnsiTheme="majorHAnsi" w:cstheme="majorBidi"/>
              <w:color w:val="000000" w:themeColor="text1"/>
              <w:lang w:val="it-IT"/>
            </w:rPr>
            <w:br/>
          </m:r>
        </m:oMath>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y</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r>
            <m:rPr>
              <m:sty m:val="bi"/>
            </m:rPr>
            <w:rPr>
              <w:rFonts w:ascii="Cambria Math" w:eastAsiaTheme="majorEastAsia" w:hAnsi="Cambria Math" w:cstheme="majorBidi"/>
              <w:color w:val="000000" w:themeColor="text1"/>
              <w:lang w:val="it-IT"/>
            </w:rPr>
            <m:t>←</m:t>
          </m:r>
          <m:r>
            <m:rPr>
              <m:sty m:val="b"/>
            </m:rPr>
            <w:rPr>
              <w:rFonts w:ascii="Cambria Math" w:eastAsiaTheme="majorEastAsia" w:hAnsi="Cambria Math" w:cstheme="majorBidi"/>
              <w:color w:val="000000" w:themeColor="text1"/>
              <w:lang w:val="en-GB"/>
            </w:rPr>
            <m:t>clip</m:t>
          </m:r>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y</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r>
            <m:rPr>
              <m:sty m:val="bi"/>
            </m:rPr>
            <w:rPr>
              <w:rFonts w:ascii="Cambria Math" w:eastAsiaTheme="majorEastAsia" w:hAnsi="Cambria Math" w:cstheme="majorBidi"/>
              <w:color w:val="000000" w:themeColor="text1"/>
              <w:lang w:val="it-IT"/>
            </w:rPr>
            <m:t>,</m:t>
          </m:r>
          <m:r>
            <m:rPr>
              <m:nor/>
            </m:rPr>
            <w:rPr>
              <w:rFonts w:asciiTheme="majorHAnsi" w:eastAsiaTheme="majorEastAsia" w:hAnsiTheme="majorHAnsi" w:cstheme="majorBidi"/>
              <w:b/>
              <w:bCs/>
              <w:color w:val="000000" w:themeColor="text1"/>
              <w:lang w:val="it-IT"/>
            </w:rPr>
            <m:t>  </m:t>
          </m:r>
          <m:r>
            <m:rPr>
              <m:sty m:val="b"/>
            </m:rPr>
            <w:rPr>
              <w:rFonts w:ascii="Cambria Math" w:eastAsiaTheme="majorEastAsia" w:hAnsi="Cambria Math" w:cstheme="majorBidi"/>
              <w:color w:val="000000" w:themeColor="text1"/>
              <w:lang w:val="en-GB"/>
            </w:rPr>
            <m:t>log</m:t>
          </m:r>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
                </m:rPr>
                <w:rPr>
                  <w:rFonts w:ascii="Cambria Math" w:eastAsiaTheme="majorEastAsia" w:hAnsi="Cambria Math" w:cstheme="majorBidi"/>
                  <w:color w:val="000000" w:themeColor="text1"/>
                  <w:lang w:val="en-GB"/>
                </w:rPr>
                <m:t>bound</m:t>
              </m:r>
            </m:e>
            <m:sub>
              <m:r>
                <m:rPr>
                  <m:sty m:val="b"/>
                </m:rPr>
                <w:rPr>
                  <w:rFonts w:ascii="Cambria Math" w:eastAsiaTheme="majorEastAsia" w:hAnsi="Cambria Math" w:cstheme="majorBidi"/>
                  <w:color w:val="000000" w:themeColor="text1"/>
                  <w:lang w:val="en-GB"/>
                </w:rPr>
                <m:t>log</m:t>
              </m:r>
            </m:sub>
          </m:sSub>
          <m:r>
            <m:rPr>
              <m:sty m:val="bi"/>
            </m:rPr>
            <w:rPr>
              <w:rFonts w:ascii="Cambria Math" w:eastAsiaTheme="majorEastAsia" w:hAnsi="Cambria Math" w:cstheme="majorBidi"/>
              <w:color w:val="000000" w:themeColor="text1"/>
              <w:lang w:val="it-IT"/>
            </w:rPr>
            <m:t>,</m:t>
          </m:r>
          <m:r>
            <m:rPr>
              <m:nor/>
            </m:rPr>
            <w:rPr>
              <w:rFonts w:asciiTheme="majorHAnsi" w:eastAsiaTheme="majorEastAsia" w:hAnsiTheme="majorHAnsi" w:cstheme="majorBidi"/>
              <w:b/>
              <w:bCs/>
              <w:color w:val="000000" w:themeColor="text1"/>
              <w:lang w:val="it-IT"/>
            </w:rPr>
            <m:t>  </m:t>
          </m:r>
          <m:r>
            <m:rPr>
              <m:sty m:val="b"/>
            </m:rPr>
            <w:rPr>
              <w:rFonts w:ascii="Cambria Math" w:eastAsiaTheme="majorEastAsia" w:hAnsi="Cambria Math" w:cstheme="majorBidi"/>
              <w:color w:val="000000" w:themeColor="text1"/>
              <w:lang w:val="en-GB"/>
            </w:rPr>
            <m:t>log</m:t>
          </m:r>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
                </m:rPr>
                <w:rPr>
                  <w:rFonts w:ascii="Cambria Math" w:eastAsiaTheme="majorEastAsia" w:hAnsi="Cambria Math" w:cstheme="majorBidi"/>
                  <w:color w:val="000000" w:themeColor="text1"/>
                  <w:lang w:val="en-GB"/>
                </w:rPr>
                <m:t>bound</m:t>
              </m:r>
            </m:e>
            <m:sub>
              <m:r>
                <m:rPr>
                  <m:sty m:val="b"/>
                </m:rPr>
                <w:rPr>
                  <w:rFonts w:ascii="Cambria Math" w:eastAsiaTheme="majorEastAsia" w:hAnsi="Cambria Math" w:cstheme="majorBidi"/>
                  <w:color w:val="000000" w:themeColor="text1"/>
                  <w:lang w:val="en-GB"/>
                </w:rPr>
                <m:t>log</m:t>
              </m:r>
            </m:sub>
          </m:sSub>
          <m:r>
            <m:rPr>
              <m:sty m:val="bi"/>
            </m:rPr>
            <w:rPr>
              <w:rFonts w:ascii="Cambria Math" w:eastAsiaTheme="majorEastAsia" w:hAnsi="Cambria Math" w:cstheme="majorBidi"/>
              <w:color w:val="000000" w:themeColor="text1"/>
              <w:lang w:val="it-IT"/>
            </w:rPr>
            <m:t>)</m:t>
          </m:r>
          <m:r>
            <m:rPr>
              <m:sty m:val="p"/>
            </m:rPr>
            <w:rPr>
              <w:rFonts w:ascii="Cambria Math" w:eastAsiaTheme="majorEastAsia" w:hAnsi="Cambria Math" w:cstheme="majorBidi"/>
              <w:color w:val="000000" w:themeColor="text1"/>
              <w:lang w:val="it-IT"/>
            </w:rPr>
            <w:br/>
          </m:r>
        </m:oMath>
      </m:oMathPara>
    </w:p>
    <w:p w14:paraId="62CD6A5C"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e infine riportata nello spazio prezzo con</w:t>
      </w:r>
    </w:p>
    <w:p w14:paraId="7D76372A"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P</m:t>
                  </m:r>
                </m:e>
              </m:acc>
            </m:e>
            <m:sub>
              <m:r>
                <m:rPr>
                  <m:sty m:val="bi"/>
                </m:rPr>
                <w:rPr>
                  <w:rFonts w:ascii="Cambria Math" w:eastAsiaTheme="majorEastAsia" w:hAnsi="Cambria Math" w:cstheme="majorBidi"/>
                  <w:color w:val="000000" w:themeColor="text1"/>
                  <w:lang w:val="en-GB"/>
                </w:rPr>
                <m:t>t+H</m:t>
              </m:r>
            </m:sub>
          </m:sSub>
          <m:r>
            <m:rPr>
              <m:sty m:val="bi"/>
            </m:rPr>
            <w:rPr>
              <w:rFonts w:ascii="Cambria Math" w:eastAsiaTheme="majorEastAsia" w:hAnsi="Cambria Math" w:cstheme="majorBidi"/>
              <w:color w:val="000000" w:themeColor="text1"/>
              <w:lang w:val="en-GB"/>
            </w:rPr>
            <m:t>=</m:t>
          </m:r>
          <m:sSup>
            <m:sSupPr>
              <m:ctrlPr>
                <w:rPr>
                  <w:rFonts w:ascii="Cambria Math" w:eastAsiaTheme="majorEastAsia" w:hAnsi="Cambria Math" w:cstheme="majorBidi"/>
                  <w:b/>
                  <w:bCs/>
                  <w:color w:val="000000" w:themeColor="text1"/>
                  <w:lang w:val="en-GB"/>
                </w:rPr>
              </m:ctrlPr>
            </m:sSupPr>
            <m:e>
              <m:r>
                <m:rPr>
                  <m:sty m:val="bi"/>
                </m:rPr>
                <w:rPr>
                  <w:rFonts w:ascii="Cambria Math" w:eastAsiaTheme="majorEastAsia" w:hAnsi="Cambria Math" w:cstheme="majorBidi"/>
                  <w:color w:val="000000" w:themeColor="text1"/>
                  <w:lang w:val="en-GB"/>
                </w:rPr>
                <m:t>e</m:t>
              </m:r>
            </m:e>
            <m:sup>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y</m:t>
                      </m:r>
                    </m:e>
                  </m:acc>
                </m:e>
                <m:sub>
                  <m:r>
                    <m:rPr>
                      <m:sty m:val="bi"/>
                    </m:rPr>
                    <w:rPr>
                      <w:rFonts w:ascii="Cambria Math" w:eastAsiaTheme="majorEastAsia" w:hAnsi="Cambria Math" w:cstheme="majorBidi"/>
                      <w:color w:val="000000" w:themeColor="text1"/>
                      <w:lang w:val="en-GB"/>
                    </w:rPr>
                    <m:t>t+H</m:t>
                  </m:r>
                </m:sub>
              </m:sSub>
            </m:sup>
          </m:sSup>
          <m:r>
            <m:rPr>
              <m:sty m:val="p"/>
            </m:rPr>
            <w:rPr>
              <w:rFonts w:asciiTheme="majorHAnsi" w:eastAsiaTheme="majorEastAsia" w:hAnsiTheme="majorHAnsi" w:cstheme="majorBidi"/>
              <w:color w:val="000000" w:themeColor="text1"/>
              <w:lang w:val="en-GB"/>
            </w:rPr>
            <w:br/>
          </m:r>
        </m:oMath>
      </m:oMathPara>
    </w:p>
    <w:p w14:paraId="3B2F4E1A" w14:textId="77777777" w:rsidR="00641FAD" w:rsidRPr="00EF0A3F" w:rsidRDefault="00C0462E"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pict w14:anchorId="130C9535">
          <v:rect id="_x0000_i1033" style="width:0;height:1.5pt" o:hralign="center" o:hrstd="t" o:hr="t" fillcolor="#a0a0a0" stroked="f"/>
        </w:pict>
      </w:r>
    </w:p>
    <w:p w14:paraId="20D4216D" w14:textId="77777777" w:rsidR="00641FAD" w:rsidRPr="00254204" w:rsidRDefault="00641FAD" w:rsidP="00641FAD">
      <w:pPr>
        <w:pStyle w:val="Heading2"/>
        <w:rPr>
          <w:color w:val="000000" w:themeColor="text1"/>
          <w:lang w:val="it-IT"/>
        </w:rPr>
      </w:pPr>
      <w:bookmarkStart w:id="62" w:name="_Toc236387237"/>
      <w:r>
        <w:rPr>
          <w:color w:val="000000" w:themeColor="text1"/>
          <w:lang w:val="it-IT"/>
        </w:rPr>
        <w:t>7.7 Theta</w:t>
      </w:r>
      <w:bookmarkEnd w:id="62"/>
    </w:p>
    <w:p w14:paraId="05130E3F"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Spazio modellato: log-price.</w:t>
      </w:r>
    </w:p>
    <w:p w14:paraId="47162A7A"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La variabile modellata è</w:t>
      </w:r>
    </w:p>
    <w:p w14:paraId="38686EE0"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y</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m:t>
          </m:r>
          <m:r>
            <m:rPr>
              <m:sty m:val="b"/>
            </m:rPr>
            <w:rPr>
              <w:rFonts w:ascii="Cambria Math" w:eastAsiaTheme="majorEastAsia" w:hAnsi="Cambria Math" w:cstheme="majorBidi"/>
              <w:color w:val="000000" w:themeColor="text1"/>
              <w:lang w:val="en-GB"/>
            </w:rPr>
            <m:t>log</m:t>
          </m:r>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m:t>
          </m:r>
          <m:r>
            <m:rPr>
              <m:sty m:val="p"/>
            </m:rPr>
            <w:rPr>
              <w:rFonts w:ascii="Cambria Math" w:eastAsiaTheme="majorEastAsia" w:hAnsi="Cambria Math" w:cstheme="majorBidi"/>
              <w:color w:val="000000" w:themeColor="text1"/>
              <w:lang w:val="en-GB"/>
            </w:rPr>
            <w:br/>
          </m:r>
        </m:oMath>
      </m:oMathPara>
    </w:p>
    <w:p w14:paraId="19725813"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Il metodo Theta usato dal codice appartiene alla famiglia dei modelli SES + drift, non a una generica decomposizione Theta arbitraria. In termini operativi, il forecast può essere interpretato come combinazione di:</w:t>
      </w:r>
    </w:p>
    <w:p w14:paraId="52A99C6E" w14:textId="77777777" w:rsidR="00641FAD" w:rsidRPr="00254204" w:rsidRDefault="00641FAD" w:rsidP="008242CC">
      <w:pPr>
        <w:numPr>
          <w:ilvl w:val="0"/>
          <w:numId w:val="36"/>
        </w:num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una componente di livello lisciato esponenzialmente,</w:t>
      </w:r>
    </w:p>
    <w:p w14:paraId="4FE30565" w14:textId="77777777" w:rsidR="00641FAD" w:rsidRPr="00254204" w:rsidRDefault="00641FAD" w:rsidP="008242CC">
      <w:pPr>
        <w:numPr>
          <w:ilvl w:val="0"/>
          <w:numId w:val="36"/>
        </w:num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una componente di trend/drift.</w:t>
      </w:r>
    </w:p>
    <w:p w14:paraId="5352E0F0"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Una rappresentazione sintetica coerente è:</w:t>
      </w:r>
    </w:p>
    <w:p w14:paraId="2D8C2A96" w14:textId="77777777" w:rsidR="00641FAD" w:rsidRPr="00254204" w:rsidRDefault="00C0462E" w:rsidP="00641FAD">
      <w:pPr>
        <w:rPr>
          <w:rFonts w:asciiTheme="majorHAnsi" w:eastAsiaTheme="majorEastAsia" w:hAnsiTheme="majorHAnsi" w:cstheme="majorBidi"/>
          <w:b/>
          <w:bCs/>
          <w:color w:val="000000" w:themeColor="text1"/>
          <w:lang w:val="fr-FR"/>
        </w:rPr>
      </w:pPr>
      <m:oMathPara>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y</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fr-FR"/>
                </w:rPr>
                <m:t>+</m:t>
              </m:r>
              <m:r>
                <m:rPr>
                  <m:sty m:val="bi"/>
                </m:rPr>
                <w:rPr>
                  <w:rFonts w:ascii="Cambria Math" w:eastAsiaTheme="majorEastAsia" w:hAnsi="Cambria Math" w:cstheme="majorBidi"/>
                  <w:color w:val="000000" w:themeColor="text1"/>
                  <w:lang w:val="en-GB"/>
                </w:rPr>
                <m:t>h</m:t>
              </m:r>
            </m:sub>
          </m:sSub>
          <m:r>
            <m:rPr>
              <m:sty m:val="bi"/>
            </m:rPr>
            <w:rPr>
              <w:rFonts w:ascii="Cambria Math" w:eastAsiaTheme="majorEastAsia" w:hAnsi="Cambria Math" w:cstheme="majorBidi"/>
              <w:color w:val="000000" w:themeColor="text1"/>
              <w:lang w:val="fr-FR"/>
            </w:rPr>
            <m:t>=</m:t>
          </m:r>
          <m:sSubSup>
            <m:sSubSupPr>
              <m:ctrlPr>
                <w:rPr>
                  <w:rFonts w:ascii="Cambria Math" w:eastAsiaTheme="majorEastAsia" w:hAnsi="Cambria Math" w:cstheme="majorBidi"/>
                  <w:b/>
                  <w:bCs/>
                  <w:color w:val="000000" w:themeColor="text1"/>
                  <w:lang w:val="en-GB"/>
                </w:rPr>
              </m:ctrlPr>
            </m:sSubSupPr>
            <m:e>
              <m:acc>
                <m:accPr>
                  <m:ctrlPr>
                    <w:rPr>
                      <w:rFonts w:ascii="Cambria Math" w:eastAsiaTheme="majorEastAsia" w:hAnsi="Cambria Math" w:cstheme="majorBidi"/>
                      <w:b/>
                      <w:bCs/>
                      <w:color w:val="000000" w:themeColor="text1"/>
                      <w:lang w:val="en-GB"/>
                    </w:rPr>
                  </m:ctrlPr>
                </m:accPr>
                <m:e>
                  <m:r>
                    <m:rPr>
                      <m:scr m:val="script"/>
                      <m:sty m:val="b"/>
                    </m:rPr>
                    <w:rPr>
                      <w:rFonts w:ascii="Cambria Math" w:eastAsiaTheme="majorEastAsia" w:hAnsi="Cambria Math" w:cstheme="majorBidi"/>
                      <w:color w:val="000000" w:themeColor="text1"/>
                      <w:lang w:val="en-GB"/>
                    </w:rPr>
                    <m:t>l</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fr-FR"/>
                </w:rPr>
                <m:t>+</m:t>
              </m:r>
              <m:r>
                <m:rPr>
                  <m:sty m:val="bi"/>
                </m:rPr>
                <w:rPr>
                  <w:rFonts w:ascii="Cambria Math" w:eastAsiaTheme="majorEastAsia" w:hAnsi="Cambria Math" w:cstheme="majorBidi"/>
                  <w:color w:val="000000" w:themeColor="text1"/>
                  <w:lang w:val="en-GB"/>
                </w:rPr>
                <m:t>h</m:t>
              </m:r>
            </m:sub>
            <m:sup>
              <m:r>
                <m:rPr>
                  <m:nor/>
                </m:rPr>
                <w:rPr>
                  <w:rFonts w:asciiTheme="majorHAnsi" w:eastAsiaTheme="majorEastAsia" w:hAnsiTheme="majorHAnsi" w:cstheme="majorBidi"/>
                  <w:b/>
                  <w:bCs/>
                  <w:color w:val="000000" w:themeColor="text1"/>
                  <w:lang w:val="fr-FR"/>
                </w:rPr>
                <m:t> SES</m:t>
              </m:r>
            </m:sup>
          </m:sSubSup>
          <m:r>
            <m:rPr>
              <m:sty m:val="bi"/>
            </m:rPr>
            <w:rPr>
              <w:rFonts w:ascii="Cambria Math" w:eastAsiaTheme="majorEastAsia" w:hAnsi="Cambria Math" w:cstheme="majorBidi"/>
              <w:color w:val="000000" w:themeColor="text1"/>
              <w:lang w:val="fr-FR"/>
            </w:rPr>
            <m:t>+h⋅</m:t>
          </m:r>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d</m:t>
              </m:r>
            </m:e>
          </m:acc>
          <m:r>
            <m:rPr>
              <m:sty m:val="p"/>
            </m:rPr>
            <w:rPr>
              <w:rFonts w:asciiTheme="majorHAnsi" w:eastAsiaTheme="majorEastAsia" w:hAnsiTheme="majorHAnsi" w:cstheme="majorBidi"/>
              <w:color w:val="000000" w:themeColor="text1"/>
              <w:lang w:val="fr-FR"/>
            </w:rPr>
            <w:br/>
          </m:r>
        </m:oMath>
      </m:oMathPara>
    </w:p>
    <w:p w14:paraId="754A7655"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dove:</w:t>
      </w:r>
    </w:p>
    <w:p w14:paraId="44AAA3C6" w14:textId="77777777" w:rsidR="00641FAD" w:rsidRPr="00254204" w:rsidRDefault="00C0462E" w:rsidP="008242CC">
      <w:pPr>
        <w:numPr>
          <w:ilvl w:val="0"/>
          <w:numId w:val="37"/>
        </w:numPr>
        <w:rPr>
          <w:rFonts w:asciiTheme="majorHAnsi" w:eastAsiaTheme="majorEastAsia" w:hAnsiTheme="majorHAnsi" w:cstheme="majorBidi"/>
          <w:b/>
          <w:bCs/>
          <w:color w:val="000000" w:themeColor="text1"/>
          <w:lang w:val="it-IT"/>
        </w:rPr>
      </w:pPr>
      <m:oMath>
        <m:sSubSup>
          <m:sSubSupPr>
            <m:ctrlPr>
              <w:rPr>
                <w:rFonts w:ascii="Cambria Math" w:eastAsiaTheme="majorEastAsia" w:hAnsi="Cambria Math" w:cstheme="majorBidi"/>
                <w:b/>
                <w:bCs/>
                <w:color w:val="000000" w:themeColor="text1"/>
                <w:lang w:val="en-GB"/>
              </w:rPr>
            </m:ctrlPr>
          </m:sSubSupPr>
          <m:e>
            <m:acc>
              <m:accPr>
                <m:ctrlPr>
                  <w:rPr>
                    <w:rFonts w:ascii="Cambria Math" w:eastAsiaTheme="majorEastAsia" w:hAnsi="Cambria Math" w:cstheme="majorBidi"/>
                    <w:b/>
                    <w:bCs/>
                    <w:color w:val="000000" w:themeColor="text1"/>
                    <w:lang w:val="en-GB"/>
                  </w:rPr>
                </m:ctrlPr>
              </m:accPr>
              <m:e>
                <m:r>
                  <m:rPr>
                    <m:scr m:val="script"/>
                    <m:sty m:val="b"/>
                  </m:rPr>
                  <w:rPr>
                    <w:rFonts w:ascii="Cambria Math" w:eastAsiaTheme="majorEastAsia" w:hAnsi="Cambria Math" w:cstheme="majorBidi"/>
                    <w:color w:val="000000" w:themeColor="text1"/>
                    <w:lang w:val="en-GB"/>
                  </w:rPr>
                  <m:t>l</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up>
            <m:r>
              <m:rPr>
                <m:nor/>
              </m:rPr>
              <w:rPr>
                <w:rFonts w:asciiTheme="majorHAnsi" w:eastAsiaTheme="majorEastAsia" w:hAnsiTheme="majorHAnsi" w:cstheme="majorBidi"/>
                <w:b/>
                <w:bCs/>
                <w:color w:val="000000" w:themeColor="text1"/>
                <w:lang w:val="it-IT"/>
              </w:rPr>
              <m:t> SES</m:t>
            </m:r>
          </m:sup>
        </m:sSubSup>
      </m:oMath>
      <w:r w:rsidR="00383D83">
        <w:rPr>
          <w:rFonts w:asciiTheme="majorHAnsi" w:eastAsiaTheme="majorEastAsia" w:hAnsiTheme="majorHAnsi" w:cstheme="majorBidi"/>
          <w:b/>
          <w:bCs/>
          <w:color w:val="000000" w:themeColor="text1"/>
          <w:lang w:val="it-IT"/>
        </w:rPr>
        <w:t>è la componente di exponential smoothing,</w:t>
      </w:r>
    </w:p>
    <w:p w14:paraId="6159B75F" w14:textId="77777777" w:rsidR="00641FAD" w:rsidRPr="00254204" w:rsidRDefault="00C0462E" w:rsidP="008242CC">
      <w:pPr>
        <w:numPr>
          <w:ilvl w:val="0"/>
          <w:numId w:val="37"/>
        </w:numPr>
        <w:rPr>
          <w:rFonts w:asciiTheme="majorHAnsi" w:eastAsiaTheme="majorEastAsia" w:hAnsiTheme="majorHAnsi" w:cstheme="majorBidi"/>
          <w:b/>
          <w:bCs/>
          <w:color w:val="000000" w:themeColor="text1"/>
          <w:lang w:val="it-IT"/>
        </w:rPr>
      </w:pPr>
      <m:oMath>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d</m:t>
            </m:r>
          </m:e>
        </m:acc>
      </m:oMath>
      <w:r w:rsidR="00383D83">
        <w:rPr>
          <w:rFonts w:asciiTheme="majorHAnsi" w:eastAsiaTheme="majorEastAsia" w:hAnsiTheme="majorHAnsi" w:cstheme="majorBidi"/>
          <w:b/>
          <w:bCs/>
          <w:color w:val="000000" w:themeColor="text1"/>
          <w:lang w:val="it-IT"/>
        </w:rPr>
        <w:t>è il drift medio stimato.</w:t>
      </w:r>
    </w:p>
    <w:p w14:paraId="49DCAC8D"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lastRenderedPageBreak/>
        <w:t>Nel codice la periodicità stagionale viene attivata solo se esistono almeno 3 cicli completi; altrimenti si usa una forma non stagionale:</w:t>
      </w:r>
    </w:p>
    <w:p w14:paraId="31D46C6C" w14:textId="77777777" w:rsidR="00641FAD" w:rsidRPr="00254204" w:rsidRDefault="00641FAD" w:rsidP="00641FAD">
      <w:pPr>
        <w:rPr>
          <w:rFonts w:asciiTheme="majorHAnsi" w:eastAsiaTheme="majorEastAsia" w:hAnsiTheme="majorHAnsi" w:cstheme="majorBidi"/>
          <w:b/>
          <w:bCs/>
          <w:color w:val="000000" w:themeColor="text1"/>
          <w:lang w:val="it-IT"/>
        </w:rPr>
      </w:pPr>
      <m:oMathPara>
        <m:oMath>
          <m:r>
            <m:rPr>
              <m:sty m:val="bi"/>
            </m:rPr>
            <w:rPr>
              <w:rFonts w:ascii="Cambria Math" w:eastAsiaTheme="majorEastAsia" w:hAnsi="Cambria Math" w:cstheme="majorBidi"/>
              <w:color w:val="000000" w:themeColor="text1"/>
              <w:lang w:val="en-GB"/>
            </w:rPr>
            <m:t>N</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3</m:t>
          </m:r>
          <m:r>
            <m:rPr>
              <m:sty m:val="bi"/>
            </m:rPr>
            <w:rPr>
              <w:rFonts w:ascii="Cambria Math" w:eastAsiaTheme="majorEastAsia" w:hAnsi="Cambria Math" w:cstheme="majorBidi"/>
              <w:color w:val="000000" w:themeColor="text1"/>
              <w:lang w:val="en-GB"/>
            </w:rPr>
            <m:t>m</m:t>
          </m:r>
          <m:r>
            <m:rPr>
              <m:sty m:val="bi"/>
            </m:rPr>
            <w:rPr>
              <w:rFonts w:ascii="Cambria Math" w:eastAsiaTheme="majorEastAsia" w:hAnsi="Cambria Math" w:cstheme="majorBidi"/>
              <w:color w:val="000000" w:themeColor="text1"/>
              <w:lang w:val="it-IT"/>
            </w:rPr>
            <m:t>⇒</m:t>
          </m:r>
          <m:r>
            <m:rPr>
              <m:nor/>
            </m:rPr>
            <w:rPr>
              <w:rFonts w:asciiTheme="majorHAnsi" w:eastAsiaTheme="majorEastAsia" w:hAnsiTheme="majorHAnsi" w:cstheme="majorBidi"/>
              <w:b/>
              <w:bCs/>
              <w:color w:val="000000" w:themeColor="text1"/>
              <w:lang w:val="it-IT"/>
            </w:rPr>
            <m:t>stagionalit</m:t>
          </m:r>
          <m:acc>
            <m:accPr>
              <m:chr m:val="ˋ"/>
              <m:ctrlPr>
                <w:rPr>
                  <w:rFonts w:ascii="Cambria Math" w:eastAsiaTheme="majorEastAsia" w:hAnsi="Cambria Math" w:cstheme="majorBidi"/>
                  <w:b/>
                  <w:bCs/>
                  <w:color w:val="000000" w:themeColor="text1"/>
                  <w:lang w:val="en-GB"/>
                </w:rPr>
              </m:ctrlPr>
            </m:accPr>
            <m:e>
              <m:r>
                <m:rPr>
                  <m:nor/>
                </m:rPr>
                <w:rPr>
                  <w:rFonts w:asciiTheme="majorHAnsi" w:eastAsiaTheme="majorEastAsia" w:hAnsiTheme="majorHAnsi" w:cstheme="majorBidi"/>
                  <w:b/>
                  <w:bCs/>
                  <w:color w:val="000000" w:themeColor="text1"/>
                  <w:lang w:val="it-IT"/>
                </w:rPr>
                <m:t>a</m:t>
              </m:r>
            </m:e>
          </m:acc>
          <m:r>
            <m:rPr>
              <m:nor/>
            </m:rPr>
            <w:rPr>
              <w:rFonts w:asciiTheme="majorHAnsi" w:eastAsiaTheme="majorEastAsia" w:hAnsiTheme="majorHAnsi" w:cstheme="majorBidi"/>
              <w:b/>
              <w:bCs/>
              <w:color w:val="000000" w:themeColor="text1"/>
              <w:lang w:val="it-IT"/>
            </w:rPr>
            <m:t> attiva</m:t>
          </m:r>
          <m:r>
            <m:rPr>
              <m:sty m:val="bi"/>
            </m:rPr>
            <w:rPr>
              <w:rFonts w:ascii="Cambria Math" w:eastAsiaTheme="majorEastAsia" w:hAnsi="Cambria Math" w:cstheme="majorBidi"/>
              <w:color w:val="000000" w:themeColor="text1"/>
              <w:lang w:val="it-IT"/>
            </w:rPr>
            <m:t>,N&lt;3</m:t>
          </m:r>
          <m:r>
            <m:rPr>
              <m:sty m:val="bi"/>
            </m:rPr>
            <w:rPr>
              <w:rFonts w:ascii="Cambria Math" w:eastAsiaTheme="majorEastAsia" w:hAnsi="Cambria Math" w:cstheme="majorBidi"/>
              <w:color w:val="000000" w:themeColor="text1"/>
              <w:lang w:val="it-IT"/>
            </w:rPr>
            <m:t>m⇒</m:t>
          </m:r>
          <m:r>
            <m:rPr>
              <m:nor/>
            </m:rPr>
            <w:rPr>
              <w:rFonts w:asciiTheme="majorHAnsi" w:eastAsiaTheme="majorEastAsia" w:hAnsiTheme="majorHAnsi" w:cstheme="majorBidi"/>
              <w:b/>
              <w:bCs/>
              <w:color w:val="000000" w:themeColor="text1"/>
              <w:lang w:val="it-IT"/>
            </w:rPr>
            <m:t>period</m:t>
          </m:r>
          <m:r>
            <m:rPr>
              <m:sty m:val="bi"/>
            </m:rPr>
            <w:rPr>
              <w:rFonts w:ascii="Cambria Math" w:eastAsiaTheme="majorEastAsia" w:hAnsi="Cambria Math" w:cstheme="majorBidi"/>
              <w:color w:val="000000" w:themeColor="text1"/>
              <w:lang w:val="it-IT"/>
            </w:rPr>
            <m:t>=1</m:t>
          </m:r>
          <m:r>
            <m:rPr>
              <m:sty m:val="p"/>
            </m:rPr>
            <w:rPr>
              <w:rFonts w:ascii="Cambria Math" w:eastAsiaTheme="majorEastAsia" w:hAnsi="Cambria Math" w:cstheme="majorBidi"/>
              <w:color w:val="000000" w:themeColor="text1"/>
              <w:lang w:val="it-IT"/>
            </w:rPr>
            <w:br/>
          </m:r>
        </m:oMath>
      </m:oMathPara>
    </w:p>
    <w:p w14:paraId="3D5044D9"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Anche qui il forecast logaritmico viene clampato:</w:t>
      </w:r>
    </w:p>
    <w:p w14:paraId="4B6E1BF6" w14:textId="77777777" w:rsidR="00641FAD" w:rsidRPr="00254204" w:rsidRDefault="00C0462E" w:rsidP="00641FAD">
      <w:pPr>
        <w:rPr>
          <w:rFonts w:asciiTheme="majorHAnsi" w:eastAsiaTheme="majorEastAsia" w:hAnsiTheme="majorHAnsi" w:cstheme="majorBidi"/>
          <w:b/>
          <w:bCs/>
          <w:color w:val="000000" w:themeColor="text1"/>
          <w:lang w:val="it-IT"/>
        </w:rPr>
      </w:pPr>
      <m:oMathPara>
        <m:oMath>
          <m:sSub>
            <m:sSubPr>
              <m:ctrlPr>
                <w:rPr>
                  <w:rFonts w:ascii="Cambria Math" w:eastAsiaTheme="majorEastAsia" w:hAnsi="Cambria Math" w:cstheme="majorBidi"/>
                  <w:b/>
                  <w:bCs/>
                  <w:color w:val="000000" w:themeColor="text1"/>
                  <w:lang w:val="en-GB"/>
                </w:rPr>
              </m:ctrlPr>
            </m:sSubPr>
            <m:e>
              <m:r>
                <m:rPr>
                  <m:sty m:val="b"/>
                </m:rPr>
                <w:rPr>
                  <w:rFonts w:ascii="Cambria Math" w:eastAsiaTheme="majorEastAsia" w:hAnsi="Cambria Math" w:cstheme="majorBidi"/>
                  <w:color w:val="000000" w:themeColor="text1"/>
                  <w:lang w:val="en-GB"/>
                </w:rPr>
                <m:t>bound</m:t>
              </m:r>
            </m:e>
            <m:sub>
              <m:r>
                <m:rPr>
                  <m:sty m:val="b"/>
                </m:rPr>
                <w:rPr>
                  <w:rFonts w:ascii="Cambria Math" w:eastAsiaTheme="majorEastAsia" w:hAnsi="Cambria Math" w:cstheme="majorBidi"/>
                  <w:color w:val="000000" w:themeColor="text1"/>
                  <w:lang w:val="en-GB"/>
                </w:rPr>
                <m:t>log</m:t>
              </m:r>
            </m:sub>
          </m:sSub>
          <m:r>
            <m:rPr>
              <m:sty m:val="bi"/>
            </m:rPr>
            <w:rPr>
              <w:rFonts w:ascii="Cambria Math" w:eastAsiaTheme="majorEastAsia" w:hAnsi="Cambria Math" w:cstheme="majorBidi"/>
              <w:color w:val="000000" w:themeColor="text1"/>
              <w:lang w:val="it-IT"/>
            </w:rPr>
            <m:t>=κ</m:t>
          </m:r>
          <m:r>
            <m:rPr>
              <m:nor/>
            </m:rPr>
            <w:rPr>
              <w:rFonts w:asciiTheme="majorHAnsi" w:eastAsiaTheme="majorEastAsia" w:hAnsiTheme="majorHAnsi" w:cstheme="majorBidi"/>
              <w:b/>
              <w:bCs/>
              <w:color w:val="000000" w:themeColor="text1"/>
              <w:lang w:val="it-IT"/>
            </w:rPr>
            <m:t> </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σ</m:t>
              </m:r>
            </m:e>
            <m:sub>
              <m:r>
                <m:rPr>
                  <m:sty m:val="bi"/>
                </m:rPr>
                <w:rPr>
                  <w:rFonts w:ascii="Cambria Math" w:eastAsiaTheme="majorEastAsia" w:hAnsi="Cambria Math" w:cstheme="majorBidi"/>
                  <w:color w:val="000000" w:themeColor="text1"/>
                  <w:lang w:val="en-GB"/>
                </w:rPr>
                <m:t>lr</m:t>
              </m:r>
            </m:sub>
          </m:sSub>
          <m:rad>
            <m:radPr>
              <m:degHide m:val="1"/>
              <m:ctrlPr>
                <w:rPr>
                  <w:rFonts w:ascii="Cambria Math" w:eastAsiaTheme="majorEastAsia" w:hAnsi="Cambria Math" w:cstheme="majorBidi"/>
                  <w:b/>
                  <w:bCs/>
                  <w:color w:val="000000" w:themeColor="text1"/>
                  <w:lang w:val="en-GB"/>
                </w:rPr>
              </m:ctrlPr>
            </m:radPr>
            <m:deg/>
            <m:e>
              <m:r>
                <m:rPr>
                  <m:sty m:val="bi"/>
                </m:rPr>
                <w:rPr>
                  <w:rFonts w:ascii="Cambria Math" w:eastAsiaTheme="majorEastAsia" w:hAnsi="Cambria Math" w:cstheme="majorBidi"/>
                  <w:color w:val="000000" w:themeColor="text1"/>
                  <w:lang w:val="en-GB"/>
                </w:rPr>
                <m:t>H</m:t>
              </m:r>
            </m:e>
          </m:rad>
          <m:r>
            <m:rPr>
              <m:sty m:val="p"/>
            </m:rPr>
            <w:rPr>
              <w:rFonts w:asciiTheme="majorHAnsi" w:eastAsiaTheme="majorEastAsia" w:hAnsiTheme="majorHAnsi" w:cstheme="majorBidi"/>
              <w:color w:val="000000" w:themeColor="text1"/>
              <w:lang w:val="it-IT"/>
            </w:rPr>
            <w:br/>
          </m:r>
        </m:oMath>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y</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r>
            <m:rPr>
              <m:sty m:val="bi"/>
            </m:rPr>
            <w:rPr>
              <w:rFonts w:ascii="Cambria Math" w:eastAsiaTheme="majorEastAsia" w:hAnsi="Cambria Math" w:cstheme="majorBidi"/>
              <w:color w:val="000000" w:themeColor="text1"/>
              <w:lang w:val="it-IT"/>
            </w:rPr>
            <m:t>←</m:t>
          </m:r>
          <m:r>
            <m:rPr>
              <m:sty m:val="b"/>
            </m:rPr>
            <w:rPr>
              <w:rFonts w:ascii="Cambria Math" w:eastAsiaTheme="majorEastAsia" w:hAnsi="Cambria Math" w:cstheme="majorBidi"/>
              <w:color w:val="000000" w:themeColor="text1"/>
              <w:lang w:val="en-GB"/>
            </w:rPr>
            <m:t>clip</m:t>
          </m:r>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y</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r>
            <m:rPr>
              <m:sty m:val="bi"/>
            </m:rPr>
            <w:rPr>
              <w:rFonts w:ascii="Cambria Math" w:eastAsiaTheme="majorEastAsia" w:hAnsi="Cambria Math" w:cstheme="majorBidi"/>
              <w:color w:val="000000" w:themeColor="text1"/>
              <w:lang w:val="it-IT"/>
            </w:rPr>
            <m:t>,</m:t>
          </m:r>
          <m:r>
            <m:rPr>
              <m:nor/>
            </m:rPr>
            <w:rPr>
              <w:rFonts w:asciiTheme="majorHAnsi" w:eastAsiaTheme="majorEastAsia" w:hAnsiTheme="majorHAnsi" w:cstheme="majorBidi"/>
              <w:b/>
              <w:bCs/>
              <w:color w:val="000000" w:themeColor="text1"/>
              <w:lang w:val="it-IT"/>
            </w:rPr>
            <m:t>  </m:t>
          </m:r>
          <m:r>
            <m:rPr>
              <m:sty m:val="b"/>
            </m:rPr>
            <w:rPr>
              <w:rFonts w:ascii="Cambria Math" w:eastAsiaTheme="majorEastAsia" w:hAnsi="Cambria Math" w:cstheme="majorBidi"/>
              <w:color w:val="000000" w:themeColor="text1"/>
              <w:lang w:val="en-GB"/>
            </w:rPr>
            <m:t>log</m:t>
          </m:r>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
                </m:rPr>
                <w:rPr>
                  <w:rFonts w:ascii="Cambria Math" w:eastAsiaTheme="majorEastAsia" w:hAnsi="Cambria Math" w:cstheme="majorBidi"/>
                  <w:color w:val="000000" w:themeColor="text1"/>
                  <w:lang w:val="en-GB"/>
                </w:rPr>
                <m:t>bound</m:t>
              </m:r>
            </m:e>
            <m:sub>
              <m:r>
                <m:rPr>
                  <m:sty m:val="b"/>
                </m:rPr>
                <w:rPr>
                  <w:rFonts w:ascii="Cambria Math" w:eastAsiaTheme="majorEastAsia" w:hAnsi="Cambria Math" w:cstheme="majorBidi"/>
                  <w:color w:val="000000" w:themeColor="text1"/>
                  <w:lang w:val="en-GB"/>
                </w:rPr>
                <m:t>log</m:t>
              </m:r>
            </m:sub>
          </m:sSub>
          <m:r>
            <m:rPr>
              <m:sty m:val="bi"/>
            </m:rPr>
            <w:rPr>
              <w:rFonts w:ascii="Cambria Math" w:eastAsiaTheme="majorEastAsia" w:hAnsi="Cambria Math" w:cstheme="majorBidi"/>
              <w:color w:val="000000" w:themeColor="text1"/>
              <w:lang w:val="it-IT"/>
            </w:rPr>
            <m:t>,</m:t>
          </m:r>
          <m:r>
            <m:rPr>
              <m:nor/>
            </m:rPr>
            <w:rPr>
              <w:rFonts w:asciiTheme="majorHAnsi" w:eastAsiaTheme="majorEastAsia" w:hAnsiTheme="majorHAnsi" w:cstheme="majorBidi"/>
              <w:b/>
              <w:bCs/>
              <w:color w:val="000000" w:themeColor="text1"/>
              <w:lang w:val="it-IT"/>
            </w:rPr>
            <m:t>  </m:t>
          </m:r>
          <m:r>
            <m:rPr>
              <m:sty m:val="b"/>
            </m:rPr>
            <w:rPr>
              <w:rFonts w:ascii="Cambria Math" w:eastAsiaTheme="majorEastAsia" w:hAnsi="Cambria Math" w:cstheme="majorBidi"/>
              <w:color w:val="000000" w:themeColor="text1"/>
              <w:lang w:val="en-GB"/>
            </w:rPr>
            <m:t>log</m:t>
          </m:r>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
                </m:rPr>
                <w:rPr>
                  <w:rFonts w:ascii="Cambria Math" w:eastAsiaTheme="majorEastAsia" w:hAnsi="Cambria Math" w:cstheme="majorBidi"/>
                  <w:color w:val="000000" w:themeColor="text1"/>
                  <w:lang w:val="en-GB"/>
                </w:rPr>
                <m:t>bound</m:t>
              </m:r>
            </m:e>
            <m:sub>
              <m:r>
                <m:rPr>
                  <m:sty m:val="b"/>
                </m:rPr>
                <w:rPr>
                  <w:rFonts w:ascii="Cambria Math" w:eastAsiaTheme="majorEastAsia" w:hAnsi="Cambria Math" w:cstheme="majorBidi"/>
                  <w:color w:val="000000" w:themeColor="text1"/>
                  <w:lang w:val="en-GB"/>
                </w:rPr>
                <m:t>log</m:t>
              </m:r>
            </m:sub>
          </m:sSub>
          <m:r>
            <m:rPr>
              <m:sty m:val="bi"/>
            </m:rPr>
            <w:rPr>
              <w:rFonts w:ascii="Cambria Math" w:eastAsiaTheme="majorEastAsia" w:hAnsi="Cambria Math" w:cstheme="majorBidi"/>
              <w:color w:val="000000" w:themeColor="text1"/>
              <w:lang w:val="it-IT"/>
            </w:rPr>
            <m:t>)</m:t>
          </m:r>
          <m:r>
            <m:rPr>
              <m:sty m:val="p"/>
            </m:rPr>
            <w:rPr>
              <w:rFonts w:ascii="Cambria Math" w:eastAsiaTheme="majorEastAsia" w:hAnsi="Cambria Math" w:cstheme="majorBidi"/>
              <w:color w:val="000000" w:themeColor="text1"/>
              <w:lang w:val="it-IT"/>
            </w:rPr>
            <w:br/>
          </m:r>
        </m:oMath>
      </m:oMathPara>
    </w:p>
    <w:p w14:paraId="5A33921E"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e il forecast finale in prezzo è</w:t>
      </w:r>
    </w:p>
    <w:p w14:paraId="07797C5E"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P</m:t>
                  </m:r>
                </m:e>
              </m:acc>
            </m:e>
            <m:sub>
              <m:r>
                <m:rPr>
                  <m:sty m:val="bi"/>
                </m:rPr>
                <w:rPr>
                  <w:rFonts w:ascii="Cambria Math" w:eastAsiaTheme="majorEastAsia" w:hAnsi="Cambria Math" w:cstheme="majorBidi"/>
                  <w:color w:val="000000" w:themeColor="text1"/>
                  <w:lang w:val="en-GB"/>
                </w:rPr>
                <m:t>t+H</m:t>
              </m:r>
            </m:sub>
          </m:sSub>
          <m:r>
            <m:rPr>
              <m:sty m:val="bi"/>
            </m:rPr>
            <w:rPr>
              <w:rFonts w:ascii="Cambria Math" w:eastAsiaTheme="majorEastAsia" w:hAnsi="Cambria Math" w:cstheme="majorBidi"/>
              <w:color w:val="000000" w:themeColor="text1"/>
              <w:lang w:val="en-GB"/>
            </w:rPr>
            <m:t>=</m:t>
          </m:r>
          <m:sSup>
            <m:sSupPr>
              <m:ctrlPr>
                <w:rPr>
                  <w:rFonts w:ascii="Cambria Math" w:eastAsiaTheme="majorEastAsia" w:hAnsi="Cambria Math" w:cstheme="majorBidi"/>
                  <w:b/>
                  <w:bCs/>
                  <w:color w:val="000000" w:themeColor="text1"/>
                  <w:lang w:val="en-GB"/>
                </w:rPr>
              </m:ctrlPr>
            </m:sSupPr>
            <m:e>
              <m:r>
                <m:rPr>
                  <m:sty m:val="bi"/>
                </m:rPr>
                <w:rPr>
                  <w:rFonts w:ascii="Cambria Math" w:eastAsiaTheme="majorEastAsia" w:hAnsi="Cambria Math" w:cstheme="majorBidi"/>
                  <w:color w:val="000000" w:themeColor="text1"/>
                  <w:lang w:val="en-GB"/>
                </w:rPr>
                <m:t>e</m:t>
              </m:r>
            </m:e>
            <m:sup>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y</m:t>
                      </m:r>
                    </m:e>
                  </m:acc>
                </m:e>
                <m:sub>
                  <m:r>
                    <m:rPr>
                      <m:sty m:val="bi"/>
                    </m:rPr>
                    <w:rPr>
                      <w:rFonts w:ascii="Cambria Math" w:eastAsiaTheme="majorEastAsia" w:hAnsi="Cambria Math" w:cstheme="majorBidi"/>
                      <w:color w:val="000000" w:themeColor="text1"/>
                      <w:lang w:val="en-GB"/>
                    </w:rPr>
                    <m:t>t+H</m:t>
                  </m:r>
                </m:sub>
              </m:sSub>
            </m:sup>
          </m:sSup>
          <m:r>
            <m:rPr>
              <m:sty m:val="p"/>
            </m:rPr>
            <w:rPr>
              <w:rFonts w:asciiTheme="majorHAnsi" w:eastAsiaTheme="majorEastAsia" w:hAnsiTheme="majorHAnsi" w:cstheme="majorBidi"/>
              <w:color w:val="000000" w:themeColor="text1"/>
              <w:lang w:val="en-GB"/>
            </w:rPr>
            <w:br/>
          </m:r>
        </m:oMath>
      </m:oMathPara>
    </w:p>
    <w:p w14:paraId="5AA4D21A" w14:textId="77777777" w:rsidR="00641FAD" w:rsidRPr="00EF0A3F" w:rsidRDefault="00C0462E"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pict w14:anchorId="64C4C55A">
          <v:rect id="_x0000_i1034" style="width:0;height:1.5pt" o:hralign="center" o:hrstd="t" o:hr="t" fillcolor="#a0a0a0" stroked="f"/>
        </w:pict>
      </w:r>
    </w:p>
    <w:p w14:paraId="001D12E1" w14:textId="77777777" w:rsidR="00641FAD" w:rsidRPr="00254204" w:rsidRDefault="00641FAD" w:rsidP="00641FAD">
      <w:pPr>
        <w:pStyle w:val="Heading2"/>
        <w:rPr>
          <w:color w:val="000000" w:themeColor="text1"/>
          <w:lang w:val="it-IT"/>
        </w:rPr>
      </w:pPr>
      <w:bookmarkStart w:id="63" w:name="_Toc236387238"/>
      <w:r>
        <w:rPr>
          <w:color w:val="000000" w:themeColor="text1"/>
          <w:lang w:val="it-IT"/>
        </w:rPr>
        <w:t>7.8 LightGBM e CatBoost</w:t>
      </w:r>
      <w:bookmarkEnd w:id="63"/>
    </w:p>
    <w:p w14:paraId="7669F6A2"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Spazio modellato: log-return.</w:t>
      </w:r>
    </w:p>
    <w:p w14:paraId="5A27AE32"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La variabile target è il log-return a un passo:</w:t>
      </w:r>
    </w:p>
    <w:p w14:paraId="3F529A71" w14:textId="77777777" w:rsidR="00641FAD" w:rsidRPr="00254204" w:rsidRDefault="00C0462E" w:rsidP="00641FAD">
      <w:pPr>
        <w:rPr>
          <w:rFonts w:asciiTheme="majorHAnsi" w:eastAsiaTheme="majorEastAsia" w:hAnsiTheme="majorHAnsi" w:cstheme="majorBidi"/>
          <w:b/>
          <w:bCs/>
          <w:color w:val="000000" w:themeColor="text1"/>
          <w:lang w:val="it-IT"/>
        </w:rPr>
      </w:pPr>
      <m:oMathPara>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r</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it-IT"/>
            </w:rPr>
            <m:t>=</m:t>
          </m:r>
          <m:r>
            <m:rPr>
              <m:sty m:val="b"/>
            </m:rPr>
            <w:rPr>
              <w:rFonts w:ascii="Cambria Math" w:eastAsiaTheme="majorEastAsia" w:hAnsi="Cambria Math" w:cstheme="majorBidi"/>
              <w:color w:val="000000" w:themeColor="text1"/>
              <w:lang w:val="en-GB"/>
            </w:rPr>
            <m:t>log</m:t>
          </m:r>
          <m:r>
            <m:rPr>
              <m:sty m:val="bi"/>
            </m:rPr>
            <w:rPr>
              <w:rFonts w:ascii="Cambria Math" w:eastAsiaTheme="majorEastAsia" w:hAnsi="Cambria Math" w:cstheme="majorBidi"/>
              <w:color w:val="000000" w:themeColor="text1"/>
              <w:lang w:val="it-IT"/>
            </w:rPr>
            <m:t>⁡</m:t>
          </m:r>
          <m:r>
            <m:rPr>
              <m:nor/>
            </m:rPr>
            <w:rPr>
              <w:rFonts w:ascii="Cambria Math" w:eastAsiaTheme="majorEastAsia" w:hAnsi="Cambria Math" w:cs="Cambria Math"/>
              <w:b/>
              <w:bCs/>
              <w:color w:val="000000" w:themeColor="text1"/>
              <w:lang w:val="it-IT"/>
            </w:rPr>
            <m:t>⁣</m:t>
          </m:r>
          <m:d>
            <m:dPr>
              <m:ctrlPr>
                <w:rPr>
                  <w:rFonts w:ascii="Cambria Math" w:eastAsiaTheme="majorEastAsia" w:hAnsi="Cambria Math" w:cstheme="majorBidi"/>
                  <w:b/>
                  <w:bCs/>
                  <w:color w:val="000000" w:themeColor="text1"/>
                  <w:lang w:val="en-GB"/>
                </w:rPr>
              </m:ctrlPr>
            </m:dPr>
            <m:e>
              <m:f>
                <m:fPr>
                  <m:ctrlPr>
                    <w:rPr>
                      <w:rFonts w:ascii="Cambria Math" w:eastAsiaTheme="majorEastAsia" w:hAnsi="Cambria Math" w:cstheme="majorBidi"/>
                      <w:b/>
                      <w:bCs/>
                      <w:color w:val="000000" w:themeColor="text1"/>
                      <w:lang w:val="en-GB"/>
                    </w:rPr>
                  </m:ctrlPr>
                </m:fPr>
                <m:num>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num>
                <m:den>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1</m:t>
                      </m:r>
                    </m:sub>
                  </m:sSub>
                </m:den>
              </m:f>
            </m:e>
          </m:d>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y</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r</m:t>
              </m:r>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1</m:t>
              </m:r>
            </m:sub>
          </m:sSub>
          <m:r>
            <m:rPr>
              <m:sty m:val="p"/>
            </m:rPr>
            <w:rPr>
              <w:rFonts w:asciiTheme="majorHAnsi" w:eastAsiaTheme="majorEastAsia" w:hAnsiTheme="majorHAnsi" w:cstheme="majorBidi"/>
              <w:color w:val="000000" w:themeColor="text1"/>
              <w:lang w:val="it-IT"/>
            </w:rPr>
            <w:br/>
          </m:r>
        </m:oMath>
      </m:oMathPara>
    </w:p>
    <w:p w14:paraId="5EFBB891"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Il problema è quindi formulato come regressione supervisionata one-step-ahead:</w:t>
      </w:r>
    </w:p>
    <w:p w14:paraId="79E47281"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y</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=f(</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x</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ε</m:t>
              </m:r>
            </m:e>
            <m:sub>
              <m:r>
                <m:rPr>
                  <m:sty m:val="bi"/>
                </m:rPr>
                <w:rPr>
                  <w:rFonts w:ascii="Cambria Math" w:eastAsiaTheme="majorEastAsia" w:hAnsi="Cambria Math" w:cstheme="majorBidi"/>
                  <w:color w:val="000000" w:themeColor="text1"/>
                  <w:lang w:val="en-GB"/>
                </w:rPr>
                <m:t>t</m:t>
              </m:r>
            </m:sub>
          </m:sSub>
          <m:r>
            <m:rPr>
              <m:sty m:val="p"/>
            </m:rPr>
            <w:rPr>
              <w:rFonts w:asciiTheme="majorHAnsi" w:eastAsiaTheme="majorEastAsia" w:hAnsiTheme="majorHAnsi" w:cstheme="majorBidi"/>
              <w:color w:val="000000" w:themeColor="text1"/>
              <w:lang w:val="en-GB"/>
            </w:rPr>
            <w:br/>
          </m:r>
        </m:oMath>
      </m:oMathPara>
    </w:p>
    <w:p w14:paraId="4C09CB47"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 xml:space="preserve">dove </w:t>
      </w:r>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x</m:t>
            </m:r>
          </m:e>
          <m:sub>
            <m:r>
              <m:rPr>
                <m:sty m:val="bi"/>
              </m:rPr>
              <w:rPr>
                <w:rFonts w:ascii="Cambria Math" w:eastAsiaTheme="majorEastAsia" w:hAnsi="Cambria Math" w:cstheme="majorBidi"/>
                <w:color w:val="000000" w:themeColor="text1"/>
                <w:lang w:val="en-GB"/>
              </w:rPr>
              <m:t>t</m:t>
            </m:r>
          </m:sub>
        </m:sSub>
      </m:oMath>
      <w:r>
        <w:rPr>
          <w:rFonts w:asciiTheme="majorHAnsi" w:eastAsiaTheme="majorEastAsia" w:hAnsiTheme="majorHAnsi" w:cstheme="majorBidi"/>
          <w:b/>
          <w:bCs/>
          <w:color w:val="000000" w:themeColor="text1"/>
          <w:lang w:val="it-IT"/>
        </w:rPr>
        <w:t xml:space="preserve">è un vettore di feature tecniche costruite dai rendimenti osservati fino al tempo </w:t>
      </w:r>
      <m:oMath>
        <m:r>
          <m:rPr>
            <m:sty m:val="bi"/>
          </m:rPr>
          <w:rPr>
            <w:rFonts w:ascii="Cambria Math" w:eastAsiaTheme="majorEastAsia" w:hAnsi="Cambria Math" w:cstheme="majorBidi"/>
            <w:color w:val="000000" w:themeColor="text1"/>
            <w:lang w:val="en-GB"/>
          </w:rPr>
          <m:t>t</m:t>
        </m:r>
      </m:oMath>
      <w:r>
        <w:rPr>
          <w:rFonts w:asciiTheme="majorHAnsi" w:eastAsiaTheme="majorEastAsia" w:hAnsiTheme="majorHAnsi" w:cstheme="majorBidi"/>
          <w:b/>
          <w:bCs/>
          <w:color w:val="000000" w:themeColor="text1"/>
          <w:lang w:val="it-IT"/>
        </w:rPr>
        <w:t>.</w:t>
      </w:r>
    </w:p>
    <w:p w14:paraId="2EC84BEB" w14:textId="77777777" w:rsidR="00035F7E" w:rsidRDefault="008242CC">
      <w:pPr>
        <w:rPr>
          <w:lang w:val="it-IT"/>
        </w:rPr>
      </w:pPr>
      <w:r>
        <w:rPr>
          <w:rFonts w:asciiTheme="majorHAnsi" w:eastAsiaTheme="majorEastAsia" w:hAnsiTheme="majorHAnsi" w:cstheme="majorBidi"/>
          <w:b/>
          <w:bCs/>
          <w:color w:val="000000" w:themeColor="text1"/>
          <w:lang w:val="it-IT"/>
        </w:rPr>
        <w:t>Il set di feature corrente include:</w:t>
      </w:r>
    </w:p>
    <w:p w14:paraId="55154A24" w14:textId="77777777" w:rsidR="00035F7E" w:rsidRDefault="008242CC">
      <w:pPr>
        <w:rPr>
          <w:lang w:val="it-IT"/>
        </w:rPr>
      </w:pPr>
      <w:r>
        <w:rPr>
          <w:rFonts w:asciiTheme="majorHAnsi" w:eastAsiaTheme="majorEastAsia" w:hAnsiTheme="majorHAnsi" w:cstheme="majorBidi"/>
          <w:b/>
          <w:bCs/>
          <w:color w:val="000000" w:themeColor="text1"/>
          <w:lang w:val="it-IT"/>
        </w:rPr>
        <w:t>ritardi (lag) del log-rendimento a 1, 2, 5, 10, 14, 30 e 60 passi;</w:t>
      </w:r>
    </w:p>
    <w:p w14:paraId="2CCA23C4" w14:textId="77777777" w:rsidR="00035F7E" w:rsidRDefault="008242CC">
      <w:pPr>
        <w:rPr>
          <w:lang w:val="it-IT"/>
        </w:rPr>
      </w:pPr>
      <w:r>
        <w:rPr>
          <w:rFonts w:asciiTheme="majorHAnsi" w:eastAsiaTheme="majorEastAsia" w:hAnsiTheme="majorHAnsi" w:cstheme="majorBidi"/>
          <w:b/>
          <w:bCs/>
          <w:color w:val="000000" w:themeColor="text1"/>
          <w:lang w:val="it-IT"/>
        </w:rPr>
        <w:t>medie e deviazioni standard mobili su finestre di 5 e 20 passi;</w:t>
      </w:r>
    </w:p>
    <w:p w14:paraId="61CAE420" w14:textId="77777777" w:rsidR="00035F7E" w:rsidRDefault="008242CC">
      <w:pPr>
        <w:rPr>
          <w:lang w:val="it-IT"/>
        </w:rPr>
      </w:pPr>
      <w:r>
        <w:rPr>
          <w:rFonts w:asciiTheme="majorHAnsi" w:eastAsiaTheme="majorEastAsia" w:hAnsiTheme="majorHAnsi" w:cstheme="majorBidi"/>
          <w:b/>
          <w:bCs/>
          <w:color w:val="000000" w:themeColor="text1"/>
          <w:lang w:val="it-IT"/>
        </w:rPr>
        <w:t>indicatori RSI a 7, 14 e 21 periodi, normalizzati in [0,1] tramite smoothing esponenziale di Wilder;</w:t>
      </w:r>
    </w:p>
    <w:p w14:paraId="3F9E9C3B" w14:textId="77777777" w:rsidR="00035F7E" w:rsidRDefault="008242CC">
      <w:pPr>
        <w:rPr>
          <w:lang w:val="it-IT"/>
        </w:rPr>
      </w:pPr>
      <w:r>
        <w:rPr>
          <w:rFonts w:asciiTheme="majorHAnsi" w:eastAsiaTheme="majorEastAsia" w:hAnsiTheme="majorHAnsi" w:cstheme="majorBidi"/>
          <w:b/>
          <w:bCs/>
          <w:color w:val="000000" w:themeColor="text1"/>
          <w:lang w:val="it-IT"/>
        </w:rPr>
        <w:t>feature aggregate opzionali: medie e deviazioni standard aggregate su finestre di 3, 6 e 12 mesi.</w:t>
      </w:r>
    </w:p>
    <w:p w14:paraId="42DC5FE5"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it-IT"/>
        </w:rPr>
        <w:t xml:space="preserve">La previsione multi-step non è diretta: il motore usa un meccanismo iterativo ricorsivo. </w:t>
      </w:r>
      <w:r>
        <w:rPr>
          <w:rFonts w:asciiTheme="majorHAnsi" w:eastAsiaTheme="majorEastAsia" w:hAnsiTheme="majorHAnsi" w:cstheme="majorBidi"/>
          <w:b/>
          <w:bCs/>
          <w:color w:val="000000" w:themeColor="text1"/>
          <w:lang w:val="en-GB"/>
        </w:rPr>
        <w:t>Se il modello predice</w:t>
      </w:r>
    </w:p>
    <w:p w14:paraId="1B57B394"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t+1</m:t>
              </m:r>
            </m:sub>
          </m:sSub>
          <m:r>
            <m:rPr>
              <m:sty m:val="bi"/>
            </m:rPr>
            <w:rPr>
              <w:rFonts w:ascii="Cambria Math" w:eastAsiaTheme="majorEastAsia" w:hAnsi="Cambria Math" w:cstheme="majorBidi"/>
              <w:color w:val="000000" w:themeColor="text1"/>
              <w:lang w:val="en-GB"/>
            </w:rPr>
            <m:t>=f(</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x</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m:t>
          </m:r>
          <m:r>
            <m:rPr>
              <m:sty m:val="p"/>
            </m:rPr>
            <w:rPr>
              <w:rFonts w:ascii="Cambria Math" w:eastAsiaTheme="majorEastAsia" w:hAnsi="Cambria Math" w:cstheme="majorBidi"/>
              <w:color w:val="000000" w:themeColor="text1"/>
              <w:lang w:val="en-GB"/>
            </w:rPr>
            <w:br/>
          </m:r>
        </m:oMath>
      </m:oMathPara>
    </w:p>
    <w:p w14:paraId="0E90F103"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lastRenderedPageBreak/>
        <w:t xml:space="preserve">allora aggiorna la finestra delle feature con </w:t>
      </w:r>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1</m:t>
            </m:r>
          </m:sub>
        </m:sSub>
      </m:oMath>
      <w:r>
        <w:rPr>
          <w:rFonts w:asciiTheme="majorHAnsi" w:eastAsiaTheme="majorEastAsia" w:hAnsiTheme="majorHAnsi" w:cstheme="majorBidi"/>
          <w:b/>
          <w:bCs/>
          <w:color w:val="000000" w:themeColor="text1"/>
          <w:lang w:val="it-IT"/>
        </w:rPr>
        <w:t xml:space="preserve">, ricostruisce </w:t>
      </w:r>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x</m:t>
            </m:r>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1</m:t>
            </m:r>
          </m:sub>
        </m:sSub>
      </m:oMath>
      <w:r>
        <w:rPr>
          <w:rFonts w:asciiTheme="majorHAnsi" w:eastAsiaTheme="majorEastAsia" w:hAnsiTheme="majorHAnsi" w:cstheme="majorBidi"/>
          <w:b/>
          <w:bCs/>
          <w:color w:val="000000" w:themeColor="text1"/>
          <w:lang w:val="it-IT"/>
        </w:rPr>
        <w:t xml:space="preserve">, predice </w:t>
      </w:r>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2</m:t>
            </m:r>
          </m:sub>
        </m:sSub>
      </m:oMath>
      <w:r>
        <w:rPr>
          <w:rFonts w:asciiTheme="majorHAnsi" w:eastAsiaTheme="majorEastAsia" w:hAnsiTheme="majorHAnsi" w:cstheme="majorBidi"/>
          <w:b/>
          <w:bCs/>
          <w:color w:val="000000" w:themeColor="text1"/>
          <w:lang w:val="it-IT"/>
        </w:rPr>
        <w:t xml:space="preserve">, e così via fino a </w:t>
      </w:r>
      <m:oMath>
        <m:r>
          <m:rPr>
            <m:sty m:val="bi"/>
          </m:rPr>
          <w:rPr>
            <w:rFonts w:ascii="Cambria Math" w:eastAsiaTheme="majorEastAsia" w:hAnsi="Cambria Math" w:cstheme="majorBidi"/>
            <w:color w:val="000000" w:themeColor="text1"/>
            <w:lang w:val="en-GB"/>
          </w:rPr>
          <m:t>H</m:t>
        </m:r>
      </m:oMath>
      <w:r>
        <w:rPr>
          <w:rFonts w:asciiTheme="majorHAnsi" w:eastAsiaTheme="majorEastAsia" w:hAnsiTheme="majorHAnsi" w:cstheme="majorBidi"/>
          <w:b/>
          <w:bCs/>
          <w:color w:val="000000" w:themeColor="text1"/>
          <w:lang w:val="it-IT"/>
        </w:rPr>
        <w:t>.</w:t>
      </w:r>
    </w:p>
    <w:p w14:paraId="697AB510"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Il prezzo finale viene quindi ricostruito come</w:t>
      </w:r>
    </w:p>
    <w:p w14:paraId="238110C3"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P</m:t>
                  </m:r>
                </m:e>
              </m:acc>
            </m:e>
            <m:sub>
              <m:r>
                <m:rPr>
                  <m:sty m:val="bi"/>
                </m:rPr>
                <w:rPr>
                  <w:rFonts w:ascii="Cambria Math" w:eastAsiaTheme="majorEastAsia" w:hAnsi="Cambria Math" w:cstheme="majorBidi"/>
                  <w:color w:val="000000" w:themeColor="text1"/>
                  <w:lang w:val="en-GB"/>
                </w:rPr>
                <m:t>t+H</m:t>
              </m:r>
            </m:sub>
          </m:sSub>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m:t>
          </m:r>
          <m:r>
            <m:rPr>
              <m:sty m:val="b"/>
            </m:rPr>
            <w:rPr>
              <w:rFonts w:ascii="Cambria Math" w:eastAsiaTheme="majorEastAsia" w:hAnsi="Cambria Math" w:cstheme="majorBidi"/>
              <w:color w:val="000000" w:themeColor="text1"/>
              <w:lang w:val="en-GB"/>
            </w:rPr>
            <m:t>exp</m:t>
          </m:r>
          <m:r>
            <m:rPr>
              <m:sty m:val="bi"/>
            </m:rPr>
            <w:rPr>
              <w:rFonts w:ascii="Cambria Math" w:eastAsiaTheme="majorEastAsia" w:hAnsi="Cambria Math" w:cstheme="majorBidi"/>
              <w:color w:val="000000" w:themeColor="text1"/>
              <w:lang w:val="en-GB"/>
            </w:rPr>
            <m:t>⁡</m:t>
          </m:r>
          <m:d>
            <m:dPr>
              <m:ctrlPr>
                <w:rPr>
                  <w:rFonts w:ascii="Cambria Math" w:eastAsiaTheme="majorEastAsia" w:hAnsi="Cambria Math" w:cstheme="majorBidi"/>
                  <w:b/>
                  <w:bCs/>
                  <w:color w:val="000000" w:themeColor="text1"/>
                  <w:lang w:val="en-GB"/>
                </w:rPr>
              </m:ctrlPr>
            </m:dPr>
            <m:e>
              <m:nary>
                <m:naryPr>
                  <m:chr m:val="∑"/>
                  <m:limLoc m:val="undOvr"/>
                  <m:grow m:val="1"/>
                  <m:ctrlPr>
                    <w:rPr>
                      <w:rFonts w:ascii="Cambria Math" w:eastAsiaTheme="majorEastAsia" w:hAnsi="Cambria Math" w:cstheme="majorBidi"/>
                      <w:b/>
                      <w:bCs/>
                      <w:color w:val="000000" w:themeColor="text1"/>
                      <w:lang w:val="en-GB"/>
                    </w:rPr>
                  </m:ctrlPr>
                </m:naryPr>
                <m:sub>
                  <m:r>
                    <m:rPr>
                      <m:sty m:val="bi"/>
                    </m:rPr>
                    <w:rPr>
                      <w:rFonts w:ascii="Cambria Math" w:eastAsiaTheme="majorEastAsia" w:hAnsi="Cambria Math" w:cstheme="majorBidi"/>
                      <w:color w:val="000000" w:themeColor="text1"/>
                      <w:lang w:val="en-GB"/>
                    </w:rPr>
                    <m:t>h=1</m:t>
                  </m:r>
                </m:sub>
                <m:sup>
                  <m:r>
                    <m:rPr>
                      <m:sty m:val="bi"/>
                    </m:rPr>
                    <w:rPr>
                      <w:rFonts w:ascii="Cambria Math" w:eastAsiaTheme="majorEastAsia" w:hAnsi="Cambria Math" w:cstheme="majorBidi"/>
                      <w:color w:val="000000" w:themeColor="text1"/>
                      <w:lang w:val="en-GB"/>
                    </w:rPr>
                    <m:t>H</m:t>
                  </m:r>
                </m:sup>
                <m:e>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t+h</m:t>
                      </m:r>
                    </m:sub>
                  </m:sSub>
                </m:e>
              </m:nary>
            </m:e>
          </m:d>
          <m:r>
            <m:rPr>
              <m:sty m:val="p"/>
            </m:rPr>
            <w:rPr>
              <w:rFonts w:asciiTheme="majorHAnsi" w:eastAsiaTheme="majorEastAsia" w:hAnsiTheme="majorHAnsi" w:cstheme="majorBidi"/>
              <w:color w:val="000000" w:themeColor="text1"/>
              <w:lang w:val="en-GB"/>
            </w:rPr>
            <w:br/>
          </m:r>
        </m:oMath>
      </m:oMathPara>
    </w:p>
    <w:p w14:paraId="296CDC89"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In documentazione è quindi corretto descriverli come modelli di gradient boosting su feature derivate dai log-return, non come modelli diretti sul livello di prezzo. In addestramento LightGBM riserva il 10% cronologicamente più recente dei dati come holdout di early stopping (50 round di pazienza): la previsione usa l’iterazione migliore selezionata su tale holdout, in modo deterministico. CatBoost usa lo stesso split con selezione automatica del modello migliore sull’eval set. Nel forecast ricorsivo multi-step gli indicatori RSI sono aggiornati con lo stesso smoothing di Wilder usato in addestramento, mantenuto come stato in streaming inizializzato sull’intera storia disponibile, così da preservare la parità train/inference delle feature.</w:t>
      </w:r>
    </w:p>
    <w:p w14:paraId="5055497D" w14:textId="77777777" w:rsidR="00641FAD" w:rsidRPr="00EF0A3F" w:rsidRDefault="00C0462E"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pict w14:anchorId="6BD40940">
          <v:rect id="_x0000_i1035" style="width:0;height:1.5pt" o:hralign="center" o:hrstd="t" o:hr="t" fillcolor="#a0a0a0" stroked="f"/>
        </w:pict>
      </w:r>
    </w:p>
    <w:p w14:paraId="72F11274" w14:textId="77777777" w:rsidR="00641FAD" w:rsidRPr="00254204" w:rsidRDefault="00641FAD" w:rsidP="00641FAD">
      <w:pPr>
        <w:pStyle w:val="Heading2"/>
        <w:rPr>
          <w:color w:val="000000" w:themeColor="text1"/>
          <w:lang w:val="it-IT"/>
        </w:rPr>
      </w:pPr>
      <w:bookmarkStart w:id="64" w:name="_Toc236387239"/>
      <w:r>
        <w:rPr>
          <w:color w:val="000000" w:themeColor="text1"/>
          <w:lang w:val="it-IT"/>
        </w:rPr>
        <w:t>7.9 NBEATS</w:t>
      </w:r>
      <w:bookmarkEnd w:id="64"/>
    </w:p>
    <w:p w14:paraId="255DE860"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Spazio modellato: log-return.</w:t>
      </w:r>
    </w:p>
    <w:p w14:paraId="1EA864A6"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Anche qui la variabile base è</w:t>
      </w:r>
    </w:p>
    <w:p w14:paraId="3D29E981" w14:textId="77777777" w:rsidR="00641FAD" w:rsidRPr="00254204" w:rsidRDefault="00C0462E" w:rsidP="00641FAD">
      <w:pPr>
        <w:rPr>
          <w:rFonts w:asciiTheme="majorHAnsi" w:eastAsiaTheme="majorEastAsia" w:hAnsiTheme="majorHAnsi" w:cstheme="majorBidi"/>
          <w:b/>
          <w:bCs/>
          <w:color w:val="000000" w:themeColor="text1"/>
          <w:lang w:val="it-IT"/>
        </w:rPr>
      </w:pPr>
      <m:oMathPara>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r</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it-IT"/>
            </w:rPr>
            <m:t>=</m:t>
          </m:r>
          <m:r>
            <m:rPr>
              <m:sty m:val="b"/>
            </m:rPr>
            <w:rPr>
              <w:rFonts w:ascii="Cambria Math" w:eastAsiaTheme="majorEastAsia" w:hAnsi="Cambria Math" w:cstheme="majorBidi"/>
              <w:color w:val="000000" w:themeColor="text1"/>
              <w:lang w:val="en-GB"/>
            </w:rPr>
            <m:t>log</m:t>
          </m:r>
          <m:r>
            <m:rPr>
              <m:sty m:val="bi"/>
            </m:rPr>
            <w:rPr>
              <w:rFonts w:ascii="Cambria Math" w:eastAsiaTheme="majorEastAsia" w:hAnsi="Cambria Math" w:cstheme="majorBidi"/>
              <w:color w:val="000000" w:themeColor="text1"/>
              <w:lang w:val="it-IT"/>
            </w:rPr>
            <m:t>⁡</m:t>
          </m:r>
          <m:r>
            <m:rPr>
              <m:nor/>
            </m:rPr>
            <w:rPr>
              <w:rFonts w:asciiTheme="majorHAnsi" w:eastAsiaTheme="majorEastAsia" w:hAnsiTheme="majorHAnsi" w:cstheme="majorBidi"/>
              <w:b/>
              <w:bCs/>
              <w:color w:val="000000" w:themeColor="text1"/>
              <w:lang w:val="it-IT"/>
            </w:rPr>
            <m:t> </m:t>
          </m:r>
          <m:d>
            <m:dPr>
              <m:ctrlPr>
                <w:rPr>
                  <w:rFonts w:ascii="Cambria Math" w:eastAsiaTheme="majorEastAsia" w:hAnsi="Cambria Math" w:cstheme="majorBidi"/>
                  <w:b/>
                  <w:bCs/>
                  <w:color w:val="000000" w:themeColor="text1"/>
                  <w:lang w:val="en-GB"/>
                </w:rPr>
              </m:ctrlPr>
            </m:dPr>
            <m:e>
              <m:f>
                <m:fPr>
                  <m:ctrlPr>
                    <w:rPr>
                      <w:rFonts w:ascii="Cambria Math" w:eastAsiaTheme="majorEastAsia" w:hAnsi="Cambria Math" w:cstheme="majorBidi"/>
                      <w:b/>
                      <w:bCs/>
                      <w:color w:val="000000" w:themeColor="text1"/>
                      <w:lang w:val="en-GB"/>
                    </w:rPr>
                  </m:ctrlPr>
                </m:fPr>
                <m:num>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num>
                <m:den>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1</m:t>
                      </m:r>
                    </m:sub>
                  </m:sSub>
                </m:den>
              </m:f>
            </m:e>
          </m:d>
          <m:r>
            <m:rPr>
              <m:sty m:val="p"/>
            </m:rPr>
            <w:rPr>
              <w:rFonts w:asciiTheme="majorHAnsi" w:eastAsiaTheme="majorEastAsia" w:hAnsiTheme="majorHAnsi" w:cstheme="majorBidi"/>
              <w:color w:val="000000" w:themeColor="text1"/>
              <w:lang w:val="it-IT"/>
            </w:rPr>
            <w:br/>
          </m:r>
        </m:oMath>
      </m:oMathPara>
    </w:p>
    <w:p w14:paraId="0BEFD25B"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it-IT"/>
        </w:rPr>
        <w:t xml:space="preserve">Il modello NBEATS apprende una mappa sequenziale dai rendimenti passati ai rendimenti futuri. </w:t>
      </w:r>
      <w:r>
        <w:rPr>
          <w:rFonts w:asciiTheme="majorHAnsi" w:eastAsiaTheme="majorEastAsia" w:hAnsiTheme="majorHAnsi" w:cstheme="majorBidi"/>
          <w:b/>
          <w:bCs/>
          <w:color w:val="000000" w:themeColor="text1"/>
          <w:lang w:val="en-GB"/>
        </w:rPr>
        <w:t>In forma astratta:</w:t>
      </w:r>
    </w:p>
    <w:p w14:paraId="0A65B465"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d>
            <m:dPr>
              <m:ctrlPr>
                <w:rPr>
                  <w:rFonts w:ascii="Cambria Math" w:eastAsiaTheme="majorEastAsia" w:hAnsi="Cambria Math" w:cstheme="majorBidi"/>
                  <w:b/>
                  <w:bCs/>
                  <w:color w:val="000000" w:themeColor="text1"/>
                  <w:lang w:val="en-GB"/>
                </w:rPr>
              </m:ctrlPr>
            </m:dPr>
            <m:e>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t+1</m:t>
                  </m:r>
                </m:sub>
              </m:sSub>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t+H</m:t>
                  </m:r>
                </m:sub>
              </m:sSub>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F</m:t>
                  </m:r>
                </m:e>
                <m:sub>
                  <m:r>
                    <m:rPr>
                      <m:sty m:val="bi"/>
                    </m:rPr>
                    <w:rPr>
                      <w:rFonts w:ascii="Cambria Math" w:eastAsiaTheme="majorEastAsia" w:hAnsi="Cambria Math" w:cstheme="majorBidi"/>
                      <w:color w:val="000000" w:themeColor="text1"/>
                      <w:lang w:val="en-GB"/>
                    </w:rPr>
                    <m:t>θ</m:t>
                  </m:r>
                </m:sub>
              </m:sSub>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r</m:t>
                  </m:r>
                </m:e>
                <m:sub>
                  <m:r>
                    <m:rPr>
                      <m:sty m:val="bi"/>
                    </m:rPr>
                    <w:rPr>
                      <w:rFonts w:ascii="Cambria Math" w:eastAsiaTheme="majorEastAsia" w:hAnsi="Cambria Math" w:cstheme="majorBidi"/>
                      <w:color w:val="000000" w:themeColor="text1"/>
                      <w:lang w:val="en-GB"/>
                    </w:rPr>
                    <m:t>t-L+1</m:t>
                  </m:r>
                </m:sub>
              </m:sSub>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r</m:t>
                  </m:r>
                </m:e>
                <m:sub>
                  <m:r>
                    <m:rPr>
                      <m:sty m:val="bi"/>
                    </m:rPr>
                    <w:rPr>
                      <w:rFonts w:ascii="Cambria Math" w:eastAsiaTheme="majorEastAsia" w:hAnsi="Cambria Math" w:cstheme="majorBidi"/>
                      <w:color w:val="000000" w:themeColor="text1"/>
                      <w:lang w:val="en-GB"/>
                    </w:rPr>
                    <m:t>t</m:t>
                  </m:r>
                </m:sub>
              </m:sSub>
            </m:e>
          </m:d>
          <m:r>
            <m:rPr>
              <m:sty m:val="p"/>
            </m:rPr>
            <w:rPr>
              <w:rFonts w:asciiTheme="majorHAnsi" w:eastAsiaTheme="majorEastAsia" w:hAnsiTheme="majorHAnsi" w:cstheme="majorBidi"/>
              <w:color w:val="000000" w:themeColor="text1"/>
              <w:lang w:val="en-GB"/>
            </w:rPr>
            <w:br/>
          </m:r>
        </m:oMath>
      </m:oMathPara>
    </w:p>
    <w:p w14:paraId="7AC6372B"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dove:</w:t>
      </w:r>
    </w:p>
    <w:p w14:paraId="213F5A78" w14:textId="77777777" w:rsidR="00641FAD" w:rsidRPr="00254204" w:rsidRDefault="00641FAD" w:rsidP="008242CC">
      <w:pPr>
        <w:numPr>
          <w:ilvl w:val="0"/>
          <w:numId w:val="38"/>
        </w:numPr>
        <w:rPr>
          <w:rFonts w:asciiTheme="majorHAnsi" w:eastAsiaTheme="majorEastAsia" w:hAnsiTheme="majorHAnsi" w:cstheme="majorBidi"/>
          <w:b/>
          <w:bCs/>
          <w:color w:val="000000" w:themeColor="text1"/>
          <w:lang w:val="it-IT"/>
        </w:rPr>
      </w:pPr>
      <m:oMath>
        <m:r>
          <m:rPr>
            <m:sty m:val="bi"/>
          </m:rPr>
          <w:rPr>
            <w:rFonts w:ascii="Cambria Math" w:eastAsiaTheme="majorEastAsia" w:hAnsi="Cambria Math" w:cstheme="majorBidi"/>
            <w:color w:val="000000" w:themeColor="text1"/>
            <w:lang w:val="en-GB"/>
          </w:rPr>
          <m:t>L</m:t>
        </m:r>
      </m:oMath>
      <w:r>
        <w:rPr>
          <w:rFonts w:asciiTheme="majorHAnsi" w:eastAsiaTheme="majorEastAsia" w:hAnsiTheme="majorHAnsi" w:cstheme="majorBidi"/>
          <w:b/>
          <w:bCs/>
          <w:color w:val="000000" w:themeColor="text1"/>
          <w:lang w:val="it-IT"/>
        </w:rPr>
        <w:t>è la lunghezza della finestra di input,</w:t>
      </w:r>
    </w:p>
    <w:p w14:paraId="167E6C29" w14:textId="77777777" w:rsidR="00641FAD" w:rsidRPr="00EF0A3F" w:rsidRDefault="00641FAD" w:rsidP="008242CC">
      <w:pPr>
        <w:numPr>
          <w:ilvl w:val="0"/>
          <w:numId w:val="38"/>
        </w:numPr>
        <w:rPr>
          <w:rFonts w:asciiTheme="majorHAnsi" w:eastAsiaTheme="majorEastAsia" w:hAnsiTheme="majorHAnsi" w:cstheme="majorBidi"/>
          <w:b/>
          <w:bCs/>
          <w:color w:val="000000" w:themeColor="text1"/>
          <w:lang w:val="en-GB"/>
        </w:rPr>
      </w:pPr>
      <m:oMath>
        <m:r>
          <m:rPr>
            <m:sty m:val="bi"/>
          </m:rPr>
          <w:rPr>
            <w:rFonts w:ascii="Cambria Math" w:eastAsiaTheme="majorEastAsia" w:hAnsi="Cambria Math" w:cstheme="majorBidi"/>
            <w:color w:val="000000" w:themeColor="text1"/>
            <w:lang w:val="en-GB"/>
          </w:rPr>
          <m:t>H</m:t>
        </m:r>
      </m:oMath>
      <w:r>
        <w:rPr>
          <w:rFonts w:asciiTheme="majorHAnsi" w:eastAsiaTheme="majorEastAsia" w:hAnsiTheme="majorHAnsi" w:cstheme="majorBidi"/>
          <w:b/>
          <w:bCs/>
          <w:color w:val="000000" w:themeColor="text1"/>
          <w:lang w:val="en-GB"/>
        </w:rPr>
        <w:t>è l'orizzonte di forecast,</w:t>
      </w:r>
    </w:p>
    <w:p w14:paraId="0B082E13" w14:textId="77777777" w:rsidR="00641FAD" w:rsidRPr="00254204" w:rsidRDefault="00C0462E" w:rsidP="008242CC">
      <w:pPr>
        <w:numPr>
          <w:ilvl w:val="0"/>
          <w:numId w:val="38"/>
        </w:numPr>
        <w:rPr>
          <w:rFonts w:asciiTheme="majorHAnsi" w:eastAsiaTheme="majorEastAsia" w:hAnsiTheme="majorHAnsi" w:cstheme="majorBidi"/>
          <w:b/>
          <w:bCs/>
          <w:color w:val="000000" w:themeColor="text1"/>
          <w:lang w:val="it-IT"/>
        </w:rPr>
      </w:pPr>
      <m:oMath>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F</m:t>
            </m:r>
          </m:e>
          <m:sub>
            <m:r>
              <m:rPr>
                <m:sty m:val="bi"/>
              </m:rPr>
              <w:rPr>
                <w:rFonts w:ascii="Cambria Math" w:eastAsiaTheme="majorEastAsia" w:hAnsi="Cambria Math" w:cstheme="majorBidi"/>
                <w:color w:val="000000" w:themeColor="text1"/>
                <w:lang w:val="en-GB"/>
              </w:rPr>
              <m:t>θ</m:t>
            </m:r>
          </m:sub>
        </m:sSub>
      </m:oMath>
      <w:r w:rsidR="00383D83">
        <w:rPr>
          <w:rFonts w:asciiTheme="majorHAnsi" w:eastAsiaTheme="majorEastAsia" w:hAnsiTheme="majorHAnsi" w:cstheme="majorBidi"/>
          <w:b/>
          <w:bCs/>
          <w:color w:val="000000" w:themeColor="text1"/>
          <w:lang w:val="it-IT"/>
        </w:rPr>
        <w:t>è la rete neurale NBEATS.</w:t>
      </w:r>
    </w:p>
    <w:p w14:paraId="53DC45D3"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en-GB"/>
        </w:rPr>
        <w:t>Nel percorso Darts attivo:</w:t>
      </w:r>
    </w:p>
    <w:p w14:paraId="446F8EF6" w14:textId="77777777" w:rsidR="00641FAD" w:rsidRPr="00254204" w:rsidRDefault="00641FAD" w:rsidP="008242CC">
      <w:pPr>
        <w:numPr>
          <w:ilvl w:val="0"/>
          <w:numId w:val="39"/>
        </w:num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la rete lavora direttamente sulla sequenza dei rendimenti osservati;</w:t>
      </w:r>
    </w:p>
    <w:p w14:paraId="06CC4F02" w14:textId="77777777" w:rsidR="00641FAD" w:rsidRPr="00122D14" w:rsidRDefault="00641FAD" w:rsidP="008242CC">
      <w:pPr>
        <w:numPr>
          <w:ilvl w:val="0"/>
          <w:numId w:val="39"/>
        </w:num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lunghezza della finestra di input pari al massimo fra 80 e l'orizzonte operativo H;</w:t>
      </w:r>
    </w:p>
    <w:p w14:paraId="66FFB8D2" w14:textId="77777777" w:rsidR="00641FAD" w:rsidRPr="00122D14" w:rsidRDefault="00641FAD" w:rsidP="008242CC">
      <w:pPr>
        <w:numPr>
          <w:ilvl w:val="0"/>
          <w:numId w:val="39"/>
        </w:num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lunghezza della finestra di output pari all'orizzonte operativo H.</w:t>
      </w:r>
    </w:p>
    <w:p w14:paraId="7B6239DC"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lastRenderedPageBreak/>
        <w:t>Il forecast del prezzo è ottenuto sommando i rendimenti previsti:</w:t>
      </w:r>
    </w:p>
    <w:p w14:paraId="0252AA81" w14:textId="77777777" w:rsidR="00641FAD" w:rsidRPr="00254204" w:rsidRDefault="00C0462E" w:rsidP="00641FAD">
      <w:pPr>
        <w:rPr>
          <w:rFonts w:asciiTheme="majorHAnsi" w:eastAsiaTheme="majorEastAsia" w:hAnsiTheme="majorHAnsi" w:cstheme="majorBidi"/>
          <w:b/>
          <w:bCs/>
          <w:color w:val="000000" w:themeColor="text1"/>
          <w:lang w:val="it-IT"/>
        </w:rPr>
      </w:pPr>
      <m:oMathPara>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r>
            <m:rPr>
              <m:sty m:val="bi"/>
            </m:rPr>
            <w:rPr>
              <w:rFonts w:ascii="Cambria Math" w:eastAsiaTheme="majorEastAsia" w:hAnsi="Cambria Math" w:cstheme="majorBidi"/>
              <w:color w:val="000000" w:themeColor="text1"/>
              <w:lang w:val="it-IT"/>
            </w:rPr>
            <m:t>=</m:t>
          </m:r>
          <m:nary>
            <m:naryPr>
              <m:chr m:val="∑"/>
              <m:limLoc m:val="undOvr"/>
              <m:grow m:val="1"/>
              <m:ctrlPr>
                <w:rPr>
                  <w:rFonts w:ascii="Cambria Math" w:eastAsiaTheme="majorEastAsia" w:hAnsi="Cambria Math" w:cstheme="majorBidi"/>
                  <w:b/>
                  <w:bCs/>
                  <w:color w:val="000000" w:themeColor="text1"/>
                  <w:lang w:val="en-GB"/>
                </w:rPr>
              </m:ctrlPr>
            </m:naryPr>
            <m:sub>
              <m:r>
                <m:rPr>
                  <m:sty m:val="bi"/>
                </m:rPr>
                <w:rPr>
                  <w:rFonts w:ascii="Cambria Math" w:eastAsiaTheme="majorEastAsia" w:hAnsi="Cambria Math" w:cstheme="majorBidi"/>
                  <w:color w:val="000000" w:themeColor="text1"/>
                  <w:lang w:val="en-GB"/>
                </w:rPr>
                <m:t>h</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1</m:t>
              </m:r>
            </m:sub>
            <m:sup>
              <m:r>
                <m:rPr>
                  <m:sty m:val="bi"/>
                </m:rPr>
                <w:rPr>
                  <w:rFonts w:ascii="Cambria Math" w:eastAsiaTheme="majorEastAsia" w:hAnsi="Cambria Math" w:cstheme="majorBidi"/>
                  <w:color w:val="000000" w:themeColor="text1"/>
                  <w:lang w:val="en-GB"/>
                </w:rPr>
                <m:t>H</m:t>
              </m:r>
            </m:sup>
            <m:e>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e>
          </m:nary>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P</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r>
            <m:rPr>
              <m:sty m:val="bi"/>
            </m:rPr>
            <w:rPr>
              <w:rFonts w:ascii="Cambria Math" w:eastAsiaTheme="majorEastAsia" w:hAnsi="Cambria Math" w:cstheme="majorBidi"/>
              <w:color w:val="000000" w:themeColor="text1"/>
              <w:lang w:val="it-IT"/>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P</m:t>
              </m:r>
            </m:e>
            <m:sub>
              <m:r>
                <m:rPr>
                  <m:sty m:val="bi"/>
                </m:rPr>
                <w:rPr>
                  <w:rFonts w:ascii="Cambria Math" w:eastAsiaTheme="majorEastAsia" w:hAnsi="Cambria Math" w:cstheme="majorBidi"/>
                  <w:color w:val="000000" w:themeColor="text1"/>
                  <w:lang w:val="en-GB"/>
                </w:rPr>
                <m:t>t</m:t>
              </m:r>
            </m:sub>
          </m:sSub>
          <m:r>
            <m:rPr>
              <m:nor/>
            </m:rPr>
            <w:rPr>
              <w:rFonts w:asciiTheme="majorHAnsi" w:eastAsiaTheme="majorEastAsia" w:hAnsiTheme="majorHAnsi" w:cstheme="majorBidi"/>
              <w:b/>
              <w:bCs/>
              <w:color w:val="000000" w:themeColor="text1"/>
              <w:lang w:val="it-IT"/>
            </w:rPr>
            <m:t> </m:t>
          </m:r>
          <m:sSup>
            <m:sSupPr>
              <m:ctrlPr>
                <w:rPr>
                  <w:rFonts w:ascii="Cambria Math" w:eastAsiaTheme="majorEastAsia" w:hAnsi="Cambria Math" w:cstheme="majorBidi"/>
                  <w:b/>
                  <w:bCs/>
                  <w:color w:val="000000" w:themeColor="text1"/>
                  <w:lang w:val="en-GB"/>
                </w:rPr>
              </m:ctrlPr>
            </m:sSupPr>
            <m:e>
              <m:r>
                <m:rPr>
                  <m:sty m:val="bi"/>
                </m:rPr>
                <w:rPr>
                  <w:rFonts w:ascii="Cambria Math" w:eastAsiaTheme="majorEastAsia" w:hAnsi="Cambria Math" w:cstheme="majorBidi"/>
                  <w:color w:val="000000" w:themeColor="text1"/>
                  <w:lang w:val="en-GB"/>
                </w:rPr>
                <m:t>e</m:t>
              </m:r>
            </m:e>
            <m:sup>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m:t>
                  </m:r>
                  <m:r>
                    <m:rPr>
                      <m:sty m:val="bi"/>
                    </m:rPr>
                    <w:rPr>
                      <w:rFonts w:ascii="Cambria Math" w:eastAsiaTheme="majorEastAsia" w:hAnsi="Cambria Math" w:cstheme="majorBidi"/>
                      <w:color w:val="000000" w:themeColor="text1"/>
                      <w:lang w:val="it-IT"/>
                    </w:rPr>
                    <m:t>,</m:t>
                  </m:r>
                  <m:r>
                    <m:rPr>
                      <m:sty m:val="bi"/>
                    </m:rPr>
                    <w:rPr>
                      <w:rFonts w:ascii="Cambria Math" w:eastAsiaTheme="majorEastAsia" w:hAnsi="Cambria Math" w:cstheme="majorBidi"/>
                      <w:color w:val="000000" w:themeColor="text1"/>
                      <w:lang w:val="en-GB"/>
                    </w:rPr>
                    <m:t>H</m:t>
                  </m:r>
                </m:sub>
              </m:sSub>
            </m:sup>
          </m:sSup>
          <m:r>
            <m:rPr>
              <m:sty m:val="p"/>
            </m:rPr>
            <w:rPr>
              <w:rFonts w:asciiTheme="majorHAnsi" w:eastAsiaTheme="majorEastAsia" w:hAnsiTheme="majorHAnsi" w:cstheme="majorBidi"/>
              <w:color w:val="000000" w:themeColor="text1"/>
              <w:lang w:val="it-IT"/>
            </w:rPr>
            <w:br/>
          </m:r>
        </m:oMath>
      </m:oMathPara>
    </w:p>
    <w:p w14:paraId="3863DAD3"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Anche qui il cumulato è limitato per stabilità numerica:</w:t>
      </w:r>
    </w:p>
    <w:p w14:paraId="69CEA0D3"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t,H</m:t>
              </m:r>
            </m:sub>
          </m:sSub>
          <m:r>
            <m:rPr>
              <m:sty m:val="bi"/>
            </m:rPr>
            <w:rPr>
              <w:rFonts w:ascii="Cambria Math" w:eastAsiaTheme="majorEastAsia" w:hAnsi="Cambria Math" w:cstheme="majorBidi"/>
              <w:color w:val="000000" w:themeColor="text1"/>
              <w:lang w:val="en-GB"/>
            </w:rPr>
            <m:t>←</m:t>
          </m:r>
          <m:r>
            <m:rPr>
              <m:sty m:val="b"/>
            </m:rPr>
            <w:rPr>
              <w:rFonts w:ascii="Cambria Math" w:eastAsiaTheme="majorEastAsia" w:hAnsi="Cambria Math" w:cstheme="majorBidi"/>
              <w:color w:val="000000" w:themeColor="text1"/>
              <w:lang w:val="en-GB"/>
            </w:rPr>
            <m:t>clip</m:t>
          </m:r>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t,H</m:t>
              </m:r>
            </m:sub>
          </m:sSub>
          <m:r>
            <m:rPr>
              <m:sty m:val="bi"/>
            </m:rPr>
            <w:rPr>
              <w:rFonts w:ascii="Cambria Math" w:eastAsiaTheme="majorEastAsia" w:hAnsi="Cambria Math" w:cstheme="majorBidi"/>
              <w:color w:val="000000" w:themeColor="text1"/>
              <w:lang w:val="en-GB"/>
            </w:rPr>
            <m:t>,-20,20)</m:t>
          </m:r>
          <m:r>
            <m:rPr>
              <m:sty m:val="p"/>
            </m:rPr>
            <w:rPr>
              <w:rFonts w:ascii="Cambria Math" w:eastAsiaTheme="majorEastAsia" w:hAnsi="Cambria Math" w:cstheme="majorBidi"/>
              <w:color w:val="000000" w:themeColor="text1"/>
              <w:lang w:val="en-GB"/>
            </w:rPr>
            <w:br/>
          </m:r>
        </m:oMath>
      </m:oMathPara>
    </w:p>
    <w:p w14:paraId="36FCBD22" w14:textId="77777777" w:rsidR="00641FAD" w:rsidRPr="00EF0A3F" w:rsidRDefault="00641FAD" w:rsidP="00641FAD">
      <w:pPr>
        <w:rPr>
          <w:rFonts w:asciiTheme="majorHAnsi" w:eastAsiaTheme="majorEastAsia" w:hAnsiTheme="majorHAnsi" w:cstheme="majorBidi"/>
          <w:b/>
          <w:bCs/>
          <w:color w:val="000000" w:themeColor="text1"/>
          <w:lang w:val="en-GB"/>
        </w:rPr>
      </w:pPr>
      <w:r>
        <w:rPr>
          <w:rFonts w:asciiTheme="majorHAnsi" w:eastAsiaTheme="majorEastAsia" w:hAnsiTheme="majorHAnsi" w:cstheme="majorBidi"/>
          <w:b/>
          <w:bCs/>
          <w:color w:val="000000" w:themeColor="text1"/>
          <w:lang w:val="it-IT"/>
        </w:rPr>
        <w:t xml:space="preserve">Se il backend Darts non è disponibile, il codice usa un fallback MLP, che resta comunque nel dominio dei log-return. </w:t>
      </w:r>
      <w:r>
        <w:rPr>
          <w:rFonts w:asciiTheme="majorHAnsi" w:eastAsiaTheme="majorEastAsia" w:hAnsiTheme="majorHAnsi" w:cstheme="majorBidi"/>
          <w:b/>
          <w:bCs/>
          <w:color w:val="000000" w:themeColor="text1"/>
          <w:lang w:val="en-GB"/>
        </w:rPr>
        <w:t>In quel caso il modello approssima una funzione</w:t>
      </w:r>
    </w:p>
    <w:p w14:paraId="18F08C35" w14:textId="77777777" w:rsidR="00641FAD" w:rsidRPr="00EF0A3F" w:rsidRDefault="00C0462E" w:rsidP="00641FAD">
      <w:pPr>
        <w:rPr>
          <w:rFonts w:asciiTheme="majorHAnsi" w:eastAsiaTheme="majorEastAsia" w:hAnsiTheme="majorHAnsi" w:cstheme="majorBidi"/>
          <w:b/>
          <w:bCs/>
          <w:color w:val="000000" w:themeColor="text1"/>
          <w:lang w:val="en-GB"/>
        </w:rPr>
      </w:pPr>
      <m:oMathPara>
        <m:oMath>
          <m:sSub>
            <m:sSubPr>
              <m:ctrlPr>
                <w:rPr>
                  <w:rFonts w:ascii="Cambria Math" w:eastAsiaTheme="majorEastAsia" w:hAnsi="Cambria Math" w:cstheme="majorBidi"/>
                  <w:b/>
                  <w:bCs/>
                  <w:color w:val="000000" w:themeColor="text1"/>
                  <w:lang w:val="en-GB"/>
                </w:rPr>
              </m:ctrlPr>
            </m:sSubPr>
            <m:e>
              <m:acc>
                <m:accPr>
                  <m:ctrlPr>
                    <w:rPr>
                      <w:rFonts w:ascii="Cambria Math" w:eastAsiaTheme="majorEastAsia" w:hAnsi="Cambria Math" w:cstheme="majorBidi"/>
                      <w:b/>
                      <w:bCs/>
                      <w:color w:val="000000" w:themeColor="text1"/>
                      <w:lang w:val="en-GB"/>
                    </w:rPr>
                  </m:ctrlPr>
                </m:accPr>
                <m:e>
                  <m:r>
                    <m:rPr>
                      <m:sty m:val="bi"/>
                    </m:rPr>
                    <w:rPr>
                      <w:rFonts w:ascii="Cambria Math" w:eastAsiaTheme="majorEastAsia" w:hAnsi="Cambria Math" w:cstheme="majorBidi"/>
                      <w:color w:val="000000" w:themeColor="text1"/>
                      <w:lang w:val="en-GB"/>
                    </w:rPr>
                    <m:t>r</m:t>
                  </m:r>
                </m:e>
              </m:acc>
            </m:e>
            <m:sub>
              <m:r>
                <m:rPr>
                  <m:sty m:val="bi"/>
                </m:rPr>
                <w:rPr>
                  <w:rFonts w:ascii="Cambria Math" w:eastAsiaTheme="majorEastAsia" w:hAnsi="Cambria Math" w:cstheme="majorBidi"/>
                  <w:color w:val="000000" w:themeColor="text1"/>
                  <w:lang w:val="en-GB"/>
                </w:rPr>
                <m:t>t+1</m:t>
              </m:r>
            </m:sub>
          </m:sSub>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g</m:t>
              </m:r>
            </m:e>
            <m:sub>
              <m:r>
                <m:rPr>
                  <m:sty m:val="bi"/>
                </m:rPr>
                <w:rPr>
                  <w:rFonts w:ascii="Cambria Math" w:eastAsiaTheme="majorEastAsia" w:hAnsi="Cambria Math" w:cstheme="majorBidi"/>
                  <w:color w:val="000000" w:themeColor="text1"/>
                  <w:lang w:val="en-GB"/>
                </w:rPr>
                <m:t>θ</m:t>
              </m:r>
            </m:sub>
          </m:sSub>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r</m:t>
              </m:r>
            </m:e>
            <m:sub>
              <m:r>
                <m:rPr>
                  <m:sty m:val="bi"/>
                </m:rPr>
                <w:rPr>
                  <w:rFonts w:ascii="Cambria Math" w:eastAsiaTheme="majorEastAsia" w:hAnsi="Cambria Math" w:cstheme="majorBidi"/>
                  <w:color w:val="000000" w:themeColor="text1"/>
                  <w:lang w:val="en-GB"/>
                </w:rPr>
                <m:t>t-L+1</m:t>
              </m:r>
            </m:sub>
          </m:sSub>
          <m:r>
            <m:rPr>
              <m:sty m:val="bi"/>
            </m:rPr>
            <w:rPr>
              <w:rFonts w:ascii="Cambria Math" w:eastAsiaTheme="majorEastAsia" w:hAnsi="Cambria Math" w:cstheme="majorBidi"/>
              <w:color w:val="000000" w:themeColor="text1"/>
              <w:lang w:val="en-GB"/>
            </w:rPr>
            <m:t>,…,</m:t>
          </m:r>
          <m:sSub>
            <m:sSubPr>
              <m:ctrlPr>
                <w:rPr>
                  <w:rFonts w:ascii="Cambria Math" w:eastAsiaTheme="majorEastAsia" w:hAnsi="Cambria Math" w:cstheme="majorBidi"/>
                  <w:b/>
                  <w:bCs/>
                  <w:color w:val="000000" w:themeColor="text1"/>
                  <w:lang w:val="en-GB"/>
                </w:rPr>
              </m:ctrlPr>
            </m:sSubPr>
            <m:e>
              <m:r>
                <m:rPr>
                  <m:sty m:val="bi"/>
                </m:rPr>
                <w:rPr>
                  <w:rFonts w:ascii="Cambria Math" w:eastAsiaTheme="majorEastAsia" w:hAnsi="Cambria Math" w:cstheme="majorBidi"/>
                  <w:color w:val="000000" w:themeColor="text1"/>
                  <w:lang w:val="en-GB"/>
                </w:rPr>
                <m:t>r</m:t>
              </m:r>
            </m:e>
            <m:sub>
              <m:r>
                <m:rPr>
                  <m:sty m:val="bi"/>
                </m:rPr>
                <w:rPr>
                  <w:rFonts w:ascii="Cambria Math" w:eastAsiaTheme="majorEastAsia" w:hAnsi="Cambria Math" w:cstheme="majorBidi"/>
                  <w:color w:val="000000" w:themeColor="text1"/>
                  <w:lang w:val="en-GB"/>
                </w:rPr>
                <m:t>t</m:t>
              </m:r>
            </m:sub>
          </m:sSub>
          <m:r>
            <m:rPr>
              <m:sty m:val="bi"/>
            </m:rPr>
            <w:rPr>
              <w:rFonts w:ascii="Cambria Math" w:eastAsiaTheme="majorEastAsia" w:hAnsi="Cambria Math" w:cstheme="majorBidi"/>
              <w:color w:val="000000" w:themeColor="text1"/>
              <w:lang w:val="en-GB"/>
            </w:rPr>
            <m:t>)</m:t>
          </m:r>
          <m:r>
            <m:rPr>
              <m:sty m:val="p"/>
            </m:rPr>
            <w:rPr>
              <w:rFonts w:ascii="Cambria Math" w:eastAsiaTheme="majorEastAsia" w:hAnsi="Cambria Math" w:cstheme="majorBidi"/>
              <w:color w:val="000000" w:themeColor="text1"/>
              <w:lang w:val="en-GB"/>
            </w:rPr>
            <w:br/>
          </m:r>
        </m:oMath>
      </m:oMathPara>
    </w:p>
    <w:p w14:paraId="5F3F9256" w14:textId="77777777" w:rsidR="00641FAD" w:rsidRPr="00254204" w:rsidRDefault="00641FAD" w:rsidP="00641FAD">
      <w:pPr>
        <w:rPr>
          <w:rFonts w:asciiTheme="majorHAnsi" w:eastAsiaTheme="majorEastAsia" w:hAnsiTheme="majorHAnsi" w:cstheme="majorBidi"/>
          <w:b/>
          <w:bCs/>
          <w:color w:val="000000" w:themeColor="text1"/>
          <w:lang w:val="it-IT"/>
        </w:rPr>
      </w:pPr>
      <w:r>
        <w:rPr>
          <w:rFonts w:asciiTheme="majorHAnsi" w:eastAsiaTheme="majorEastAsia" w:hAnsiTheme="majorHAnsi" w:cstheme="majorBidi"/>
          <w:b/>
          <w:bCs/>
          <w:color w:val="000000" w:themeColor="text1"/>
          <w:lang w:val="it-IT"/>
        </w:rPr>
        <w:t>e il multi-step viene costruito iterativamente, aggiornando la finestra con ogni previsione successiva.</w:t>
      </w:r>
    </w:p>
    <w:p w14:paraId="24DDD937" w14:textId="77777777" w:rsidR="000854B7" w:rsidRDefault="00C0462E">
      <w:r>
        <w:pict w14:anchorId="1367C4F9">
          <v:rect id="_x0000_i1036" style="width:0;height:1.5pt" o:hralign="center" o:hrstd="t" o:hr="t"/>
        </w:pict>
      </w:r>
    </w:p>
    <w:p w14:paraId="6DE2E300" w14:textId="77777777" w:rsidR="000854B7" w:rsidRPr="00BE3538" w:rsidRDefault="008242CC">
      <w:pPr>
        <w:pStyle w:val="Heading1"/>
        <w:rPr>
          <w:lang w:val="it-IT"/>
        </w:rPr>
      </w:pPr>
      <w:bookmarkStart w:id="65" w:name="routing-di-frequenza-e-cap-della-storia"/>
      <w:bookmarkStart w:id="66" w:name="_Toc236387240"/>
      <w:bookmarkEnd w:id="51"/>
      <w:bookmarkEnd w:id="57"/>
      <w:r>
        <w:rPr>
          <w:lang w:val="it-IT"/>
        </w:rPr>
        <w:t>8. Routing di frequenza e cap della storia</w:t>
      </w:r>
      <w:bookmarkEnd w:id="66"/>
    </w:p>
    <w:p w14:paraId="342B76E7" w14:textId="77777777" w:rsidR="000854B7" w:rsidRPr="00BE3538" w:rsidRDefault="008242CC">
      <w:pPr>
        <w:pStyle w:val="Heading2"/>
        <w:rPr>
          <w:lang w:val="it-IT"/>
        </w:rPr>
      </w:pPr>
      <w:bookmarkStart w:id="67" w:name="_Toc236387241"/>
      <w:r>
        <w:rPr>
          <w:lang w:val="it-IT"/>
        </w:rPr>
        <w:t>8.1 Regola di frequenza desiderata per regime</w:t>
      </w:r>
      <w:bookmarkEnd w:id="67"/>
    </w:p>
    <w:p w14:paraId="027D5829" w14:textId="77777777" w:rsidR="00035F7E" w:rsidRDefault="008242CC">
      <w:pPr>
        <w:rPr>
          <w:lang w:val="it-IT"/>
        </w:rPr>
      </w:pPr>
      <w:r>
        <w:rPr>
          <w:lang w:val="it-IT"/>
        </w:rPr>
        <w:t>La preferenza di regime è: short → daily, medium → weekly, long → monthly. Questa è solo una preferenza di livello regime, non una regola uniforme per tutti i modelli.</w:t>
      </w:r>
    </w:p>
    <w:p w14:paraId="1DABC103" w14:textId="77777777" w:rsidR="00035F7E" w:rsidRDefault="008242CC">
      <w:pPr>
        <w:rPr>
          <w:lang w:val="it-IT"/>
        </w:rPr>
      </w:pPr>
      <w:r>
        <w:rPr>
          <w:lang w:val="it-IT"/>
        </w:rPr>
        <w:t>L’esecuzione effettiva usa un ordine di frequenze candidato specifico per modello e regime:</w:t>
      </w:r>
    </w:p>
    <w:p w14:paraId="611858B2" w14:textId="77777777" w:rsidR="00035F7E" w:rsidRPr="00122D14" w:rsidRDefault="008242CC">
      <w:pPr>
        <w:rPr>
          <w:lang w:val="en-GB"/>
        </w:rPr>
      </w:pPr>
      <w:r>
        <w:rPr>
          <w:lang w:val="en-GB"/>
        </w:rPr>
        <w:t>SARIMA: short [daily], medium [weekly, daily], long non ammesso.</w:t>
      </w:r>
    </w:p>
    <w:p w14:paraId="7E0F95E1" w14:textId="77777777" w:rsidR="00035F7E" w:rsidRPr="00122D14" w:rsidRDefault="008242CC">
      <w:pPr>
        <w:rPr>
          <w:lang w:val="en-GB"/>
        </w:rPr>
      </w:pPr>
      <w:r>
        <w:rPr>
          <w:lang w:val="en-GB"/>
        </w:rPr>
        <w:t>LightGBM: short [daily], medium [daily, weekly], long non ammesso.</w:t>
      </w:r>
    </w:p>
    <w:p w14:paraId="36F5C430" w14:textId="77777777" w:rsidR="00035F7E" w:rsidRPr="00122D14" w:rsidRDefault="008242CC">
      <w:pPr>
        <w:rPr>
          <w:lang w:val="en-GB"/>
        </w:rPr>
      </w:pPr>
      <w:r>
        <w:rPr>
          <w:lang w:val="en-GB"/>
        </w:rPr>
        <w:t>CatBoost: short [daily], medium [daily, weekly], long non ammesso.</w:t>
      </w:r>
    </w:p>
    <w:p w14:paraId="0D742B33" w14:textId="77777777" w:rsidR="00035F7E" w:rsidRPr="00122D14" w:rsidRDefault="008242CC">
      <w:pPr>
        <w:rPr>
          <w:lang w:val="en-GB"/>
        </w:rPr>
      </w:pPr>
      <w:r>
        <w:rPr>
          <w:lang w:val="en-GB"/>
        </w:rPr>
        <w:t>NBEATS: short [daily], medium [weekly, daily], long [weekly, daily].</w:t>
      </w:r>
    </w:p>
    <w:p w14:paraId="3CA9FB20" w14:textId="77777777" w:rsidR="00035F7E" w:rsidRPr="00122D14" w:rsidRDefault="008242CC">
      <w:pPr>
        <w:rPr>
          <w:lang w:val="en-GB"/>
        </w:rPr>
      </w:pPr>
      <w:r>
        <w:rPr>
          <w:lang w:val="en-GB"/>
        </w:rPr>
        <w:t>Prophet: short [daily], medium [weekly, daily], long [monthly, weekly, daily].</w:t>
      </w:r>
    </w:p>
    <w:p w14:paraId="6013CBEC" w14:textId="77777777" w:rsidR="00035F7E" w:rsidRPr="00122D14" w:rsidRDefault="008242CC">
      <w:pPr>
        <w:rPr>
          <w:lang w:val="en-GB"/>
        </w:rPr>
      </w:pPr>
      <w:r>
        <w:rPr>
          <w:lang w:val="en-GB"/>
        </w:rPr>
        <w:t>TBATS: short [daily], medium [weekly, daily], long [monthly, weekly, daily].</w:t>
      </w:r>
    </w:p>
    <w:p w14:paraId="7282F9A5" w14:textId="77777777" w:rsidR="00035F7E" w:rsidRPr="00122D14" w:rsidRDefault="008242CC">
      <w:pPr>
        <w:rPr>
          <w:lang w:val="en-GB"/>
        </w:rPr>
      </w:pPr>
      <w:r>
        <w:rPr>
          <w:lang w:val="en-GB"/>
        </w:rPr>
        <w:t>ETS: short [daily], medium [weekly, daily], long [monthly, weekly, daily].</w:t>
      </w:r>
    </w:p>
    <w:p w14:paraId="25B011C6" w14:textId="77777777" w:rsidR="00035F7E" w:rsidRPr="00122D14" w:rsidRDefault="008242CC">
      <w:pPr>
        <w:rPr>
          <w:lang w:val="en-GB"/>
        </w:rPr>
      </w:pPr>
      <w:r>
        <w:rPr>
          <w:lang w:val="en-GB"/>
        </w:rPr>
        <w:t>Theta: short [daily], medium [weekly, daily], long [monthly, weekly, daily].</w:t>
      </w:r>
    </w:p>
    <w:p w14:paraId="6EA6A2E2" w14:textId="77777777" w:rsidR="00035F7E" w:rsidRDefault="008242CC">
      <w:pPr>
        <w:rPr>
          <w:lang w:val="it-IT"/>
        </w:rPr>
      </w:pPr>
      <w:r>
        <w:rPr>
          <w:lang w:val="it-IT"/>
        </w:rPr>
        <w:t>La selezione della frequenza verifica il numero minimo di osservazioni dopo il resampling e, se insufficiente, ricade sulla frequenza candidata successiva nell’ordine.</w:t>
      </w:r>
    </w:p>
    <w:p w14:paraId="09C39CA9" w14:textId="77777777" w:rsidR="00035F7E" w:rsidRDefault="00035F7E">
      <w:pPr>
        <w:rPr>
          <w:lang w:val="it-IT"/>
        </w:rPr>
      </w:pPr>
    </w:p>
    <w:tbl>
      <w:tblPr>
        <w:tblW w:w="0" w:type="auto"/>
        <w:tblCellSpacing w:w="15" w:type="dxa"/>
        <w:tblCellMar>
          <w:left w:w="0" w:type="dxa"/>
          <w:right w:w="0" w:type="dxa"/>
        </w:tblCellMar>
        <w:tblLook w:val="04A0" w:firstRow="1" w:lastRow="0" w:firstColumn="1" w:lastColumn="0" w:noHBand="0" w:noVBand="1"/>
      </w:tblPr>
      <w:tblGrid>
        <w:gridCol w:w="1820"/>
        <w:gridCol w:w="2688"/>
      </w:tblGrid>
      <w:tr w:rsidR="00254204" w:rsidRPr="00254204" w14:paraId="1AD3FE1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5DA9E1" w14:textId="77777777" w:rsidR="00254204" w:rsidRPr="00254204" w:rsidRDefault="00254204" w:rsidP="00254204">
            <w:pPr>
              <w:pStyle w:val="BodyText"/>
              <w:rPr>
                <w:lang w:val="en-GB"/>
              </w:rPr>
            </w:pPr>
            <w:r>
              <w:rPr>
                <w:b/>
                <w:bCs/>
                <w:lang w:val="en-GB"/>
              </w:rPr>
              <w:t>Regime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4AF635" w14:textId="77777777" w:rsidR="00254204" w:rsidRPr="00254204" w:rsidRDefault="00254204" w:rsidP="00254204">
            <w:pPr>
              <w:pStyle w:val="BodyText"/>
              <w:rPr>
                <w:lang w:val="en-GB"/>
              </w:rPr>
            </w:pPr>
            <w:r>
              <w:rPr>
                <w:b/>
                <w:bCs/>
                <w:lang w:val="en-GB"/>
              </w:rPr>
              <w:t>Frequenza Desiderata</w:t>
            </w:r>
          </w:p>
        </w:tc>
      </w:tr>
      <w:tr w:rsidR="00254204" w:rsidRPr="00254204" w14:paraId="3618F4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C7599F" w14:textId="77777777" w:rsidR="00254204" w:rsidRPr="00254204" w:rsidRDefault="00254204" w:rsidP="00254204">
            <w:pPr>
              <w:pStyle w:val="BodyText"/>
              <w:rPr>
                <w:lang w:val="en-GB"/>
              </w:rPr>
            </w:pPr>
            <w:r>
              <w:rPr>
                <w:b/>
                <w:bCs/>
                <w:lang w:val="en-GB"/>
              </w:rPr>
              <w:t>Short Term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C61B7A" w14:textId="77777777" w:rsidR="00254204" w:rsidRPr="00254204" w:rsidRDefault="00254204" w:rsidP="00254204">
            <w:pPr>
              <w:pStyle w:val="BodyText"/>
              <w:rPr>
                <w:lang w:val="en-GB"/>
              </w:rPr>
            </w:pPr>
            <w:r>
              <w:rPr>
                <w:lang w:val="en-GB"/>
              </w:rPr>
              <w:t>Daily (Giornaliero)</w:t>
            </w:r>
          </w:p>
        </w:tc>
      </w:tr>
      <w:tr w:rsidR="00254204" w:rsidRPr="00254204" w14:paraId="2CDFB2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F9D7C" w14:textId="77777777" w:rsidR="00254204" w:rsidRPr="00254204" w:rsidRDefault="00254204" w:rsidP="00254204">
            <w:pPr>
              <w:pStyle w:val="BodyText"/>
              <w:rPr>
                <w:lang w:val="en-GB"/>
              </w:rPr>
            </w:pPr>
            <w:r>
              <w:rPr>
                <w:b/>
                <w:bCs/>
                <w:lang w:val="en-GB"/>
              </w:rPr>
              <w:t>Medium Term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F99BED" w14:textId="77777777" w:rsidR="00254204" w:rsidRPr="00254204" w:rsidRDefault="00254204" w:rsidP="00254204">
            <w:pPr>
              <w:pStyle w:val="BodyText"/>
              <w:rPr>
                <w:lang w:val="en-GB"/>
              </w:rPr>
            </w:pPr>
            <w:r>
              <w:rPr>
                <w:lang w:val="en-GB"/>
              </w:rPr>
              <w:t>Weekly (Settimanale)</w:t>
            </w:r>
          </w:p>
        </w:tc>
      </w:tr>
      <w:tr w:rsidR="00254204" w:rsidRPr="00254204" w14:paraId="47502C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E03A84" w14:textId="77777777" w:rsidR="00254204" w:rsidRPr="00254204" w:rsidRDefault="00254204" w:rsidP="00254204">
            <w:pPr>
              <w:pStyle w:val="BodyText"/>
              <w:rPr>
                <w:lang w:val="en-GB"/>
              </w:rPr>
            </w:pPr>
            <w:r>
              <w:rPr>
                <w:b/>
                <w:bCs/>
                <w:lang w:val="en-GB"/>
              </w:rPr>
              <w:t>Long Term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319C90" w14:textId="77777777" w:rsidR="00254204" w:rsidRPr="00254204" w:rsidRDefault="00254204" w:rsidP="00254204">
            <w:pPr>
              <w:pStyle w:val="BodyText"/>
              <w:rPr>
                <w:lang w:val="en-GB"/>
              </w:rPr>
            </w:pPr>
            <w:r>
              <w:rPr>
                <w:lang w:val="en-GB"/>
              </w:rPr>
              <w:t>Monthly (Mensile)</w:t>
            </w:r>
          </w:p>
        </w:tc>
      </w:tr>
    </w:tbl>
    <w:p w14:paraId="69C85C27" w14:textId="77777777" w:rsidR="00035F7E" w:rsidRDefault="008242CC">
      <w:pPr>
        <w:pStyle w:val="Heading2"/>
      </w:pPr>
      <w:bookmarkStart w:id="68" w:name="_Toc236387242"/>
      <w:r>
        <w:t>8.2 Frequenze native e resampling OHLCV</w:t>
      </w:r>
      <w:bookmarkEnd w:id="68"/>
    </w:p>
    <w:p w14:paraId="468437B5" w14:textId="77777777" w:rsidR="00035F7E" w:rsidRPr="00122D14" w:rsidRDefault="008242CC">
      <w:pPr>
        <w:rPr>
          <w:lang w:val="it-IT"/>
        </w:rPr>
      </w:pPr>
      <w:r>
        <w:rPr>
          <w:lang w:val="it-IT"/>
        </w:rPr>
        <w:t>Nel percorso di produzione basato su dataset cliente, ogni frequenza richiesta dal motore deve essere presente come frequenza nativa nel dataset validato.</w:t>
      </w:r>
    </w:p>
    <w:p w14:paraId="5959F80A" w14:textId="77777777" w:rsidR="00035F7E" w:rsidRDefault="008242CC">
      <w:r>
        <w:t>Le frequenze ammesse sono:</w:t>
      </w:r>
    </w:p>
    <w:p w14:paraId="6B8D76F0" w14:textId="77777777" w:rsidR="00035F7E" w:rsidRDefault="008242CC">
      <w:pPr>
        <w:numPr>
          <w:ilvl w:val="0"/>
          <w:numId w:val="1"/>
        </w:numPr>
      </w:pPr>
      <w:r>
        <w:t>• daily;</w:t>
      </w:r>
    </w:p>
    <w:p w14:paraId="2D18D731" w14:textId="77777777" w:rsidR="00035F7E" w:rsidRDefault="008242CC">
      <w:pPr>
        <w:numPr>
          <w:ilvl w:val="0"/>
          <w:numId w:val="1"/>
        </w:numPr>
      </w:pPr>
      <w:r>
        <w:t>• weekly;</w:t>
      </w:r>
    </w:p>
    <w:p w14:paraId="2D042BF9" w14:textId="77777777" w:rsidR="00035F7E" w:rsidRDefault="008242CC">
      <w:pPr>
        <w:numPr>
          <w:ilvl w:val="0"/>
          <w:numId w:val="1"/>
        </w:numPr>
      </w:pPr>
      <w:r>
        <w:t>• monthly.</w:t>
      </w:r>
    </w:p>
    <w:p w14:paraId="1417B9A4" w14:textId="77777777" w:rsidR="00035F7E" w:rsidRPr="00122D14" w:rsidRDefault="008242CC">
      <w:pPr>
        <w:rPr>
          <w:lang w:val="it-IT"/>
        </w:rPr>
      </w:pPr>
      <w:r>
        <w:rPr>
          <w:lang w:val="it-IT"/>
        </w:rPr>
        <w:t>Se una frequenza nativa richiesta non è disponibile, il sistema interrompe l’elaborazione e segnala esplicitamente che la frequenza richiesta non è presente nel dataset validato. Il percorso cliente non ricostruisce automaticamente una frequenza settimanale o mensile partendo dal file giornaliero.</w:t>
      </w:r>
    </w:p>
    <w:p w14:paraId="6D39754F" w14:textId="77777777" w:rsidR="00035F7E" w:rsidRPr="00122D14" w:rsidRDefault="008242CC">
      <w:pPr>
        <w:rPr>
          <w:lang w:val="it-IT"/>
        </w:rPr>
      </w:pPr>
      <w:r>
        <w:rPr>
          <w:lang w:val="it-IT"/>
        </w:rPr>
        <w:t>Il resampling OHLCV dai dati giornalieri resta disponibile esclusivamente nei percorsi offline, batch o legacy in cui la relativa sorgente e la configurazione lo consentono esplicitamente.</w:t>
      </w:r>
    </w:p>
    <w:p w14:paraId="50564265" w14:textId="77777777" w:rsidR="00035F7E" w:rsidRPr="00122D14" w:rsidRDefault="008242CC">
      <w:pPr>
        <w:rPr>
          <w:lang w:val="it-IT"/>
        </w:rPr>
      </w:pPr>
      <w:r>
        <w:rPr>
          <w:lang w:val="it-IT"/>
        </w:rPr>
        <w:t>Quando tale resampling viene effettivamente applicato, le regole sono:</w:t>
      </w:r>
    </w:p>
    <w:p w14:paraId="183E0FB6" w14:textId="77777777" w:rsidR="00035F7E" w:rsidRPr="00122D14" w:rsidRDefault="008242CC">
      <w:pPr>
        <w:numPr>
          <w:ilvl w:val="0"/>
          <w:numId w:val="1"/>
        </w:numPr>
        <w:rPr>
          <w:lang w:val="it-IT"/>
        </w:rPr>
      </w:pPr>
      <w:r>
        <w:rPr>
          <w:lang w:val="it-IT"/>
        </w:rPr>
        <w:t>• Open = primo valore del bucket;</w:t>
      </w:r>
    </w:p>
    <w:p w14:paraId="1FED65A0" w14:textId="77777777" w:rsidR="00035F7E" w:rsidRDefault="008242CC">
      <w:pPr>
        <w:numPr>
          <w:ilvl w:val="0"/>
          <w:numId w:val="1"/>
        </w:numPr>
      </w:pPr>
      <w:r>
        <w:t>• High = massimo del bucket;</w:t>
      </w:r>
    </w:p>
    <w:p w14:paraId="716080EA" w14:textId="77777777" w:rsidR="00035F7E" w:rsidRDefault="008242CC">
      <w:pPr>
        <w:numPr>
          <w:ilvl w:val="0"/>
          <w:numId w:val="1"/>
        </w:numPr>
      </w:pPr>
      <w:r>
        <w:t>• Low = minimo del bucket;</w:t>
      </w:r>
    </w:p>
    <w:p w14:paraId="1E3E9063" w14:textId="77777777" w:rsidR="00035F7E" w:rsidRPr="00122D14" w:rsidRDefault="008242CC">
      <w:pPr>
        <w:numPr>
          <w:ilvl w:val="0"/>
          <w:numId w:val="1"/>
        </w:numPr>
        <w:rPr>
          <w:lang w:val="it-IT"/>
        </w:rPr>
      </w:pPr>
      <w:r>
        <w:rPr>
          <w:lang w:val="it-IT"/>
        </w:rPr>
        <w:t>• Close = ultimo valore del bucket;</w:t>
      </w:r>
    </w:p>
    <w:p w14:paraId="6135F7B6" w14:textId="77777777" w:rsidR="00035F7E" w:rsidRDefault="008242CC">
      <w:pPr>
        <w:numPr>
          <w:ilvl w:val="0"/>
          <w:numId w:val="1"/>
        </w:numPr>
      </w:pPr>
      <w:r>
        <w:lastRenderedPageBreak/>
        <w:t>• Volume = somma del bucket.</w:t>
      </w:r>
    </w:p>
    <w:p w14:paraId="6E6CE179" w14:textId="77777777" w:rsidR="00035F7E" w:rsidRPr="00122D14" w:rsidRDefault="008242CC">
      <w:pPr>
        <w:rPr>
          <w:lang w:val="it-IT"/>
        </w:rPr>
      </w:pPr>
      <w:r>
        <w:rPr>
          <w:lang w:val="it-IT"/>
        </w:rPr>
        <w:t>Non descrivere il resampling da daily come comportamento generale del percorso di produzione cliente.</w:t>
      </w:r>
    </w:p>
    <w:p w14:paraId="6212CF6C" w14:textId="77777777" w:rsidR="000854B7" w:rsidRPr="00BE3538" w:rsidRDefault="008242CC">
      <w:pPr>
        <w:pStyle w:val="Heading2"/>
        <w:rPr>
          <w:lang w:val="it-IT"/>
        </w:rPr>
      </w:pPr>
      <w:bookmarkStart w:id="69" w:name="cap-della-storia-per-forecast-finale"/>
      <w:bookmarkStart w:id="70" w:name="_Toc236387243"/>
      <w:r>
        <w:rPr>
          <w:lang w:val="it-IT"/>
        </w:rPr>
        <w:t>8.3 Cap della storia per forecast finale</w:t>
      </w:r>
      <w:bookmarkEnd w:id="70"/>
    </w:p>
    <w:p w14:paraId="06AC54CE" w14:textId="77777777" w:rsidR="000854B7" w:rsidRPr="00BE3538" w:rsidRDefault="008242CC">
      <w:pPr>
        <w:pStyle w:val="FirstParagraph"/>
        <w:rPr>
          <w:lang w:val="it-IT"/>
        </w:rPr>
      </w:pPr>
      <w:r>
        <w:rPr>
          <w:lang w:val="it-IT"/>
        </w:rPr>
        <w:t>Per ogni coppia (modello, frequenza) esiste un target cap deterministico. Il numero effettivo di punti usati nel forecast finale è:</w:t>
      </w:r>
    </w:p>
    <w:p w14:paraId="1C3E0BE6" w14:textId="77777777" w:rsidR="000854B7" w:rsidRDefault="00C0462E">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eff</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min</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available</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target</m:t>
                      </m:r>
                    </m:sub>
                  </m:sSub>
                </m:e>
              </m:d>
            </m:e>
          </m:d>
        </m:oMath>
      </m:oMathPara>
    </w:p>
    <w:p w14:paraId="135B3EB7" w14:textId="77777777" w:rsidR="000854B7" w:rsidRPr="00BE3538" w:rsidRDefault="008242CC">
      <w:pPr>
        <w:pStyle w:val="FirstParagraph"/>
        <w:rPr>
          <w:lang w:val="it-IT"/>
        </w:rPr>
      </w:pPr>
      <w:r>
        <w:rPr>
          <w:lang w:val="it-IT"/>
        </w:rPr>
        <w:t>Questo evita sia finestre eccessivamente corte sia training set inutilmente lunghi.</w:t>
      </w:r>
    </w:p>
    <w:p w14:paraId="2E81A2E3" w14:textId="77777777" w:rsidR="000854B7" w:rsidRDefault="00C0462E">
      <w:bookmarkStart w:id="71" w:name="minimi-sani-in-backtest"/>
      <w:bookmarkEnd w:id="69"/>
      <w:r>
        <w:pict w14:anchorId="0EFC3E61">
          <v:rect id="_x0000_i1037" style="width:0;height:1.5pt" o:hralign="center" o:hrstd="t" o:hr="t"/>
        </w:pict>
      </w:r>
    </w:p>
    <w:p w14:paraId="3E529EFB" w14:textId="77777777" w:rsidR="000854B7" w:rsidRPr="00BE3538" w:rsidRDefault="008242CC">
      <w:pPr>
        <w:pStyle w:val="Heading1"/>
        <w:rPr>
          <w:lang w:val="it-IT"/>
        </w:rPr>
      </w:pPr>
      <w:bookmarkStart w:id="72" w:name="backtest-storico-profilo-centrico"/>
      <w:bookmarkStart w:id="73" w:name="_Toc236387244"/>
      <w:bookmarkEnd w:id="65"/>
      <w:bookmarkEnd w:id="71"/>
      <w:r>
        <w:rPr>
          <w:lang w:val="it-IT"/>
        </w:rPr>
        <w:t>9. Backtest storico profilo-centrico</w:t>
      </w:r>
      <w:bookmarkEnd w:id="73"/>
    </w:p>
    <w:p w14:paraId="02A9C5B9" w14:textId="77777777" w:rsidR="000854B7" w:rsidRPr="00BE3538" w:rsidRDefault="008242CC">
      <w:pPr>
        <w:pStyle w:val="Heading2"/>
        <w:rPr>
          <w:lang w:val="it-IT"/>
        </w:rPr>
      </w:pPr>
      <w:bookmarkStart w:id="74" w:name="scopo-del-backtest"/>
      <w:bookmarkStart w:id="75" w:name="_Toc236387245"/>
      <w:r>
        <w:rPr>
          <w:lang w:val="it-IT"/>
        </w:rPr>
        <w:t>9.1 Scopo del backtest</w:t>
      </w:r>
      <w:bookmarkEnd w:id="75"/>
    </w:p>
    <w:p w14:paraId="46130912" w14:textId="77777777" w:rsidR="000854B7" w:rsidRPr="00BE3538" w:rsidRDefault="008242CC">
      <w:pPr>
        <w:pStyle w:val="FirstParagraph"/>
        <w:rPr>
          <w:lang w:val="it-IT"/>
        </w:rPr>
      </w:pPr>
      <w:r>
        <w:rPr>
          <w:lang w:val="it-IT"/>
        </w:rPr>
        <w:t>Il backtest non è una validazione generica k-fold. È una simulazione expanding-window orientata alla produzione, con anchor temporali storicamente coerenti e nessun look-ahead.</w:t>
      </w:r>
    </w:p>
    <w:p w14:paraId="634FE097" w14:textId="77777777" w:rsidR="000854B7" w:rsidRPr="00BE3538" w:rsidRDefault="008242CC">
      <w:pPr>
        <w:pStyle w:val="Heading2"/>
        <w:rPr>
          <w:lang w:val="it-IT"/>
        </w:rPr>
      </w:pPr>
      <w:bookmarkStart w:id="76" w:name="profili"/>
      <w:bookmarkStart w:id="77" w:name="_Toc236387246"/>
      <w:bookmarkEnd w:id="74"/>
      <w:r>
        <w:rPr>
          <w:lang w:val="it-IT"/>
        </w:rPr>
        <w:t>9.2 Profili</w:t>
      </w:r>
      <w:bookmarkEnd w:id="77"/>
    </w:p>
    <w:tbl>
      <w:tblPr>
        <w:tblW w:w="0" w:type="auto"/>
        <w:tblCellSpacing w:w="15" w:type="dxa"/>
        <w:tblCellMar>
          <w:left w:w="0" w:type="dxa"/>
          <w:right w:w="0" w:type="dxa"/>
        </w:tblCellMar>
        <w:tblLook w:val="04A0" w:firstRow="1" w:lastRow="0" w:firstColumn="1" w:lastColumn="0" w:noHBand="0" w:noVBand="1"/>
      </w:tblPr>
      <w:tblGrid>
        <w:gridCol w:w="1487"/>
        <w:gridCol w:w="1502"/>
        <w:gridCol w:w="1746"/>
        <w:gridCol w:w="1613"/>
      </w:tblGrid>
      <w:tr w:rsidR="00B0279B" w:rsidRPr="00B0279B" w14:paraId="38EB5C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67E4AA" w14:textId="77777777" w:rsidR="00B0279B" w:rsidRPr="00B0279B" w:rsidRDefault="00B0279B" w:rsidP="00B0279B">
            <w:pPr>
              <w:rPr>
                <w:lang w:val="en-GB"/>
              </w:rPr>
            </w:pPr>
            <w:bookmarkStart w:id="78" w:name="anchor-candidati"/>
            <w:bookmarkEnd w:id="76"/>
            <w:r>
              <w:rPr>
                <w:lang w:val="en-GB"/>
              </w:rPr>
              <w:t>Profilo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BBFF23" w14:textId="77777777" w:rsidR="00B0279B" w:rsidRPr="00B0279B" w:rsidRDefault="00B0279B" w:rsidP="00B0279B">
            <w:pPr>
              <w:rPr>
                <w:lang w:val="en-GB"/>
              </w:rPr>
            </w:pPr>
            <w:r>
              <w:rPr>
                <w:lang w:val="en-GB"/>
              </w:rPr>
              <w:t>Target trials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37B018" w14:textId="77777777" w:rsidR="00B0279B" w:rsidRPr="00B0279B" w:rsidRDefault="00B0279B" w:rsidP="00B0279B">
            <w:pPr>
              <w:rPr>
                <w:lang w:val="en-GB"/>
              </w:rPr>
            </w:pPr>
            <w:r>
              <w:rPr>
                <w:lang w:val="en-GB"/>
              </w:rPr>
              <w:t>Points fraction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6B3C0B" w14:textId="77777777" w:rsidR="00B0279B" w:rsidRPr="00B0279B" w:rsidRDefault="00B0279B" w:rsidP="00B0279B">
            <w:pPr>
              <w:rPr>
                <w:lang w:val="en-GB"/>
              </w:rPr>
            </w:pPr>
            <w:r>
              <w:rPr>
                <w:lang w:val="en-GB"/>
              </w:rPr>
              <w:t>Min valid trials</w:t>
            </w:r>
          </w:p>
        </w:tc>
      </w:tr>
      <w:tr w:rsidR="00B0279B" w:rsidRPr="00B0279B" w14:paraId="1B07E8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38E65A" w14:textId="77777777" w:rsidR="00B0279B" w:rsidRPr="00B0279B" w:rsidRDefault="00B0279B" w:rsidP="00B0279B">
            <w:pPr>
              <w:rPr>
                <w:lang w:val="en-GB"/>
              </w:rPr>
            </w:pPr>
            <w:r>
              <w:rPr>
                <w:lang w:val="en-GB"/>
              </w:rPr>
              <w:t>fast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E9D82B" w14:textId="77777777" w:rsidR="00B0279B" w:rsidRPr="00B0279B" w:rsidRDefault="00B0279B" w:rsidP="00B0279B">
            <w:pPr>
              <w:pStyle w:val="FirstParagraph"/>
              <w:rPr>
                <w:lang w:val="it-IT"/>
              </w:rPr>
            </w:pPr>
            <w:r>
              <w:rPr>
                <w:lang w:val="it-IT"/>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16E2C8" w14:textId="77777777" w:rsidR="00B0279B" w:rsidRPr="00B0279B" w:rsidRDefault="00B0279B" w:rsidP="00B0279B">
            <w:pPr>
              <w:pStyle w:val="FirstParagraph"/>
              <w:rPr>
                <w:lang w:val="it-IT"/>
              </w:rPr>
            </w:pPr>
            <w:r>
              <w:rPr>
                <w:lang w:val="it-IT"/>
              </w:rPr>
              <w:t>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06E18E" w14:textId="77777777" w:rsidR="00B0279B" w:rsidRPr="00B0279B" w:rsidRDefault="00B0279B" w:rsidP="00B0279B">
            <w:pPr>
              <w:pStyle w:val="FirstParagraph"/>
              <w:rPr>
                <w:lang w:val="it-IT"/>
              </w:rPr>
            </w:pPr>
            <w:r>
              <w:rPr>
                <w:lang w:val="it-IT"/>
              </w:rPr>
              <w:t>8</w:t>
            </w:r>
          </w:p>
        </w:tc>
      </w:tr>
      <w:tr w:rsidR="00B0279B" w:rsidRPr="00B0279B" w14:paraId="44CF99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769B8E" w14:textId="77777777" w:rsidR="00B0279B" w:rsidRPr="00B0279B" w:rsidRDefault="00B0279B" w:rsidP="00B0279B">
            <w:pPr>
              <w:rPr>
                <w:lang w:val="en-GB"/>
              </w:rPr>
            </w:pPr>
            <w:r>
              <w:rPr>
                <w:lang w:val="en-GB"/>
              </w:rPr>
              <w:t>medium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3A5479" w14:textId="77777777" w:rsidR="00B0279B" w:rsidRPr="00B0279B" w:rsidRDefault="00B0279B" w:rsidP="00B0279B">
            <w:pPr>
              <w:pStyle w:val="FirstParagraph"/>
              <w:rPr>
                <w:lang w:val="it-IT"/>
              </w:rPr>
            </w:pPr>
            <w:r>
              <w:rPr>
                <w:lang w:val="it-IT"/>
              </w:rPr>
              <w:t>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C7A782" w14:textId="77777777" w:rsidR="00B0279B" w:rsidRPr="00B0279B" w:rsidRDefault="00B0279B" w:rsidP="00B0279B">
            <w:pPr>
              <w:pStyle w:val="FirstParagraph"/>
              <w:rPr>
                <w:lang w:val="it-IT"/>
              </w:rPr>
            </w:pPr>
            <w:r>
              <w:rPr>
                <w:lang w:val="it-IT"/>
              </w:rPr>
              <w:t>0.33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720251" w14:textId="77777777" w:rsidR="00B0279B" w:rsidRPr="00B0279B" w:rsidRDefault="00B0279B" w:rsidP="00B0279B">
            <w:pPr>
              <w:pStyle w:val="FirstParagraph"/>
              <w:rPr>
                <w:lang w:val="it-IT"/>
              </w:rPr>
            </w:pPr>
            <w:r>
              <w:rPr>
                <w:lang w:val="it-IT"/>
              </w:rPr>
              <w:t>20</w:t>
            </w:r>
          </w:p>
        </w:tc>
      </w:tr>
      <w:tr w:rsidR="00B0279B" w:rsidRPr="00B0279B" w14:paraId="38D332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528FF0" w14:textId="77777777" w:rsidR="00B0279B" w:rsidRPr="00B0279B" w:rsidRDefault="00B0279B" w:rsidP="00B0279B">
            <w:pPr>
              <w:rPr>
                <w:lang w:val="en-GB"/>
              </w:rPr>
            </w:pPr>
            <w:r>
              <w:rPr>
                <w:lang w:val="en-GB"/>
              </w:rPr>
              <w:t>long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68EA04" w14:textId="77777777" w:rsidR="00B0279B" w:rsidRPr="00B0279B" w:rsidRDefault="00B0279B" w:rsidP="00B0279B">
            <w:pPr>
              <w:pStyle w:val="FirstParagraph"/>
              <w:rPr>
                <w:lang w:val="it-IT"/>
              </w:rPr>
            </w:pPr>
            <w:r>
              <w:rPr>
                <w:lang w:val="it-IT"/>
              </w:rPr>
              <w:t>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E670CC" w14:textId="77777777" w:rsidR="00B0279B" w:rsidRPr="00B0279B" w:rsidRDefault="00B0279B" w:rsidP="00B0279B">
            <w:pPr>
              <w:pStyle w:val="FirstParagraph"/>
              <w:rPr>
                <w:lang w:val="it-IT"/>
              </w:rPr>
            </w:pPr>
            <w:r>
              <w:rPr>
                <w:lang w:val="it-IT"/>
              </w:rPr>
              <w:t>0.66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8217AE" w14:textId="77777777" w:rsidR="00B0279B" w:rsidRPr="00B0279B" w:rsidRDefault="00B0279B" w:rsidP="00B0279B">
            <w:pPr>
              <w:pStyle w:val="FirstParagraph"/>
              <w:rPr>
                <w:lang w:val="it-IT"/>
              </w:rPr>
            </w:pPr>
            <w:r>
              <w:rPr>
                <w:lang w:val="it-IT"/>
              </w:rPr>
              <w:t>35</w:t>
            </w:r>
          </w:p>
        </w:tc>
      </w:tr>
      <w:tr w:rsidR="00B0279B" w:rsidRPr="00B0279B" w14:paraId="63DD6A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3E51E7" w14:textId="77777777" w:rsidR="00B0279B" w:rsidRPr="00B0279B" w:rsidRDefault="00B0279B" w:rsidP="00B0279B">
            <w:pPr>
              <w:rPr>
                <w:lang w:val="en-GB"/>
              </w:rPr>
            </w:pPr>
            <w:r>
              <w:rPr>
                <w:lang w:val="en-GB"/>
              </w:rPr>
              <w:t>molto lungo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D8C3CB" w14:textId="77777777" w:rsidR="00B0279B" w:rsidRPr="00B0279B" w:rsidRDefault="00B0279B" w:rsidP="00B0279B">
            <w:pPr>
              <w:pStyle w:val="FirstParagraph"/>
              <w:rPr>
                <w:lang w:val="it-IT"/>
              </w:rPr>
            </w:pPr>
            <w:r>
              <w:rPr>
                <w:lang w:val="it-IT"/>
              </w:rPr>
              <w:t>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DBF10D" w14:textId="77777777" w:rsidR="00B0279B" w:rsidRPr="00B0279B" w:rsidRDefault="00B0279B" w:rsidP="00B0279B">
            <w:pPr>
              <w:pStyle w:val="FirstParagraph"/>
              <w:rPr>
                <w:lang w:val="it-IT"/>
              </w:rPr>
            </w:pPr>
            <w:r>
              <w:rPr>
                <w:lang w:val="it-IT"/>
              </w:rPr>
              <w:t>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BB634D" w14:textId="77777777" w:rsidR="00B0279B" w:rsidRPr="00B0279B" w:rsidRDefault="00B0279B" w:rsidP="00B0279B">
            <w:pPr>
              <w:pStyle w:val="FirstParagraph"/>
              <w:rPr>
                <w:lang w:val="it-IT"/>
              </w:rPr>
            </w:pPr>
            <w:r>
              <w:rPr>
                <w:lang w:val="it-IT"/>
              </w:rPr>
              <w:t>60</w:t>
            </w:r>
          </w:p>
        </w:tc>
      </w:tr>
    </w:tbl>
    <w:p w14:paraId="403EF4B9" w14:textId="77777777" w:rsidR="0037126F" w:rsidRPr="0037126F" w:rsidRDefault="0037126F" w:rsidP="0037126F">
      <w:pPr>
        <w:pStyle w:val="Heading2"/>
        <w:rPr>
          <w:lang w:val="en-GB"/>
        </w:rPr>
      </w:pPr>
      <w:bookmarkStart w:id="79" w:name="errore-per-trial-e-aggregazione"/>
      <w:bookmarkStart w:id="80" w:name="_Toc236387247"/>
      <w:bookmarkEnd w:id="78"/>
      <w:r>
        <w:rPr>
          <w:lang w:val="en-GB"/>
        </w:rPr>
        <w:lastRenderedPageBreak/>
        <w:t>9.3 Anchor candidati</w:t>
      </w:r>
      <w:bookmarkEnd w:id="80"/>
    </w:p>
    <w:p w14:paraId="4A3F35C6" w14:textId="77777777" w:rsidR="00DE4D73" w:rsidRPr="00DE4D73" w:rsidRDefault="00DE4D73" w:rsidP="00DE4D73">
      <w:pPr>
        <w:rPr>
          <w:color w:val="000000" w:themeColor="text1"/>
          <w:lang w:val="it-IT"/>
        </w:rPr>
      </w:pPr>
      <w:r>
        <w:rPr>
          <w:color w:val="000000" w:themeColor="text1"/>
          <w:lang w:val="it-IT"/>
        </w:rPr>
        <w:t>Un anchor è un punto storico scelto come origine di un trial di backtest.</w:t>
      </w:r>
      <w:r>
        <w:rPr>
          <w:color w:val="000000" w:themeColor="text1"/>
          <w:lang w:val="it-IT"/>
        </w:rPr>
        <w:br/>
        <w:t xml:space="preserve">Da quell’indice il motore simula una previsione a </w:t>
      </w:r>
      <m:oMath>
        <m:r>
          <m:rPr>
            <m:sty m:val="bi"/>
          </m:rPr>
          <w:rPr>
            <w:rFonts w:ascii="Cambria Math" w:hAnsi="Cambria Math"/>
            <w:color w:val="000000" w:themeColor="text1"/>
            <w:lang w:val="en-GB"/>
          </w:rPr>
          <m:t>H</m:t>
        </m:r>
      </m:oMath>
      <w:r>
        <w:rPr>
          <w:color w:val="000000" w:themeColor="text1"/>
          <w:lang w:val="it-IT"/>
        </w:rPr>
        <w:t xml:space="preserve">passi nel futuro e la confronta con il valore realmente osservato dopo quei </w:t>
      </w:r>
      <m:oMath>
        <m:r>
          <m:rPr>
            <m:sty m:val="bi"/>
          </m:rPr>
          <w:rPr>
            <w:rFonts w:ascii="Cambria Math" w:hAnsi="Cambria Math"/>
            <w:color w:val="000000" w:themeColor="text1"/>
            <w:lang w:val="en-GB"/>
          </w:rPr>
          <m:t>H</m:t>
        </m:r>
      </m:oMath>
      <w:r>
        <w:rPr>
          <w:color w:val="000000" w:themeColor="text1"/>
          <w:lang w:val="it-IT"/>
        </w:rPr>
        <w:t>passi.</w:t>
      </w:r>
    </w:p>
    <w:p w14:paraId="75FEBB3A" w14:textId="77777777" w:rsidR="00DE4D73" w:rsidRPr="00DE4D73" w:rsidRDefault="00DE4D73" w:rsidP="00DE4D73">
      <w:pPr>
        <w:rPr>
          <w:color w:val="000000" w:themeColor="text1"/>
          <w:lang w:val="it-IT"/>
        </w:rPr>
      </w:pPr>
      <w:r>
        <w:rPr>
          <w:color w:val="000000" w:themeColor="text1"/>
          <w:lang w:val="it-IT"/>
        </w:rPr>
        <w:t xml:space="preserve">Non tutti gli indici della serie possono essere usati come anchor. Un indice </w:t>
      </w:r>
      <m:oMath>
        <m:r>
          <m:rPr>
            <m:sty m:val="bi"/>
          </m:rPr>
          <w:rPr>
            <w:rFonts w:ascii="Cambria Math" w:hAnsi="Cambria Math"/>
            <w:color w:val="000000" w:themeColor="text1"/>
            <w:lang w:val="en-GB"/>
          </w:rPr>
          <m:t>i</m:t>
        </m:r>
      </m:oMath>
      <w:r>
        <w:rPr>
          <w:color w:val="000000" w:themeColor="text1"/>
          <w:lang w:val="it-IT"/>
        </w:rPr>
        <w:t>è valido solo se soddisfa simultaneamente due condizioni:</w:t>
      </w:r>
    </w:p>
    <w:p w14:paraId="48619927" w14:textId="77777777" w:rsidR="00DE4D73" w:rsidRPr="00DE4D73" w:rsidRDefault="00DE4D73" w:rsidP="008242CC">
      <w:pPr>
        <w:numPr>
          <w:ilvl w:val="0"/>
          <w:numId w:val="40"/>
        </w:numPr>
        <w:rPr>
          <w:color w:val="000000" w:themeColor="text1"/>
          <w:lang w:val="it-IT"/>
        </w:rPr>
      </w:pPr>
      <w:r>
        <w:rPr>
          <w:color w:val="000000" w:themeColor="text1"/>
          <w:lang w:val="it-IT"/>
        </w:rPr>
        <w:t xml:space="preserve">deve esserci abbastanza storia prima dell’anchor, così il trial può essere costruito; </w:t>
      </w:r>
    </w:p>
    <w:p w14:paraId="633D5B63" w14:textId="77777777" w:rsidR="00DE4D73" w:rsidRPr="00DE4D73" w:rsidRDefault="00DE4D73" w:rsidP="008242CC">
      <w:pPr>
        <w:numPr>
          <w:ilvl w:val="0"/>
          <w:numId w:val="40"/>
        </w:numPr>
        <w:rPr>
          <w:color w:val="000000" w:themeColor="text1"/>
          <w:lang w:val="it-IT"/>
        </w:rPr>
      </w:pPr>
      <w:r>
        <w:rPr>
          <w:color w:val="000000" w:themeColor="text1"/>
          <w:lang w:val="it-IT"/>
        </w:rPr>
        <w:t xml:space="preserve">deve esistere il valore realizzato a distanza </w:t>
      </w:r>
      <m:oMath>
        <m:r>
          <m:rPr>
            <m:sty m:val="bi"/>
          </m:rPr>
          <w:rPr>
            <w:rFonts w:ascii="Cambria Math" w:hAnsi="Cambria Math"/>
            <w:color w:val="000000" w:themeColor="text1"/>
            <w:lang w:val="en-GB"/>
          </w:rPr>
          <m:t>H</m:t>
        </m:r>
      </m:oMath>
      <w:r>
        <w:rPr>
          <w:color w:val="000000" w:themeColor="text1"/>
          <w:lang w:val="it-IT"/>
        </w:rPr>
        <w:t xml:space="preserve">, così l’errore può essere misurato. </w:t>
      </w:r>
    </w:p>
    <w:p w14:paraId="43E7C639" w14:textId="77777777" w:rsidR="00DE4D73" w:rsidRPr="00DE4D73" w:rsidRDefault="00DE4D73" w:rsidP="00DE4D73">
      <w:pPr>
        <w:rPr>
          <w:color w:val="000000" w:themeColor="text1"/>
          <w:lang w:val="it-IT"/>
        </w:rPr>
      </w:pPr>
      <w:r>
        <w:rPr>
          <w:color w:val="000000" w:themeColor="text1"/>
          <w:lang w:val="it-IT"/>
        </w:rPr>
        <w:t xml:space="preserve">Se </w:t>
      </w:r>
      <m:oMath>
        <m:r>
          <m:rPr>
            <m:sty m:val="bi"/>
          </m:rPr>
          <w:rPr>
            <w:rFonts w:ascii="Cambria Math" w:hAnsi="Cambria Math"/>
            <w:color w:val="000000" w:themeColor="text1"/>
            <w:lang w:val="en-GB"/>
          </w:rPr>
          <m:t>N</m:t>
        </m:r>
      </m:oMath>
      <w:r>
        <w:rPr>
          <w:color w:val="000000" w:themeColor="text1"/>
          <w:lang w:val="it-IT"/>
        </w:rPr>
        <w:t xml:space="preserve">è il numero totale di osservazioni disponibili e </w:t>
      </w:r>
      <m:oMath>
        <m:r>
          <m:rPr>
            <m:sty m:val="bi"/>
          </m:rPr>
          <w:rPr>
            <w:rFonts w:ascii="Cambria Math" w:hAnsi="Cambria Math"/>
            <w:color w:val="000000" w:themeColor="text1"/>
            <w:lang w:val="en-GB"/>
          </w:rPr>
          <m:t>H</m:t>
        </m:r>
      </m:oMath>
      <w:r>
        <w:rPr>
          <w:color w:val="000000" w:themeColor="text1"/>
          <w:lang w:val="it-IT"/>
        </w:rPr>
        <w:t>è l’orizzonte operativo, allora gli anchor candidati appartengono all’intervallo</w:t>
      </w:r>
    </w:p>
    <w:p w14:paraId="2DAC49B5" w14:textId="77777777" w:rsidR="00DE4D73" w:rsidRPr="00DE4D73" w:rsidRDefault="00DE4D73" w:rsidP="00DE4D73">
      <w:pPr>
        <w:rPr>
          <w:color w:val="000000" w:themeColor="text1"/>
          <w:lang w:val="en-GB"/>
        </w:rPr>
      </w:pPr>
      <m:oMathPara>
        <m:oMath>
          <m:r>
            <m:rPr>
              <m:sty m:val="bi"/>
            </m:rPr>
            <w:rPr>
              <w:rFonts w:ascii="Cambria Math" w:hAnsi="Cambria Math"/>
              <w:color w:val="000000" w:themeColor="text1"/>
              <w:lang w:val="en-GB"/>
            </w:rPr>
            <m:t>i∈{</m:t>
          </m:r>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i</m:t>
              </m:r>
            </m:e>
            <m:sub>
              <m:r>
                <m:rPr>
                  <m:sty m:val="bi"/>
                </m:rPr>
                <w:rPr>
                  <w:rFonts w:ascii="Cambria Math" w:hAnsi="Cambria Math"/>
                  <w:color w:val="000000" w:themeColor="text1"/>
                  <w:lang w:val="en-GB"/>
                </w:rPr>
                <m:t>min</m:t>
              </m:r>
            </m:sub>
          </m:sSub>
          <m:r>
            <m:rPr>
              <m:sty m:val="bi"/>
            </m:rPr>
            <w:rPr>
              <w:rFonts w:ascii="Cambria Math" w:hAnsi="Cambria Math"/>
              <w:color w:val="000000" w:themeColor="text1"/>
              <w:lang w:val="en-GB"/>
            </w:rPr>
            <m:t>,…,</m:t>
          </m:r>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i</m:t>
              </m:r>
            </m:e>
            <m:sub>
              <m:r>
                <m:rPr>
                  <m:sty m:val="bi"/>
                </m:rPr>
                <w:rPr>
                  <w:rFonts w:ascii="Cambria Math" w:hAnsi="Cambria Math"/>
                  <w:color w:val="000000" w:themeColor="text1"/>
                  <w:lang w:val="en-GB"/>
                </w:rPr>
                <m:t>max</m:t>
              </m:r>
            </m:sub>
          </m:sSub>
          <m:r>
            <m:rPr>
              <m:sty m:val="bi"/>
            </m:rPr>
            <w:rPr>
              <w:rFonts w:ascii="Cambria Math" w:hAnsi="Cambria Math"/>
              <w:color w:val="000000" w:themeColor="text1"/>
              <w:lang w:val="en-GB"/>
            </w:rPr>
            <m:t>},</m:t>
          </m:r>
          <m:r>
            <m:rPr>
              <m:sty m:val="p"/>
            </m:rPr>
            <w:rPr>
              <w:color w:val="000000" w:themeColor="text1"/>
              <w:lang w:val="en-GB"/>
            </w:rPr>
            <w:br/>
          </m:r>
        </m:oMath>
      </m:oMathPara>
    </w:p>
    <w:p w14:paraId="459465CB" w14:textId="77777777" w:rsidR="00DE4D73" w:rsidRPr="00DE4D73" w:rsidRDefault="00DE4D73" w:rsidP="00DE4D73">
      <w:pPr>
        <w:rPr>
          <w:color w:val="000000" w:themeColor="text1"/>
          <w:lang w:val="it-IT"/>
        </w:rPr>
      </w:pPr>
      <w:r>
        <w:rPr>
          <w:color w:val="000000" w:themeColor="text1"/>
          <w:lang w:val="it-IT"/>
        </w:rPr>
        <w:t>con</w:t>
      </w:r>
    </w:p>
    <w:p w14:paraId="6911E9B2" w14:textId="77777777" w:rsidR="00DE4D73" w:rsidRPr="00DE4D73" w:rsidRDefault="00C0462E" w:rsidP="00DE4D73">
      <w:pPr>
        <w:rPr>
          <w:color w:val="000000" w:themeColor="text1"/>
          <w:lang w:val="it-IT"/>
        </w:rPr>
      </w:pPr>
      <m:oMathPara>
        <m:oMath>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i</m:t>
              </m:r>
            </m:e>
            <m:sub>
              <m:r>
                <m:rPr>
                  <m:sty m:val="bi"/>
                </m:rPr>
                <w:rPr>
                  <w:rFonts w:ascii="Cambria Math" w:hAnsi="Cambria Math"/>
                  <w:color w:val="000000" w:themeColor="text1"/>
                  <w:lang w:val="en-GB"/>
                </w:rPr>
                <m:t>min</m:t>
              </m:r>
            </m:sub>
          </m:sSub>
          <m:r>
            <m:rPr>
              <m:sty m:val="bi"/>
            </m:rPr>
            <w:rPr>
              <w:rFonts w:ascii="Cambria Math" w:hAnsi="Cambria Math"/>
              <w:color w:val="000000" w:themeColor="text1"/>
              <w:lang w:val="it-IT"/>
            </w:rPr>
            <m:t>=</m:t>
          </m:r>
          <m:r>
            <m:rPr>
              <m:sty m:val="b"/>
            </m:rPr>
            <w:rPr>
              <w:rFonts w:ascii="Cambria Math" w:hAnsi="Cambria Math"/>
              <w:color w:val="000000" w:themeColor="text1"/>
              <w:lang w:val="en-GB"/>
            </w:rPr>
            <m:t>max</m:t>
          </m:r>
          <m:r>
            <m:rPr>
              <m:sty m:val="bi"/>
            </m:rPr>
            <w:rPr>
              <w:rFonts w:ascii="Cambria Math" w:hAnsi="Cambria Math"/>
              <w:color w:val="000000" w:themeColor="text1"/>
              <w:lang w:val="it-IT"/>
            </w:rPr>
            <m:t>⁡(60,</m:t>
          </m:r>
          <m:r>
            <m:rPr>
              <m:nor/>
            </m:rPr>
            <w:rPr>
              <w:color w:val="000000" w:themeColor="text1"/>
              <w:lang w:val="it-IT"/>
            </w:rPr>
            <m:t>  </m:t>
          </m:r>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N</m:t>
              </m:r>
            </m:e>
            <m:sub>
              <m:r>
                <m:rPr>
                  <m:sty m:val="bi"/>
                </m:rPr>
                <w:rPr>
                  <w:rFonts w:ascii="Cambria Math" w:hAnsi="Cambria Math"/>
                  <w:color w:val="000000" w:themeColor="text1"/>
                  <w:lang w:val="en-GB"/>
                </w:rPr>
                <m:t>min</m:t>
              </m:r>
              <m:r>
                <m:rPr>
                  <m:sty m:val="bi"/>
                </m:rPr>
                <w:rPr>
                  <w:rFonts w:ascii="Cambria Math" w:hAnsi="Cambria Math"/>
                  <w:color w:val="000000" w:themeColor="text1"/>
                  <w:lang w:val="it-IT"/>
                </w:rPr>
                <m:t>,</m:t>
              </m:r>
              <m:r>
                <m:rPr>
                  <m:sty m:val="bi"/>
                </m:rPr>
                <w:rPr>
                  <w:rFonts w:ascii="Cambria Math" w:hAnsi="Cambria Math"/>
                  <w:color w:val="000000" w:themeColor="text1"/>
                  <w:lang w:val="en-GB"/>
                </w:rPr>
                <m:t>raw</m:t>
              </m:r>
            </m:sub>
          </m:sSub>
          <m:r>
            <m:rPr>
              <m:sty m:val="bi"/>
            </m:rPr>
            <w:rPr>
              <w:rFonts w:ascii="Cambria Math" w:hAnsi="Cambria Math"/>
              <w:color w:val="000000" w:themeColor="text1"/>
              <w:lang w:val="it-IT"/>
            </w:rPr>
            <m:t>),</m:t>
          </m:r>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i</m:t>
              </m:r>
            </m:e>
            <m:sub>
              <m:r>
                <m:rPr>
                  <m:sty m:val="bi"/>
                </m:rPr>
                <w:rPr>
                  <w:rFonts w:ascii="Cambria Math" w:hAnsi="Cambria Math"/>
                  <w:color w:val="000000" w:themeColor="text1"/>
                  <w:lang w:val="en-GB"/>
                </w:rPr>
                <m:t>max</m:t>
              </m:r>
            </m:sub>
          </m:sSub>
          <m:r>
            <m:rPr>
              <m:sty m:val="bi"/>
            </m:rPr>
            <w:rPr>
              <w:rFonts w:ascii="Cambria Math" w:hAnsi="Cambria Math"/>
              <w:color w:val="000000" w:themeColor="text1"/>
              <w:lang w:val="it-IT"/>
            </w:rPr>
            <m:t>=N-H-1.</m:t>
          </m:r>
          <m:r>
            <m:rPr>
              <m:sty m:val="p"/>
            </m:rPr>
            <w:rPr>
              <w:color w:val="000000" w:themeColor="text1"/>
              <w:lang w:val="it-IT"/>
            </w:rPr>
            <w:br/>
          </m:r>
        </m:oMath>
      </m:oMathPara>
    </w:p>
    <w:p w14:paraId="6F3F4068" w14:textId="77777777" w:rsidR="00DE4D73" w:rsidRPr="00DE4D73" w:rsidRDefault="00DE4D73" w:rsidP="00DE4D73">
      <w:pPr>
        <w:rPr>
          <w:color w:val="000000" w:themeColor="text1"/>
          <w:lang w:val="it-IT"/>
        </w:rPr>
      </w:pPr>
      <w:r>
        <w:rPr>
          <w:color w:val="000000" w:themeColor="text1"/>
          <w:lang w:val="it-IT"/>
        </w:rPr>
        <w:t>Nel sistema, il floor di costruzione dei candidati non è arbitrario: coincide con il minimo tecnico di osservazioni richiesto dal modello.</w:t>
      </w:r>
      <m:oMath>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N</m:t>
            </m:r>
          </m:e>
          <m:sub>
            <m:r>
              <m:rPr>
                <m:sty m:val="bi"/>
              </m:rPr>
              <w:rPr>
                <w:rFonts w:ascii="Cambria Math" w:hAnsi="Cambria Math"/>
                <w:color w:val="000000" w:themeColor="text1"/>
                <w:lang w:val="en-GB"/>
              </w:rPr>
              <m:t>min</m:t>
            </m:r>
            <m:r>
              <m:rPr>
                <m:sty m:val="bi"/>
              </m:rPr>
              <w:rPr>
                <w:rFonts w:ascii="Cambria Math" w:hAnsi="Cambria Math"/>
                <w:color w:val="000000" w:themeColor="text1"/>
                <w:lang w:val="it-IT"/>
              </w:rPr>
              <m:t>,</m:t>
            </m:r>
            <m:r>
              <m:rPr>
                <m:sty m:val="bi"/>
              </m:rPr>
              <w:rPr>
                <w:rFonts w:ascii="Cambria Math" w:hAnsi="Cambria Math"/>
                <w:color w:val="000000" w:themeColor="text1"/>
                <w:lang w:val="en-GB"/>
              </w:rPr>
              <m:t>raw</m:t>
            </m:r>
          </m:sub>
        </m:sSub>
      </m:oMath>
    </w:p>
    <w:p w14:paraId="6896C173" w14:textId="77777777" w:rsidR="00DE4D73" w:rsidRPr="00DE4D73" w:rsidRDefault="00C0462E" w:rsidP="00DE4D73">
      <w:pPr>
        <w:rPr>
          <w:color w:val="000000" w:themeColor="text1"/>
          <w:lang w:val="en-GB"/>
        </w:rPr>
      </w:pPr>
      <m:oMathPara>
        <m:oMath>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N</m:t>
              </m:r>
            </m:e>
            <m:sub>
              <m:r>
                <m:rPr>
                  <m:sty m:val="bi"/>
                </m:rPr>
                <w:rPr>
                  <w:rFonts w:ascii="Cambria Math" w:hAnsi="Cambria Math"/>
                  <w:color w:val="000000" w:themeColor="text1"/>
                  <w:lang w:val="en-GB"/>
                </w:rPr>
                <m:t>min,raw</m:t>
              </m:r>
            </m:sub>
          </m:sSub>
          <m:r>
            <m:rPr>
              <m:sty m:val="bi"/>
            </m:rPr>
            <w:rPr>
              <w:rFonts w:ascii="Cambria Math" w:hAnsi="Cambria Math"/>
              <w:color w:val="000000" w:themeColor="text1"/>
              <w:lang w:val="en-GB"/>
            </w:rPr>
            <m:t>=</m:t>
          </m:r>
          <m:sSubSup>
            <m:sSubSupPr>
              <m:ctrlPr>
                <w:rPr>
                  <w:rFonts w:ascii="Cambria Math" w:hAnsi="Cambria Math"/>
                  <w:color w:val="000000" w:themeColor="text1"/>
                  <w:lang w:val="en-GB"/>
                </w:rPr>
              </m:ctrlPr>
            </m:sSubSupPr>
            <m:e>
              <m:r>
                <m:rPr>
                  <m:sty m:val="bi"/>
                </m:rPr>
                <w:rPr>
                  <w:rFonts w:ascii="Cambria Math" w:hAnsi="Cambria Math"/>
                  <w:color w:val="000000" w:themeColor="text1"/>
                  <w:lang w:val="en-GB"/>
                </w:rPr>
                <m:t>N</m:t>
              </m:r>
            </m:e>
            <m:sub>
              <m:r>
                <m:rPr>
                  <m:sty m:val="bi"/>
                </m:rPr>
                <w:rPr>
                  <w:rFonts w:ascii="Cambria Math" w:hAnsi="Cambria Math"/>
                  <w:color w:val="000000" w:themeColor="text1"/>
                  <w:lang w:val="en-GB"/>
                </w:rPr>
                <m:t>technical</m:t>
              </m:r>
            </m:sub>
            <m:sup>
              <m:r>
                <m:rPr>
                  <m:sty m:val="bi"/>
                </m:rPr>
                <w:rPr>
                  <w:rFonts w:ascii="Cambria Math" w:hAnsi="Cambria Math"/>
                  <w:color w:val="000000" w:themeColor="text1"/>
                  <w:lang w:val="en-GB"/>
                </w:rPr>
                <m:t>model</m:t>
              </m:r>
            </m:sup>
          </m:sSubSup>
          <m:r>
            <m:rPr>
              <m:sty m:val="b"/>
            </m:rPr>
            <w:rPr>
              <w:rFonts w:ascii="Cambria Math" w:hAnsi="Cambria Math"/>
              <w:color w:val="000000" w:themeColor="text1"/>
              <w:lang w:val="en-GB"/>
            </w:rPr>
            <m:t>.</m:t>
          </m:r>
          <m:r>
            <m:rPr>
              <m:sty m:val="p"/>
            </m:rPr>
            <w:rPr>
              <w:color w:val="000000" w:themeColor="text1"/>
              <w:lang w:val="en-GB"/>
            </w:rPr>
            <w:br/>
          </m:r>
        </m:oMath>
      </m:oMathPara>
    </w:p>
    <w:p w14:paraId="7A8859BA" w14:textId="77777777" w:rsidR="00DE4D73" w:rsidRPr="00DE4D73" w:rsidRDefault="00DE4D73" w:rsidP="00DE4D73">
      <w:pPr>
        <w:rPr>
          <w:color w:val="000000" w:themeColor="text1"/>
          <w:lang w:val="it-IT"/>
        </w:rPr>
      </w:pPr>
      <w:r>
        <w:rPr>
          <w:color w:val="000000" w:themeColor="text1"/>
          <w:lang w:val="it-IT"/>
        </w:rPr>
        <w:t>Di conseguenza, il limite inferiore effettivo diventa</w:t>
      </w:r>
    </w:p>
    <w:p w14:paraId="5BE72590" w14:textId="77777777" w:rsidR="00DE4D73" w:rsidRPr="00DE4D73" w:rsidRDefault="00C0462E" w:rsidP="00DE4D73">
      <w:pPr>
        <w:rPr>
          <w:color w:val="000000" w:themeColor="text1"/>
          <w:lang w:val="it-IT"/>
        </w:rPr>
      </w:pPr>
      <m:oMathPara>
        <m:oMath>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i</m:t>
              </m:r>
            </m:e>
            <m:sub>
              <m:r>
                <m:rPr>
                  <m:sty m:val="bi"/>
                </m:rPr>
                <w:rPr>
                  <w:rFonts w:ascii="Cambria Math" w:hAnsi="Cambria Math"/>
                  <w:color w:val="000000" w:themeColor="text1"/>
                  <w:lang w:val="en-GB"/>
                </w:rPr>
                <m:t>min</m:t>
              </m:r>
            </m:sub>
          </m:sSub>
          <m:r>
            <m:rPr>
              <m:sty m:val="bi"/>
            </m:rPr>
            <w:rPr>
              <w:rFonts w:ascii="Cambria Math" w:hAnsi="Cambria Math"/>
              <w:color w:val="000000" w:themeColor="text1"/>
              <w:lang w:val="it-IT"/>
            </w:rPr>
            <m:t>=</m:t>
          </m:r>
          <m:r>
            <m:rPr>
              <m:sty m:val="b"/>
            </m:rPr>
            <w:rPr>
              <w:rFonts w:ascii="Cambria Math" w:hAnsi="Cambria Math"/>
              <w:color w:val="000000" w:themeColor="text1"/>
              <w:lang w:val="en-GB"/>
            </w:rPr>
            <m:t>max</m:t>
          </m:r>
          <m:r>
            <m:rPr>
              <m:sty m:val="bi"/>
            </m:rPr>
            <w:rPr>
              <w:rFonts w:ascii="Cambria Math" w:hAnsi="Cambria Math"/>
              <w:color w:val="000000" w:themeColor="text1"/>
              <w:lang w:val="it-IT"/>
            </w:rPr>
            <m:t>⁡(60,</m:t>
          </m:r>
          <m:r>
            <m:rPr>
              <m:nor/>
            </m:rPr>
            <w:rPr>
              <w:color w:val="000000" w:themeColor="text1"/>
              <w:lang w:val="it-IT"/>
            </w:rPr>
            <m:t>  </m:t>
          </m:r>
          <m:sSubSup>
            <m:sSubSupPr>
              <m:ctrlPr>
                <w:rPr>
                  <w:rFonts w:ascii="Cambria Math" w:hAnsi="Cambria Math"/>
                  <w:color w:val="000000" w:themeColor="text1"/>
                  <w:lang w:val="en-GB"/>
                </w:rPr>
              </m:ctrlPr>
            </m:sSubSupPr>
            <m:e>
              <m:r>
                <m:rPr>
                  <m:sty m:val="bi"/>
                </m:rPr>
                <w:rPr>
                  <w:rFonts w:ascii="Cambria Math" w:hAnsi="Cambria Math"/>
                  <w:color w:val="000000" w:themeColor="text1"/>
                  <w:lang w:val="en-GB"/>
                </w:rPr>
                <m:t>N</m:t>
              </m:r>
            </m:e>
            <m:sub>
              <m:r>
                <m:rPr>
                  <m:sty m:val="bi"/>
                </m:rPr>
                <w:rPr>
                  <w:rFonts w:ascii="Cambria Math" w:hAnsi="Cambria Math"/>
                  <w:color w:val="000000" w:themeColor="text1"/>
                  <w:lang w:val="en-GB"/>
                </w:rPr>
                <m:t>technical</m:t>
              </m:r>
            </m:sub>
            <m:sup>
              <m:r>
                <m:rPr>
                  <m:sty m:val="bi"/>
                </m:rPr>
                <w:rPr>
                  <w:rFonts w:ascii="Cambria Math" w:hAnsi="Cambria Math"/>
                  <w:color w:val="000000" w:themeColor="text1"/>
                  <w:lang w:val="en-GB"/>
                </w:rPr>
                <m:t>model</m:t>
              </m:r>
            </m:sup>
          </m:sSubSup>
          <m:r>
            <m:rPr>
              <m:sty m:val="bi"/>
            </m:rPr>
            <w:rPr>
              <w:rFonts w:ascii="Cambria Math" w:hAnsi="Cambria Math"/>
              <w:color w:val="000000" w:themeColor="text1"/>
              <w:lang w:val="it-IT"/>
            </w:rPr>
            <m:t>)</m:t>
          </m:r>
          <m:r>
            <m:rPr>
              <m:sty m:val="b"/>
            </m:rPr>
            <w:rPr>
              <w:rFonts w:ascii="Cambria Math" w:hAnsi="Cambria Math"/>
              <w:color w:val="000000" w:themeColor="text1"/>
              <w:lang w:val="it-IT"/>
            </w:rPr>
            <m:t>.</m:t>
          </m:r>
          <m:r>
            <m:rPr>
              <m:sty m:val="p"/>
            </m:rPr>
            <w:rPr>
              <w:color w:val="000000" w:themeColor="text1"/>
              <w:lang w:val="it-IT"/>
            </w:rPr>
            <w:br/>
          </m:r>
        </m:oMath>
      </m:oMathPara>
    </w:p>
    <w:p w14:paraId="4D98DBDB" w14:textId="77777777" w:rsidR="00DE4D73" w:rsidRPr="00DE4D73" w:rsidRDefault="00DE4D73" w:rsidP="00DE4D73">
      <w:pPr>
        <w:rPr>
          <w:color w:val="000000" w:themeColor="text1"/>
          <w:lang w:val="en-GB"/>
        </w:rPr>
      </w:pPr>
      <w:r>
        <w:rPr>
          <w:color w:val="000000" w:themeColor="text1"/>
          <w:lang w:val="en-GB"/>
        </w:rPr>
        <w:t>Dove:</w:t>
      </w:r>
    </w:p>
    <w:p w14:paraId="7C373287" w14:textId="77777777" w:rsidR="00DE4D73" w:rsidRPr="00DE4D73" w:rsidRDefault="00C0462E" w:rsidP="008242CC">
      <w:pPr>
        <w:numPr>
          <w:ilvl w:val="0"/>
          <w:numId w:val="41"/>
        </w:numPr>
        <w:rPr>
          <w:color w:val="000000" w:themeColor="text1"/>
          <w:lang w:val="it-IT"/>
        </w:rPr>
      </w:pPr>
      <m:oMath>
        <m:sSubSup>
          <m:sSubSupPr>
            <m:ctrlPr>
              <w:rPr>
                <w:rFonts w:ascii="Cambria Math" w:hAnsi="Cambria Math"/>
                <w:color w:val="000000" w:themeColor="text1"/>
                <w:lang w:val="en-GB"/>
              </w:rPr>
            </m:ctrlPr>
          </m:sSubSupPr>
          <m:e>
            <m:r>
              <m:rPr>
                <m:sty m:val="bi"/>
              </m:rPr>
              <w:rPr>
                <w:rFonts w:ascii="Cambria Math" w:hAnsi="Cambria Math"/>
                <w:color w:val="000000" w:themeColor="text1"/>
                <w:lang w:val="en-GB"/>
              </w:rPr>
              <m:t>N</m:t>
            </m:r>
          </m:e>
          <m:sub>
            <m:r>
              <m:rPr>
                <m:sty m:val="bi"/>
              </m:rPr>
              <w:rPr>
                <w:rFonts w:ascii="Cambria Math" w:hAnsi="Cambria Math"/>
                <w:color w:val="000000" w:themeColor="text1"/>
                <w:lang w:val="en-GB"/>
              </w:rPr>
              <m:t>technical</m:t>
            </m:r>
          </m:sub>
          <m:sup>
            <m:r>
              <m:rPr>
                <m:sty m:val="bi"/>
              </m:rPr>
              <w:rPr>
                <w:rFonts w:ascii="Cambria Math" w:hAnsi="Cambria Math"/>
                <w:color w:val="000000" w:themeColor="text1"/>
                <w:lang w:val="en-GB"/>
              </w:rPr>
              <m:t>model</m:t>
            </m:r>
          </m:sup>
        </m:sSubSup>
      </m:oMath>
      <w:r w:rsidR="00383D83">
        <w:rPr>
          <w:color w:val="000000" w:themeColor="text1"/>
          <w:lang w:val="it-IT"/>
        </w:rPr>
        <w:t xml:space="preserve">è il minimo numero di osservazioni richiesto dal modello; </w:t>
      </w:r>
    </w:p>
    <w:p w14:paraId="6C9A5A4E" w14:textId="77777777" w:rsidR="00DE4D73" w:rsidRPr="00DE4D73" w:rsidRDefault="00DE4D73" w:rsidP="008242CC">
      <w:pPr>
        <w:numPr>
          <w:ilvl w:val="0"/>
          <w:numId w:val="41"/>
        </w:numPr>
        <w:rPr>
          <w:color w:val="000000" w:themeColor="text1"/>
          <w:lang w:val="it-IT"/>
        </w:rPr>
      </w:pPr>
      <m:oMath>
        <m:r>
          <m:rPr>
            <m:sty m:val="bi"/>
          </m:rPr>
          <w:rPr>
            <w:rFonts w:ascii="Cambria Math" w:hAnsi="Cambria Math"/>
            <w:color w:val="000000" w:themeColor="text1"/>
            <w:lang w:val="en-GB"/>
          </w:rPr>
          <m:t>60</m:t>
        </m:r>
      </m:oMath>
      <w:r>
        <w:rPr>
          <w:color w:val="000000" w:themeColor="text1"/>
          <w:lang w:val="it-IT"/>
        </w:rPr>
        <w:t xml:space="preserve">è un floor globale aggiuntivo usato nella costruzione degli anchor candidati; </w:t>
      </w:r>
    </w:p>
    <w:p w14:paraId="78874683" w14:textId="77777777" w:rsidR="00DE4D73" w:rsidRPr="00DE4D73" w:rsidRDefault="00DE4D73" w:rsidP="008242CC">
      <w:pPr>
        <w:numPr>
          <w:ilvl w:val="0"/>
          <w:numId w:val="41"/>
        </w:numPr>
        <w:rPr>
          <w:color w:val="000000" w:themeColor="text1"/>
          <w:lang w:val="it-IT"/>
        </w:rPr>
      </w:pPr>
      <m:oMath>
        <m:r>
          <m:rPr>
            <m:sty m:val="bi"/>
          </m:rPr>
          <w:rPr>
            <w:rFonts w:ascii="Cambria Math" w:hAnsi="Cambria Math"/>
            <w:color w:val="000000" w:themeColor="text1"/>
            <w:lang w:val="en-GB"/>
          </w:rPr>
          <m:t>N</m:t>
        </m:r>
        <m:r>
          <m:rPr>
            <m:sty m:val="bi"/>
          </m:rPr>
          <w:rPr>
            <w:rFonts w:ascii="Cambria Math" w:hAnsi="Cambria Math"/>
            <w:color w:val="000000" w:themeColor="text1"/>
            <w:lang w:val="it-IT"/>
          </w:rPr>
          <m:t>-</m:t>
        </m:r>
        <m:r>
          <m:rPr>
            <m:sty m:val="bi"/>
          </m:rPr>
          <w:rPr>
            <w:rFonts w:ascii="Cambria Math" w:hAnsi="Cambria Math"/>
            <w:color w:val="000000" w:themeColor="text1"/>
            <w:lang w:val="en-GB"/>
          </w:rPr>
          <m:t>H</m:t>
        </m:r>
        <m:r>
          <m:rPr>
            <m:sty m:val="bi"/>
          </m:rPr>
          <w:rPr>
            <w:rFonts w:ascii="Cambria Math" w:hAnsi="Cambria Math"/>
            <w:color w:val="000000" w:themeColor="text1"/>
            <w:lang w:val="it-IT"/>
          </w:rPr>
          <m:t>-</m:t>
        </m:r>
        <m:r>
          <m:rPr>
            <m:sty m:val="bi"/>
          </m:rPr>
          <w:rPr>
            <w:rFonts w:ascii="Cambria Math" w:hAnsi="Cambria Math"/>
            <w:color w:val="000000" w:themeColor="text1"/>
            <w:lang w:val="en-GB"/>
          </w:rPr>
          <m:t>1</m:t>
        </m:r>
      </m:oMath>
      <w:r>
        <w:rPr>
          <w:color w:val="000000" w:themeColor="text1"/>
          <w:lang w:val="it-IT"/>
        </w:rPr>
        <w:t xml:space="preserve">è l’ultimo indice che lascia ancora disponibili </w:t>
      </w:r>
      <m:oMath>
        <m:r>
          <m:rPr>
            <m:sty m:val="bi"/>
          </m:rPr>
          <w:rPr>
            <w:rFonts w:ascii="Cambria Math" w:hAnsi="Cambria Math"/>
            <w:color w:val="000000" w:themeColor="text1"/>
            <w:lang w:val="en-GB"/>
          </w:rPr>
          <m:t>H</m:t>
        </m:r>
      </m:oMath>
      <w:r>
        <w:rPr>
          <w:color w:val="000000" w:themeColor="text1"/>
          <w:lang w:val="it-IT"/>
        </w:rPr>
        <w:t xml:space="preserve">passi futuri osservati. </w:t>
      </w:r>
    </w:p>
    <w:p w14:paraId="78A90A3F" w14:textId="77777777" w:rsidR="00DE4D73" w:rsidRPr="00DE4D73" w:rsidRDefault="00DE4D73" w:rsidP="00DE4D73">
      <w:pPr>
        <w:rPr>
          <w:color w:val="000000" w:themeColor="text1"/>
          <w:lang w:val="it-IT"/>
        </w:rPr>
      </w:pPr>
      <w:r>
        <w:rPr>
          <w:color w:val="000000" w:themeColor="text1"/>
          <w:lang w:val="it-IT"/>
        </w:rPr>
        <w:t>Questa è una regola di prefiltro grezzo sugli anchor. In questa fase il vincolo non dipende ancora dalla frequenza finale del trial: la selezione della frequenza e i relativi controlli di fattibilità vengono applicati successivamente, all’interno della preparazione del contesto di esecuzione del modello.</w:t>
      </w:r>
    </w:p>
    <w:p w14:paraId="07FAFA11" w14:textId="77777777" w:rsidR="0037126F" w:rsidRPr="0037126F" w:rsidRDefault="00C0462E" w:rsidP="0037126F">
      <w:pPr>
        <w:rPr>
          <w:color w:val="000000" w:themeColor="text1"/>
          <w:lang w:val="en-GB"/>
        </w:rPr>
      </w:pPr>
      <w:r>
        <w:rPr>
          <w:color w:val="000000" w:themeColor="text1"/>
          <w:lang w:val="en-GB"/>
        </w:rPr>
        <w:pict w14:anchorId="5A5696C5">
          <v:rect id="_x0000_i1038" style="width:0;height:1.5pt" o:hralign="center" o:hrstd="t" o:hr="t" fillcolor="#a0a0a0" stroked="f"/>
        </w:pict>
      </w:r>
    </w:p>
    <w:p w14:paraId="4258164C" w14:textId="77777777" w:rsidR="00035F7E" w:rsidRDefault="008242CC">
      <w:pPr>
        <w:pStyle w:val="Heading2"/>
        <w:rPr>
          <w:lang w:val="it-IT"/>
        </w:rPr>
      </w:pPr>
      <w:bookmarkStart w:id="81" w:name="_Toc236387248"/>
      <w:r>
        <w:rPr>
          <w:color w:val="000000" w:themeColor="text1"/>
          <w:lang w:val="it-IT"/>
        </w:rPr>
        <w:lastRenderedPageBreak/>
        <w:t>9.4 Seed deterministico</w:t>
      </w:r>
      <w:bookmarkEnd w:id="81"/>
    </w:p>
    <w:p w14:paraId="485C3D52" w14:textId="77777777" w:rsidR="00035F7E" w:rsidRDefault="008242CC">
      <w:pPr>
        <w:rPr>
          <w:lang w:val="it-IT"/>
        </w:rPr>
      </w:pPr>
      <w:r>
        <w:rPr>
          <w:color w:val="000000" w:themeColor="text1"/>
          <w:lang w:val="it-IT"/>
        </w:rPr>
        <w:t>La selezione principale degli anchor è date-deterministica e non utilizza estrazione casuale. La pseudo-casualità deterministica è impiegata esclusivamente per ordinare il pool residuo di sostituzione. A parità di input, sia la selezione principale sia l'ordinamento del pool di sostituzione sono riproducibili.</w:t>
      </w:r>
    </w:p>
    <w:p w14:paraId="15A95938" w14:textId="77777777" w:rsidR="00035F7E" w:rsidRDefault="008242CC">
      <w:pPr>
        <w:rPr>
          <w:lang w:val="it-IT"/>
        </w:rPr>
      </w:pPr>
      <w:r>
        <w:rPr>
          <w:color w:val="000000" w:themeColor="text1"/>
          <w:lang w:val="it-IT"/>
        </w:rPr>
        <w:t>Il seed viene ottenuto applicando SHA-256 alla concatenazione dei campi identificativi del backtest:</w:t>
      </w:r>
    </w:p>
    <w:p w14:paraId="1CD07870" w14:textId="77777777" w:rsidR="00035F7E" w:rsidRPr="00122D14" w:rsidRDefault="008242CC">
      <w:pPr>
        <w:rPr>
          <w:lang w:val="en-GB"/>
        </w:rPr>
      </w:pPr>
      <w:r>
        <w:rPr>
          <w:color w:val="000000" w:themeColor="text1"/>
          <w:lang w:val="en-GB"/>
        </w:rPr>
        <w:t>ticker,</w:t>
      </w:r>
    </w:p>
    <w:p w14:paraId="04A911EB" w14:textId="77777777" w:rsidR="00035F7E" w:rsidRPr="00122D14" w:rsidRDefault="008242CC">
      <w:pPr>
        <w:rPr>
          <w:lang w:val="en-GB"/>
        </w:rPr>
      </w:pPr>
      <w:r>
        <w:rPr>
          <w:color w:val="000000" w:themeColor="text1"/>
          <w:lang w:val="en-GB"/>
        </w:rPr>
        <w:t>target date,</w:t>
      </w:r>
    </w:p>
    <w:p w14:paraId="652124CF" w14:textId="77777777" w:rsidR="00035F7E" w:rsidRPr="00122D14" w:rsidRDefault="008242CC">
      <w:pPr>
        <w:rPr>
          <w:lang w:val="en-GB"/>
        </w:rPr>
      </w:pPr>
      <w:r>
        <w:rPr>
          <w:color w:val="000000" w:themeColor="text1"/>
          <w:lang w:val="en-GB"/>
        </w:rPr>
        <w:t>model name,</w:t>
      </w:r>
    </w:p>
    <w:p w14:paraId="438DFB21" w14:textId="77777777" w:rsidR="00035F7E" w:rsidRDefault="008242CC">
      <w:pPr>
        <w:rPr>
          <w:lang w:val="it-IT"/>
        </w:rPr>
      </w:pPr>
      <w:r>
        <w:rPr>
          <w:color w:val="000000" w:themeColor="text1"/>
          <w:lang w:val="en-GB"/>
        </w:rPr>
        <w:t>backtest profile,</w:t>
      </w:r>
    </w:p>
    <w:p w14:paraId="38E80A57" w14:textId="77777777" w:rsidR="00035F7E" w:rsidRDefault="008242CC">
      <w:pPr>
        <w:rPr>
          <w:lang w:val="it-IT"/>
        </w:rPr>
      </w:pPr>
      <w:r>
        <w:rPr>
          <w:color w:val="000000" w:themeColor="text1"/>
          <w:lang w:val="en-GB"/>
        </w:rPr>
        <w:t>backtest years,</w:t>
      </w:r>
    </w:p>
    <w:p w14:paraId="38E16DEB" w14:textId="77777777" w:rsidR="00035F7E" w:rsidRDefault="008242CC">
      <w:pPr>
        <w:rPr>
          <w:lang w:val="it-IT"/>
        </w:rPr>
      </w:pPr>
      <w:r>
        <w:rPr>
          <w:color w:val="000000" w:themeColor="text1"/>
          <w:lang w:val="en-GB"/>
        </w:rPr>
        <w:t>backtest months.</w:t>
      </w:r>
    </w:p>
    <w:p w14:paraId="3B42A0B2" w14:textId="77777777" w:rsidR="00035F7E" w:rsidRDefault="008242CC">
      <w:pPr>
        <w:rPr>
          <w:lang w:val="it-IT"/>
        </w:rPr>
      </w:pPr>
      <w:r>
        <w:rPr>
          <w:color w:val="000000" w:themeColor="text1"/>
          <w:lang w:val="en-GB"/>
        </w:rPr>
        <w:t>Questo digest non guida però la selezione degli anchor (è mantenuto solo per retrocompatibilità): la selezione effettiva è date-deterministica (sezione 9.5) e non passa per un generatore pseudo-random. Solo la pool di sostituzione usa pseudo-casualità, governata da un seed dedicato e distinto (sezione 9.5).</w:t>
      </w:r>
    </w:p>
    <w:p w14:paraId="061B9BB8" w14:textId="77777777" w:rsidR="00035F7E" w:rsidRDefault="008242CC">
      <w:pPr>
        <w:rPr>
          <w:lang w:val="it-IT"/>
        </w:rPr>
      </w:pPr>
      <w:r>
        <w:rPr>
          <w:color w:val="000000" w:themeColor="text1"/>
          <w:lang w:val="en-GB"/>
        </w:rPr>
        <w:t>Poiché il prefiltro grezzo dei candidati dipende dal minimo tecnico del modello, l'insieme degli anchor candidati può differire tra modelli diversi. Il floor effettivo per la costruzione dei candidati è il massimo fra 60 e il minimo di osservazioni richiesto dal modello.</w:t>
      </w:r>
    </w:p>
    <w:p w14:paraId="6C318728" w14:textId="77777777" w:rsidR="00035F7E" w:rsidRDefault="008242CC">
      <w:pPr>
        <w:rPr>
          <w:lang w:val="it-IT"/>
        </w:rPr>
      </w:pPr>
      <w:r>
        <w:rPr>
          <w:color w:val="000000" w:themeColor="text1"/>
          <w:lang w:val="en-GB"/>
        </w:rPr>
        <w:t>L’obiettivo non è introdurre casualità libera, ma ottenere:</w:t>
      </w:r>
    </w:p>
    <w:p w14:paraId="431AF4E7" w14:textId="77777777" w:rsidR="00035F7E" w:rsidRDefault="008242CC">
      <w:pPr>
        <w:rPr>
          <w:lang w:val="it-IT"/>
        </w:rPr>
      </w:pPr>
      <w:r>
        <w:rPr>
          <w:color w:val="000000" w:themeColor="text1"/>
          <w:lang w:val="en-GB"/>
        </w:rPr>
        <w:t>riproducibilità: stesso input, stesso campionamento;</w:t>
      </w:r>
    </w:p>
    <w:p w14:paraId="7C3226FE" w14:textId="77777777" w:rsidR="00035F7E" w:rsidRDefault="008242CC">
      <w:pPr>
        <w:rPr>
          <w:lang w:val="it-IT"/>
        </w:rPr>
      </w:pPr>
      <w:r>
        <w:rPr>
          <w:color w:val="000000" w:themeColor="text1"/>
          <w:lang w:val="en-GB"/>
        </w:rPr>
        <w:t>stabilità diagnostica: gli stessi risultati possono essere ricontrollati in modo identico.</w:t>
      </w:r>
    </w:p>
    <w:p w14:paraId="2B0EDFC0" w14:textId="77777777" w:rsidR="00035F7E" w:rsidRDefault="00035F7E">
      <w:pPr>
        <w:rPr>
          <w:lang w:val="it-IT"/>
        </w:rPr>
      </w:pPr>
    </w:p>
    <w:p w14:paraId="74AA9DCA" w14:textId="77777777" w:rsidR="00035F7E" w:rsidRDefault="008242CC">
      <w:pPr>
        <w:pStyle w:val="Heading2"/>
        <w:rPr>
          <w:lang w:val="it-IT"/>
        </w:rPr>
      </w:pPr>
      <w:bookmarkStart w:id="82" w:name="_Toc236387249"/>
      <w:r>
        <w:rPr>
          <w:color w:val="000000" w:themeColor="text1"/>
          <w:lang w:val="en-GB"/>
        </w:rPr>
        <w:t>9.5 Selezione date-deterministica degli anchor su griglia calendariale</w:t>
      </w:r>
      <w:bookmarkEnd w:id="82"/>
    </w:p>
    <w:p w14:paraId="507454CE" w14:textId="77777777" w:rsidR="00035F7E" w:rsidRDefault="008242CC">
      <w:pPr>
        <w:rPr>
          <w:lang w:val="it-IT"/>
        </w:rPr>
      </w:pPr>
      <w:r>
        <w:rPr>
          <w:color w:val="000000" w:themeColor="text1"/>
          <w:lang w:val="en-GB"/>
        </w:rPr>
        <w:t>Una volta costruito l'insieme degli anchor candidati, il motore non estrae punti casuali e non costruisce bucket temporali con sorteggio. La selezione è puramente date-deterministica: si definisce una griglia calendariale ancorata a un'epoca di riferimento fissa, con passo (stride) in giorni di calendario pari al massimo fra una finestra base di 504 giorni e la distanza calendariale dell'ultimo anchor dalla sua data realizzata, diviso il numero target di trial.</w:t>
      </w:r>
    </w:p>
    <w:p w14:paraId="19E63795" w14:textId="77777777" w:rsidR="00035F7E" w:rsidRDefault="008242CC">
      <w:pPr>
        <w:rPr>
          <w:lang w:val="it-IT"/>
        </w:rPr>
      </w:pPr>
      <w:r>
        <w:rPr>
          <w:color w:val="000000" w:themeColor="text1"/>
          <w:lang w:val="en-GB"/>
        </w:rPr>
        <w:t xml:space="preserve">Ogni data della griglia viene fatta scorrere in avanti fino al primo candidato valido (giorno di trading con sufficiente storia a monte e spazio sufficiente a valle per misurare il valore realizzato). I trial selezionati sono gli ultimi N candidati così agganciati, dove N è il numero target di trial del profilo. Se il numero di candidati agganciati supera N, si sottocampiona con passo </w:t>
      </w:r>
      <w:r>
        <w:rPr>
          <w:color w:val="000000" w:themeColor="text1"/>
          <w:lang w:val="en-GB"/>
        </w:rPr>
        <w:lastRenderedPageBreak/>
        <w:t>intero costante ancorato al margine recente: la selezione procede a ritroso dal candidato più recente, garantendo che l’ultimo hit disponibile sia sempre incluso fra i trial valutati.</w:t>
      </w:r>
    </w:p>
    <w:p w14:paraId="2FEF1351" w14:textId="77777777" w:rsidR="00035F7E" w:rsidRDefault="008242CC">
      <w:pPr>
        <w:rPr>
          <w:lang w:val="it-IT"/>
        </w:rPr>
      </w:pPr>
      <w:r>
        <w:rPr>
          <w:color w:val="000000" w:themeColor="text1"/>
          <w:lang w:val="en-GB"/>
        </w:rPr>
        <w:t>Il senso statistico di questa procedura è che la copertura temporale scala con l'orizzonte e non dipende da scelte casuali del seed:</w:t>
      </w:r>
    </w:p>
    <w:p w14:paraId="01C4C925" w14:textId="77777777" w:rsidR="00035F7E" w:rsidRDefault="008242CC">
      <w:pPr>
        <w:rPr>
          <w:lang w:val="it-IT"/>
        </w:rPr>
      </w:pPr>
      <w:r>
        <w:rPr>
          <w:color w:val="000000" w:themeColor="text1"/>
          <w:lang w:val="en-GB"/>
        </w:rPr>
        <w:t>una parte dei trial cade in fasi più vecchie,</w:t>
      </w:r>
    </w:p>
    <w:p w14:paraId="75654530" w14:textId="77777777" w:rsidR="00035F7E" w:rsidRDefault="008242CC">
      <w:pPr>
        <w:rPr>
          <w:lang w:val="it-IT"/>
        </w:rPr>
      </w:pPr>
      <w:r>
        <w:rPr>
          <w:color w:val="000000" w:themeColor="text1"/>
          <w:lang w:val="en-GB"/>
        </w:rPr>
        <w:t>una parte in fasi intermedie,</w:t>
      </w:r>
    </w:p>
    <w:p w14:paraId="491C3DD9" w14:textId="77777777" w:rsidR="00035F7E" w:rsidRDefault="008242CC">
      <w:pPr>
        <w:rPr>
          <w:lang w:val="it-IT"/>
        </w:rPr>
      </w:pPr>
      <w:r>
        <w:rPr>
          <w:color w:val="000000" w:themeColor="text1"/>
          <w:lang w:val="en-GB"/>
        </w:rPr>
        <w:t>una parte in fasi più recenti.</w:t>
      </w:r>
    </w:p>
    <w:p w14:paraId="5B7D7E87" w14:textId="77777777" w:rsidR="00035F7E" w:rsidRDefault="008242CC">
      <w:pPr>
        <w:rPr>
          <w:lang w:val="it-IT"/>
        </w:rPr>
      </w:pPr>
      <w:r>
        <w:rPr>
          <w:color w:val="000000" w:themeColor="text1"/>
          <w:lang w:val="en-GB"/>
        </w:rPr>
        <w:t>Quindi il backtest campiona l’intero arco storico disponibile, invece di addensarsi solo in un singolo regime.</w:t>
      </w:r>
    </w:p>
    <w:p w14:paraId="786BF2EE" w14:textId="77777777" w:rsidR="00035F7E" w:rsidRDefault="008242CC">
      <w:pPr>
        <w:rPr>
          <w:lang w:val="it-IT"/>
        </w:rPr>
      </w:pPr>
      <w:r>
        <w:rPr>
          <w:color w:val="000000" w:themeColor="text1"/>
          <w:lang w:val="en-GB"/>
        </w:rPr>
        <w:t>Pool di sostituzione: gli anchor candidati non inizialmente selezionati vengono inseriti in un pool residuo, mescolato in modo deterministico con un seed dedicato (digest SHA-256 sui campi ticker, model, profilo, anni e mesi di backtest). I trial falliti possono essere sostituiti da anchor di questo pool deterministico. La proprietà di stabilità calendariale è preservata fra un hit di griglia e il successivo: finché i nuovi giorni di dati non introducono un nuovo hit, l’insieme selezionato resta identico; quando un nuovo hit entra al margine recente, la selezione sottocampionata trasla di una posizione di griglia. I risultati dei singoli trial (modello, anchor) sono comunque memorizzati in una cache per-anchor persistente, con chiave che include ticker, modello, data anchor, orizzonte, profilo ed extras, validata da un fingerprint della serie di training: una revisione storica dei prezzi invalida la voce e forza il ricalcolo.</w:t>
      </w:r>
    </w:p>
    <w:p w14:paraId="60539842" w14:textId="77777777" w:rsidR="00035F7E" w:rsidRDefault="008242CC">
      <w:pPr>
        <w:rPr>
          <w:lang w:val="it-IT"/>
        </w:rPr>
      </w:pPr>
      <w:r>
        <w:rPr>
          <w:color w:val="000000" w:themeColor="text1"/>
          <w:lang w:val="en-GB"/>
        </w:rPr>
        <w:t>Dopo il completamento dei trial, i risultati validi vengono ordinati per anchor index (ordine temporale) e gli errori recenti vengono calcolati dall’ultimo 30% circa dei trial validi.</w:t>
      </w:r>
    </w:p>
    <w:p w14:paraId="0205094D" w14:textId="77777777" w:rsidR="00035F7E" w:rsidRDefault="00035F7E">
      <w:pPr>
        <w:rPr>
          <w:lang w:val="it-IT"/>
        </w:rPr>
      </w:pPr>
    </w:p>
    <w:p w14:paraId="164282FA" w14:textId="77777777" w:rsidR="003E2693" w:rsidRPr="003E2693" w:rsidRDefault="0037126F" w:rsidP="003E2693">
      <w:pPr>
        <w:pStyle w:val="Heading2"/>
        <w:rPr>
          <w:lang w:val="it-IT"/>
        </w:rPr>
      </w:pPr>
      <w:bookmarkStart w:id="83" w:name="_Toc236387250"/>
      <w:r>
        <w:rPr>
          <w:lang w:val="it-IT"/>
        </w:rPr>
        <w:t>9.6 Numero di punti storici usati per trial</w:t>
      </w:r>
      <w:bookmarkEnd w:id="83"/>
    </w:p>
    <w:p w14:paraId="10A7668D" w14:textId="77777777" w:rsidR="00035F7E" w:rsidRDefault="008242CC">
      <w:pPr>
        <w:rPr>
          <w:lang w:val="it-IT"/>
        </w:rPr>
      </w:pPr>
      <w:r>
        <w:rPr>
          <w:lang w:val="it-IT"/>
        </w:rPr>
        <w:t>Per ogni trial il motore non usa necessariamente tutto lo storico disponibile prima dell’anchor. Il numero di osservazioni usate è determinato come segue.</w:t>
      </w:r>
    </w:p>
    <w:p w14:paraId="0115DC69" w14:textId="77777777" w:rsidR="00035F7E" w:rsidRDefault="008242CC">
      <w:pPr>
        <w:rPr>
          <w:lang w:val="it-IT"/>
        </w:rPr>
      </w:pPr>
      <w:r>
        <w:rPr>
          <w:lang w:val="it-IT"/>
        </w:rPr>
        <w:t>Il floor effettivo di backtest dipende dalla frequenza di esecuzione del modello:</w:t>
      </w:r>
    </w:p>
    <w:p w14:paraId="3EB54990" w14:textId="77777777" w:rsidR="00035F7E" w:rsidRDefault="008242CC">
      <w:pPr>
        <w:rPr>
          <w:lang w:val="it-IT"/>
        </w:rPr>
      </w:pPr>
      <w:r>
        <w:rPr>
          <w:lang w:val="it-IT"/>
        </w:rPr>
        <w:t>per la frequenza giornaliera, il floor è il massimo fra il minimo tecnico richiesto dal modello e il minimo di qualità riportato nella tabella dei floor giornalieri della presente sezione;</w:t>
      </w:r>
    </w:p>
    <w:p w14:paraId="4BD3F39A" w14:textId="77777777" w:rsidR="00035F7E" w:rsidRDefault="008242CC">
      <w:pPr>
        <w:rPr>
          <w:lang w:val="it-IT"/>
        </w:rPr>
      </w:pPr>
      <w:r>
        <w:rPr>
          <w:lang w:val="it-IT"/>
        </w:rPr>
        <w:t>per le frequenze settimanale o mensile, il floor coincide con il minimo tecnico richiesto dal modello.</w:t>
      </w:r>
    </w:p>
    <w:p w14:paraId="1D353B88" w14:textId="77777777" w:rsidR="00035F7E" w:rsidRDefault="008242CC">
      <w:pPr>
        <w:rPr>
          <w:lang w:val="it-IT"/>
        </w:rPr>
      </w:pPr>
      <w:r>
        <w:rPr>
          <w:lang w:val="it-IT"/>
        </w:rPr>
        <w:t>Il target cap è il valore deterministico definito nella tabella della sezione 7.2 per la coppia (modello, frequenza). Se per quella coppia non esiste un target cap, viene posto uguale al floor. In ogni caso il target cap è elevato al massimo fra sé stesso e il floor.</w:t>
      </w:r>
    </w:p>
    <w:p w14:paraId="1E39890E" w14:textId="77777777" w:rsidR="00035F7E" w:rsidRDefault="008242CC">
      <w:pPr>
        <w:rPr>
          <w:lang w:val="it-IT"/>
        </w:rPr>
      </w:pPr>
      <w:r>
        <w:rPr>
          <w:lang w:val="it-IT"/>
        </w:rPr>
        <w:t>La formula di interpolazione è:</w:t>
      </w:r>
    </w:p>
    <w:p w14:paraId="204B9DDA" w14:textId="77777777" w:rsidR="00035F7E" w:rsidRDefault="008242CC">
      <w:pPr>
        <w:rPr>
          <w:lang w:val="it-IT"/>
        </w:rPr>
      </w:pPr>
      <w:r>
        <w:rPr>
          <w:lang w:val="it-IT"/>
        </w:rPr>
        <w:t>numero di punti grezzo = pavimento + frazione del profilo × (tetto − pavimento)</w:t>
      </w:r>
    </w:p>
    <w:p w14:paraId="0FF37DC7" w14:textId="77777777" w:rsidR="00035F7E" w:rsidRDefault="008242CC">
      <w:pPr>
        <w:rPr>
          <w:lang w:val="it-IT"/>
        </w:rPr>
      </w:pPr>
      <w:r>
        <w:rPr>
          <w:lang w:val="it-IT"/>
        </w:rPr>
        <w:lastRenderedPageBreak/>
        <w:t>Il valore grezzo viene arrotondato all’intero più vicino secondo la regola round-to-nearest con ties-to-even. Nei casi esattamente a metà, 142,5 viene arrotondato a 142 e 143,5 viene arrotondato a 144. Non viene quindi applicata una regola universale di arrotondamento per eccesso nei casi a metà.</w:t>
      </w:r>
    </w:p>
    <w:p w14:paraId="0B2CFD02" w14:textId="77777777" w:rsidR="00035F7E" w:rsidRDefault="008242CC">
      <w:pPr>
        <w:rPr>
          <w:lang w:val="it-IT"/>
        </w:rPr>
      </w:pPr>
      <w:r>
        <w:rPr>
          <w:lang w:val="it-IT"/>
        </w:rPr>
        <w:t>numero di punti = massimo fra pavimento e tale valore</w:t>
      </w:r>
    </w:p>
    <w:p w14:paraId="57F2F4AA" w14:textId="77777777" w:rsidR="00035F7E" w:rsidRDefault="008242CC">
      <w:pPr>
        <w:rPr>
          <w:lang w:val="it-IT"/>
        </w:rPr>
      </w:pPr>
      <w:r>
        <w:rPr>
          <w:lang w:val="it-IT"/>
        </w:rPr>
        <w:t>numero di punti = minimo fra le osservazioni disponibili e tale valore</w:t>
      </w:r>
    </w:p>
    <w:p w14:paraId="1EA10DC7" w14:textId="77777777" w:rsidR="00035F7E" w:rsidRDefault="008242CC">
      <w:pPr>
        <w:rPr>
          <w:lang w:val="it-IT"/>
        </w:rPr>
      </w:pPr>
      <w:r>
        <w:rPr>
          <w:lang w:val="it-IT"/>
        </w:rPr>
        <w:t>dove la frazione del profilo è quella del profilo di backtest e le osservazioni disponibili sono quelle effettivamente presenti prima dell’anchor.</w:t>
      </w:r>
    </w:p>
    <w:p w14:paraId="239A53FA" w14:textId="77777777" w:rsidR="00035F7E" w:rsidRDefault="008242CC">
      <w:pPr>
        <w:rPr>
          <w:lang w:val="it-IT"/>
        </w:rPr>
      </w:pPr>
      <w:r>
        <w:rPr>
          <w:lang w:val="it-IT"/>
        </w:rPr>
        <w:t>Il cap viene applicato dal sistema di preparazione del contesto di esecuzione del modello, in modo che il contesto restituito sia già cappato e pronto per il run, indipendentemente dal fatto che si tratti del forecast finale, della calibrazione dei prediction interval o di un trial di backtest.</w:t>
      </w:r>
    </w:p>
    <w:p w14:paraId="729458A3" w14:textId="77777777" w:rsidR="00035F7E" w:rsidRDefault="008242CC">
      <w:pPr>
        <w:rPr>
          <w:lang w:val="it-IT"/>
        </w:rPr>
      </w:pPr>
      <w:r>
        <w:rPr>
          <w:lang w:val="it-IT"/>
        </w:rPr>
        <w:t>Questa regola implica che:</w:t>
      </w:r>
    </w:p>
    <w:p w14:paraId="4019559C" w14:textId="77777777" w:rsidR="00035F7E" w:rsidRDefault="008242CC">
      <w:pPr>
        <w:rPr>
          <w:lang w:val="it-IT"/>
        </w:rPr>
      </w:pPr>
      <w:r>
        <w:rPr>
          <w:lang w:val="it-IT"/>
        </w:rPr>
        <w:t>se la frazione del profilo = 0, il trial usa il floor effettivo di backtest;</w:t>
      </w:r>
    </w:p>
    <w:p w14:paraId="26F606D5" w14:textId="77777777" w:rsidR="00035F7E" w:rsidRDefault="008242CC">
      <w:pPr>
        <w:rPr>
          <w:lang w:val="it-IT"/>
        </w:rPr>
      </w:pPr>
      <w:r>
        <w:rPr>
          <w:lang w:val="it-IT"/>
        </w:rPr>
        <w:t>se la frazione del profilo = 1, il trial usa il target completo del modello/frequenza;</w:t>
      </w:r>
    </w:p>
    <w:p w14:paraId="4770E5F5" w14:textId="77777777" w:rsidR="00035F7E" w:rsidRDefault="008242CC">
      <w:pPr>
        <w:rPr>
          <w:lang w:val="it-IT"/>
        </w:rPr>
      </w:pPr>
      <w:r>
        <w:rPr>
          <w:lang w:val="it-IT"/>
        </w:rPr>
        <w:t>per valori intermedi, il numero di punti cresce linearmente tra floor e target.</w:t>
      </w:r>
    </w:p>
    <w:p w14:paraId="5132B3E8" w14:textId="77777777" w:rsidR="00035F7E" w:rsidRDefault="00035F7E">
      <w:pPr>
        <w:rPr>
          <w:lang w:val="it-I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640"/>
      </w:tblGrid>
      <w:tr w:rsidR="00CD6852" w:rsidRPr="00CD6852" w14:paraId="13317F1B" w14:textId="77777777">
        <w:trPr>
          <w:tblHeader/>
          <w:tblCellSpacing w:w="15" w:type="dxa"/>
        </w:trPr>
        <w:tc>
          <w:tcPr>
            <w:tcW w:w="0" w:type="auto"/>
            <w:vAlign w:val="center"/>
            <w:hideMark/>
          </w:tcPr>
          <w:p w14:paraId="212CA533" w14:textId="77777777" w:rsidR="00CD6852" w:rsidRPr="00CD6852" w:rsidRDefault="00CD6852" w:rsidP="00CD6852">
            <w:pPr>
              <w:rPr>
                <w:color w:val="000000" w:themeColor="text1"/>
                <w:lang w:val="en-GB"/>
              </w:rPr>
            </w:pPr>
            <w:r>
              <w:rPr>
                <w:color w:val="000000" w:themeColor="text1"/>
                <w:lang w:val="en-GB"/>
              </w:rPr>
              <w:t>Modello</w:t>
            </w:r>
          </w:p>
        </w:tc>
        <w:tc>
          <w:tcPr>
            <w:tcW w:w="0" w:type="auto"/>
            <w:vAlign w:val="center"/>
            <w:hideMark/>
          </w:tcPr>
          <w:p w14:paraId="48CA47CE" w14:textId="77777777" w:rsidR="00CD6852" w:rsidRPr="00CD6852" w:rsidRDefault="00C0462E" w:rsidP="00CD6852">
            <w:pPr>
              <w:rPr>
                <w:color w:val="000000" w:themeColor="text1"/>
                <w:lang w:val="en-GB"/>
              </w:rPr>
            </w:pPr>
            <m:oMathPara>
              <m:oMath>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N</m:t>
                    </m:r>
                  </m:e>
                  <m:sub>
                    <m:r>
                      <m:rPr>
                        <m:sty m:val="b"/>
                      </m:rPr>
                      <w:rPr>
                        <w:rFonts w:ascii="Cambria Math" w:hAnsi="Cambria Math"/>
                        <w:color w:val="000000" w:themeColor="text1"/>
                        <w:lang w:val="en-GB"/>
                      </w:rPr>
                      <m:t>sane</m:t>
                    </m:r>
                  </m:sub>
                </m:sSub>
              </m:oMath>
            </m:oMathPara>
          </w:p>
        </w:tc>
      </w:tr>
      <w:tr w:rsidR="00CD6852" w:rsidRPr="00CD6852" w14:paraId="3F6BD99C" w14:textId="77777777">
        <w:trPr>
          <w:tblCellSpacing w:w="15" w:type="dxa"/>
        </w:trPr>
        <w:tc>
          <w:tcPr>
            <w:tcW w:w="0" w:type="auto"/>
            <w:vAlign w:val="center"/>
            <w:hideMark/>
          </w:tcPr>
          <w:p w14:paraId="6CE5FD68" w14:textId="77777777" w:rsidR="00CD6852" w:rsidRPr="00CD6852" w:rsidRDefault="00CD6852" w:rsidP="00CD6852">
            <w:pPr>
              <w:rPr>
                <w:color w:val="000000" w:themeColor="text1"/>
                <w:lang w:val="en-GB"/>
              </w:rPr>
            </w:pPr>
            <w:r>
              <w:rPr>
                <w:color w:val="000000" w:themeColor="text1"/>
                <w:lang w:val="en-GB"/>
              </w:rPr>
              <w:t>SARIMA</w:t>
            </w:r>
          </w:p>
        </w:tc>
        <w:tc>
          <w:tcPr>
            <w:tcW w:w="0" w:type="auto"/>
            <w:vAlign w:val="center"/>
            <w:hideMark/>
          </w:tcPr>
          <w:p w14:paraId="4E376D60" w14:textId="77777777" w:rsidR="00CD6852" w:rsidRPr="00CD6852" w:rsidRDefault="00CD6852" w:rsidP="00CD6852">
            <w:pPr>
              <w:rPr>
                <w:color w:val="000000" w:themeColor="text1"/>
                <w:lang w:val="en-GB"/>
              </w:rPr>
            </w:pPr>
            <w:r>
              <w:rPr>
                <w:color w:val="000000" w:themeColor="text1"/>
                <w:lang w:val="en-GB"/>
              </w:rPr>
              <w:t>140</w:t>
            </w:r>
          </w:p>
        </w:tc>
      </w:tr>
      <w:tr w:rsidR="00CD6852" w:rsidRPr="00CD6852" w14:paraId="3794AAB8" w14:textId="77777777">
        <w:trPr>
          <w:tblCellSpacing w:w="15" w:type="dxa"/>
        </w:trPr>
        <w:tc>
          <w:tcPr>
            <w:tcW w:w="0" w:type="auto"/>
            <w:vAlign w:val="center"/>
            <w:hideMark/>
          </w:tcPr>
          <w:p w14:paraId="2788186E" w14:textId="77777777" w:rsidR="00CD6852" w:rsidRPr="00CD6852" w:rsidRDefault="00CD6852" w:rsidP="00CD6852">
            <w:pPr>
              <w:rPr>
                <w:color w:val="000000" w:themeColor="text1"/>
                <w:lang w:val="en-GB"/>
              </w:rPr>
            </w:pPr>
            <w:r>
              <w:rPr>
                <w:color w:val="000000" w:themeColor="text1"/>
                <w:lang w:val="en-GB"/>
              </w:rPr>
              <w:t>Prophet</w:t>
            </w:r>
          </w:p>
        </w:tc>
        <w:tc>
          <w:tcPr>
            <w:tcW w:w="0" w:type="auto"/>
            <w:vAlign w:val="center"/>
            <w:hideMark/>
          </w:tcPr>
          <w:p w14:paraId="2B1DF6E0" w14:textId="77777777" w:rsidR="00CD6852" w:rsidRPr="00CD6852" w:rsidRDefault="00CD6852" w:rsidP="00CD6852">
            <w:pPr>
              <w:rPr>
                <w:color w:val="000000" w:themeColor="text1"/>
                <w:lang w:val="en-GB"/>
              </w:rPr>
            </w:pPr>
            <w:r>
              <w:rPr>
                <w:color w:val="000000" w:themeColor="text1"/>
                <w:lang w:val="en-GB"/>
              </w:rPr>
              <w:t>200</w:t>
            </w:r>
          </w:p>
        </w:tc>
      </w:tr>
      <w:tr w:rsidR="00CD6852" w:rsidRPr="00CD6852" w14:paraId="57499F26" w14:textId="77777777">
        <w:trPr>
          <w:tblCellSpacing w:w="15" w:type="dxa"/>
        </w:trPr>
        <w:tc>
          <w:tcPr>
            <w:tcW w:w="0" w:type="auto"/>
            <w:vAlign w:val="center"/>
            <w:hideMark/>
          </w:tcPr>
          <w:p w14:paraId="5D662949" w14:textId="77777777" w:rsidR="00CD6852" w:rsidRPr="00CD6852" w:rsidRDefault="00CD6852" w:rsidP="00CD6852">
            <w:pPr>
              <w:rPr>
                <w:color w:val="000000" w:themeColor="text1"/>
                <w:lang w:val="en-GB"/>
              </w:rPr>
            </w:pPr>
            <w:r>
              <w:rPr>
                <w:color w:val="000000" w:themeColor="text1"/>
                <w:lang w:val="en-GB"/>
              </w:rPr>
              <w:t>TBATS</w:t>
            </w:r>
          </w:p>
        </w:tc>
        <w:tc>
          <w:tcPr>
            <w:tcW w:w="0" w:type="auto"/>
            <w:vAlign w:val="center"/>
            <w:hideMark/>
          </w:tcPr>
          <w:p w14:paraId="334ACA8F" w14:textId="77777777" w:rsidR="00CD6852" w:rsidRPr="00CD6852" w:rsidRDefault="00CD6852" w:rsidP="00CD6852">
            <w:pPr>
              <w:rPr>
                <w:color w:val="000000" w:themeColor="text1"/>
                <w:lang w:val="en-GB"/>
              </w:rPr>
            </w:pPr>
            <w:r>
              <w:rPr>
                <w:color w:val="000000" w:themeColor="text1"/>
                <w:lang w:val="en-GB"/>
              </w:rPr>
              <w:t>260</w:t>
            </w:r>
          </w:p>
        </w:tc>
      </w:tr>
      <w:tr w:rsidR="00CD6852" w:rsidRPr="00CD6852" w14:paraId="2C6CDFC1" w14:textId="77777777">
        <w:trPr>
          <w:tblCellSpacing w:w="15" w:type="dxa"/>
        </w:trPr>
        <w:tc>
          <w:tcPr>
            <w:tcW w:w="0" w:type="auto"/>
            <w:vAlign w:val="center"/>
            <w:hideMark/>
          </w:tcPr>
          <w:p w14:paraId="3E6B4E6B" w14:textId="77777777" w:rsidR="00CD6852" w:rsidRPr="00CD6852" w:rsidRDefault="00CD6852" w:rsidP="00CD6852">
            <w:pPr>
              <w:rPr>
                <w:color w:val="000000" w:themeColor="text1"/>
                <w:lang w:val="en-GB"/>
              </w:rPr>
            </w:pPr>
            <w:r>
              <w:rPr>
                <w:color w:val="000000" w:themeColor="text1"/>
                <w:lang w:val="en-GB"/>
              </w:rPr>
              <w:t>ETS</w:t>
            </w:r>
          </w:p>
        </w:tc>
        <w:tc>
          <w:tcPr>
            <w:tcW w:w="0" w:type="auto"/>
            <w:vAlign w:val="center"/>
            <w:hideMark/>
          </w:tcPr>
          <w:p w14:paraId="35AC4201" w14:textId="77777777" w:rsidR="00CD6852" w:rsidRPr="00CD6852" w:rsidRDefault="00CD6852" w:rsidP="00CD6852">
            <w:pPr>
              <w:rPr>
                <w:color w:val="000000" w:themeColor="text1"/>
                <w:lang w:val="en-GB"/>
              </w:rPr>
            </w:pPr>
            <w:r>
              <w:rPr>
                <w:color w:val="000000" w:themeColor="text1"/>
                <w:lang w:val="en-GB"/>
              </w:rPr>
              <w:t>140</w:t>
            </w:r>
          </w:p>
        </w:tc>
      </w:tr>
      <w:tr w:rsidR="00CD6852" w:rsidRPr="00CD6852" w14:paraId="74682709" w14:textId="77777777">
        <w:trPr>
          <w:tblCellSpacing w:w="15" w:type="dxa"/>
        </w:trPr>
        <w:tc>
          <w:tcPr>
            <w:tcW w:w="0" w:type="auto"/>
            <w:vAlign w:val="center"/>
            <w:hideMark/>
          </w:tcPr>
          <w:p w14:paraId="67D0BC36" w14:textId="77777777" w:rsidR="00CD6852" w:rsidRPr="00CD6852" w:rsidRDefault="00CD6852" w:rsidP="00CD6852">
            <w:pPr>
              <w:rPr>
                <w:color w:val="000000" w:themeColor="text1"/>
                <w:lang w:val="en-GB"/>
              </w:rPr>
            </w:pPr>
            <w:r>
              <w:rPr>
                <w:color w:val="000000" w:themeColor="text1"/>
                <w:lang w:val="en-GB"/>
              </w:rPr>
              <w:t>Theta</w:t>
            </w:r>
          </w:p>
        </w:tc>
        <w:tc>
          <w:tcPr>
            <w:tcW w:w="0" w:type="auto"/>
            <w:vAlign w:val="center"/>
            <w:hideMark/>
          </w:tcPr>
          <w:p w14:paraId="4DD1604C" w14:textId="77777777" w:rsidR="00CD6852" w:rsidRPr="00CD6852" w:rsidRDefault="00CD6852" w:rsidP="00CD6852">
            <w:pPr>
              <w:rPr>
                <w:color w:val="000000" w:themeColor="text1"/>
                <w:lang w:val="en-GB"/>
              </w:rPr>
            </w:pPr>
            <w:r>
              <w:rPr>
                <w:color w:val="000000" w:themeColor="text1"/>
                <w:lang w:val="en-GB"/>
              </w:rPr>
              <w:t>120</w:t>
            </w:r>
          </w:p>
        </w:tc>
      </w:tr>
      <w:tr w:rsidR="00CD6852" w:rsidRPr="00CD6852" w14:paraId="432E808B" w14:textId="77777777">
        <w:trPr>
          <w:tblCellSpacing w:w="15" w:type="dxa"/>
        </w:trPr>
        <w:tc>
          <w:tcPr>
            <w:tcW w:w="0" w:type="auto"/>
            <w:vAlign w:val="center"/>
            <w:hideMark/>
          </w:tcPr>
          <w:p w14:paraId="5AAE85E5" w14:textId="77777777" w:rsidR="00CD6852" w:rsidRPr="00CD6852" w:rsidRDefault="00CD6852" w:rsidP="00CD6852">
            <w:pPr>
              <w:rPr>
                <w:color w:val="000000" w:themeColor="text1"/>
                <w:lang w:val="en-GB"/>
              </w:rPr>
            </w:pPr>
            <w:r>
              <w:rPr>
                <w:color w:val="000000" w:themeColor="text1"/>
                <w:lang w:val="en-GB"/>
              </w:rPr>
              <w:t>LightGBM</w:t>
            </w:r>
          </w:p>
        </w:tc>
        <w:tc>
          <w:tcPr>
            <w:tcW w:w="0" w:type="auto"/>
            <w:vAlign w:val="center"/>
            <w:hideMark/>
          </w:tcPr>
          <w:p w14:paraId="74538552" w14:textId="77777777" w:rsidR="00CD6852" w:rsidRPr="00CD6852" w:rsidRDefault="00CD6852" w:rsidP="00CD6852">
            <w:pPr>
              <w:rPr>
                <w:color w:val="000000" w:themeColor="text1"/>
                <w:lang w:val="en-GB"/>
              </w:rPr>
            </w:pPr>
            <w:r>
              <w:rPr>
                <w:color w:val="000000" w:themeColor="text1"/>
                <w:lang w:val="en-GB"/>
              </w:rPr>
              <w:t>220</w:t>
            </w:r>
          </w:p>
        </w:tc>
      </w:tr>
      <w:tr w:rsidR="00CD6852" w:rsidRPr="00CD6852" w14:paraId="06D8EEC5" w14:textId="77777777">
        <w:trPr>
          <w:tblCellSpacing w:w="15" w:type="dxa"/>
        </w:trPr>
        <w:tc>
          <w:tcPr>
            <w:tcW w:w="0" w:type="auto"/>
            <w:vAlign w:val="center"/>
            <w:hideMark/>
          </w:tcPr>
          <w:p w14:paraId="6A0621BF" w14:textId="77777777" w:rsidR="00CD6852" w:rsidRPr="00CD6852" w:rsidRDefault="00CD6852" w:rsidP="00CD6852">
            <w:pPr>
              <w:rPr>
                <w:color w:val="000000" w:themeColor="text1"/>
                <w:lang w:val="en-GB"/>
              </w:rPr>
            </w:pPr>
            <w:r>
              <w:rPr>
                <w:color w:val="000000" w:themeColor="text1"/>
                <w:lang w:val="en-GB"/>
              </w:rPr>
              <w:t>CatBoost</w:t>
            </w:r>
          </w:p>
        </w:tc>
        <w:tc>
          <w:tcPr>
            <w:tcW w:w="0" w:type="auto"/>
            <w:vAlign w:val="center"/>
            <w:hideMark/>
          </w:tcPr>
          <w:p w14:paraId="084980A5" w14:textId="77777777" w:rsidR="00CD6852" w:rsidRPr="00CD6852" w:rsidRDefault="00CD6852" w:rsidP="00CD6852">
            <w:pPr>
              <w:rPr>
                <w:color w:val="000000" w:themeColor="text1"/>
                <w:lang w:val="en-GB"/>
              </w:rPr>
            </w:pPr>
            <w:r>
              <w:rPr>
                <w:color w:val="000000" w:themeColor="text1"/>
                <w:lang w:val="en-GB"/>
              </w:rPr>
              <w:t>220</w:t>
            </w:r>
          </w:p>
        </w:tc>
      </w:tr>
      <w:tr w:rsidR="00CD6852" w:rsidRPr="00CD6852" w14:paraId="60741A57" w14:textId="77777777">
        <w:trPr>
          <w:tblCellSpacing w:w="15" w:type="dxa"/>
        </w:trPr>
        <w:tc>
          <w:tcPr>
            <w:tcW w:w="0" w:type="auto"/>
            <w:vAlign w:val="center"/>
            <w:hideMark/>
          </w:tcPr>
          <w:p w14:paraId="4B4CB137" w14:textId="77777777" w:rsidR="00CD6852" w:rsidRPr="00CD6852" w:rsidRDefault="00CD6852" w:rsidP="00CD6852">
            <w:pPr>
              <w:rPr>
                <w:color w:val="000000" w:themeColor="text1"/>
                <w:lang w:val="en-GB"/>
              </w:rPr>
            </w:pPr>
            <w:r>
              <w:rPr>
                <w:color w:val="000000" w:themeColor="text1"/>
                <w:lang w:val="en-GB"/>
              </w:rPr>
              <w:t>NBEATS</w:t>
            </w:r>
          </w:p>
        </w:tc>
        <w:tc>
          <w:tcPr>
            <w:tcW w:w="0" w:type="auto"/>
            <w:vAlign w:val="center"/>
            <w:hideMark/>
          </w:tcPr>
          <w:p w14:paraId="583766EB" w14:textId="77777777" w:rsidR="00CD6852" w:rsidRPr="00CD6852" w:rsidRDefault="00CD6852" w:rsidP="00CD6852">
            <w:pPr>
              <w:rPr>
                <w:color w:val="000000" w:themeColor="text1"/>
                <w:lang w:val="en-GB"/>
              </w:rPr>
            </w:pPr>
            <w:r>
              <w:rPr>
                <w:color w:val="000000" w:themeColor="text1"/>
                <w:lang w:val="en-GB"/>
              </w:rPr>
              <w:t>320</w:t>
            </w:r>
          </w:p>
        </w:tc>
      </w:tr>
    </w:tbl>
    <w:p w14:paraId="612354B2" w14:textId="77777777" w:rsidR="000854B7" w:rsidRPr="00BE3538" w:rsidRDefault="008242CC">
      <w:pPr>
        <w:pStyle w:val="Heading2"/>
        <w:rPr>
          <w:lang w:val="it-IT"/>
        </w:rPr>
      </w:pPr>
      <w:bookmarkStart w:id="84" w:name="_Toc236387251"/>
      <w:r>
        <w:rPr>
          <w:lang w:val="it-IT"/>
        </w:rPr>
        <w:t>9.7 Errore per trial e aggregazione</w:t>
      </w:r>
      <w:bookmarkEnd w:id="84"/>
    </w:p>
    <w:p w14:paraId="23750962" w14:textId="77777777" w:rsidR="000854B7" w:rsidRPr="00BE3538" w:rsidRDefault="008242CC">
      <w:pPr>
        <w:pStyle w:val="FirstParagraph"/>
        <w:rPr>
          <w:lang w:val="it-IT"/>
        </w:rPr>
      </w:pPr>
      <w:r>
        <w:rPr>
          <w:lang w:val="it-IT"/>
        </w:rPr>
        <w:t>Per ogni trial valido il motore usa un absolute percentage error robusto:</w:t>
      </w:r>
    </w:p>
    <w:p w14:paraId="5BF5AA79" w14:textId="77777777" w:rsidR="000854B7" w:rsidRDefault="008242CC">
      <w:pPr>
        <w:pStyle w:val="BodyText"/>
      </w:pPr>
      <m:oMathPara>
        <m:oMathParaPr>
          <m:jc m:val="center"/>
        </m:oMathParaPr>
        <m:oMath>
          <m:r>
            <w:rPr>
              <w:rFonts w:ascii="Cambria Math" w:hAnsi="Cambria Math"/>
            </w:rPr>
            <m:t>APE</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num>
            <m:den>
              <m:r>
                <m:rPr>
                  <m:sty m:val="p"/>
                </m:rPr>
                <w:rPr>
                  <w:rFonts w:ascii="Cambria Math" w:hAnsi="Cambria Math"/>
                </w:rPr>
                <m:t>max</m:t>
              </m:r>
              <m:d>
                <m:dPr>
                  <m:ctrlPr>
                    <w:rPr>
                      <w:rFonts w:ascii="Cambria Math" w:hAnsi="Cambria Math"/>
                    </w:rPr>
                  </m:ctrlPr>
                </m:dPr>
                <m:e>
                  <m:d>
                    <m:dPr>
                      <m:begChr m:val="|"/>
                      <m:endChr m:val="|"/>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ε</m:t>
                  </m:r>
                </m:e>
              </m:d>
            </m:den>
          </m:f>
        </m:oMath>
      </m:oMathPara>
    </w:p>
    <w:p w14:paraId="7A99D4CC" w14:textId="77777777" w:rsidR="000854B7" w:rsidRPr="00BE3538" w:rsidRDefault="008242CC">
      <w:pPr>
        <w:pStyle w:val="FirstParagraph"/>
        <w:rPr>
          <w:lang w:val="it-IT"/>
        </w:rPr>
      </w:pPr>
      <w:r>
        <w:rPr>
          <w:lang w:val="it-IT"/>
        </w:rPr>
        <w:lastRenderedPageBreak/>
        <w:t xml:space="preserve">con </w:t>
      </w:r>
      <m:oMath>
        <m:r>
          <w:rPr>
            <w:rFonts w:ascii="Cambria Math" w:hAnsi="Cambria Math"/>
          </w:rPr>
          <m:t>ε</m:t>
        </m:r>
        <m:r>
          <m:rPr>
            <m:sty m:val="p"/>
          </m:rPr>
          <w:rPr>
            <w:rFonts w:ascii="Cambria Math" w:hAnsi="Cambria Math"/>
            <w:lang w:val="it-IT"/>
          </w:rPr>
          <m:t>=</m:t>
        </m:r>
        <m:r>
          <w:rPr>
            <w:rFonts w:ascii="Cambria Math" w:hAnsi="Cambria Math"/>
            <w:lang w:val="it-IT"/>
          </w:rPr>
          <m:t>10</m:t>
        </m:r>
        <m:r>
          <m:rPr>
            <m:sty m:val="p"/>
          </m:rPr>
          <w:rPr>
            <w:rFonts w:ascii="Cambria Math" w:hAnsi="Cambria Math"/>
            <w:lang w:val="it-IT"/>
          </w:rPr>
          <m:t>^-</m:t>
        </m:r>
        <m:r>
          <w:rPr>
            <w:rFonts w:ascii="Cambria Math" w:hAnsi="Cambria Math"/>
            <w:lang w:val="it-IT"/>
          </w:rPr>
          <m:t>12</m:t>
        </m:r>
      </m:oMath>
      <w:r>
        <w:rPr>
          <w:lang w:val="it-IT"/>
        </w:rPr>
        <w:t>.</w:t>
      </w:r>
    </w:p>
    <w:p w14:paraId="7A858513" w14:textId="77777777" w:rsidR="000854B7" w:rsidRPr="00BE3538" w:rsidRDefault="008242CC">
      <w:pPr>
        <w:pStyle w:val="BodyText"/>
        <w:rPr>
          <w:lang w:val="it-IT"/>
        </w:rPr>
      </w:pPr>
      <w:r>
        <w:rPr>
          <w:lang w:val="it-IT"/>
        </w:rPr>
        <w:t>L’errore storico del modello è la media degli APE validi. Il recent error è la media dell’ultimo 30% dei trial validi ordinati cronologicamente.</w:t>
      </w:r>
    </w:p>
    <w:p w14:paraId="6F4F2A8D" w14:textId="77777777" w:rsidR="000854B7" w:rsidRPr="00BE3538" w:rsidRDefault="008242CC">
      <w:pPr>
        <w:pStyle w:val="Heading2"/>
        <w:rPr>
          <w:lang w:val="it-IT"/>
        </w:rPr>
      </w:pPr>
      <w:bookmarkStart w:id="85" w:name="escalation"/>
      <w:bookmarkStart w:id="86" w:name="_Toc236387252"/>
      <w:bookmarkEnd w:id="79"/>
      <w:r>
        <w:rPr>
          <w:lang w:val="it-IT"/>
        </w:rPr>
        <w:t>9.8 Escalation</w:t>
      </w:r>
      <w:bookmarkEnd w:id="86"/>
    </w:p>
    <w:p w14:paraId="4B205EC7" w14:textId="77777777" w:rsidR="000854B7" w:rsidRPr="00BE3538" w:rsidRDefault="008242CC">
      <w:pPr>
        <w:pStyle w:val="FirstParagraph"/>
        <w:rPr>
          <w:lang w:val="it-IT"/>
        </w:rPr>
      </w:pPr>
      <w:r>
        <w:rPr>
          <w:lang w:val="it-IT"/>
        </w:rPr>
        <w:t>Se il modello non raggiunge il minimo numero di trial validi per il profilo richiesto, si esegue escalation:</w:t>
      </w:r>
    </w:p>
    <w:p w14:paraId="33E0E65D" w14:textId="77777777" w:rsidR="000854B7" w:rsidRDefault="008242CC">
      <w:pPr>
        <w:pStyle w:val="BodyText"/>
      </w:pPr>
      <m:oMathPara>
        <m:oMathParaPr>
          <m:jc m:val="center"/>
        </m:oMathParaPr>
        <m:oMath>
          <m:r>
            <m:rPr>
              <m:nor/>
            </m:rPr>
            <m:t>fast</m:t>
          </m:r>
          <m:r>
            <m:rPr>
              <m:sty m:val="p"/>
            </m:rPr>
            <w:rPr>
              <w:rFonts w:ascii="Cambria Math" w:hAnsi="Cambria Math"/>
            </w:rPr>
            <m:t>→</m:t>
          </m:r>
          <m:r>
            <m:rPr>
              <m:nor/>
            </m:rPr>
            <m:t>medium</m:t>
          </m:r>
          <m:r>
            <m:rPr>
              <m:sty m:val="p"/>
            </m:rPr>
            <w:rPr>
              <w:rFonts w:ascii="Cambria Math" w:hAnsi="Cambria Math"/>
            </w:rPr>
            <m:t>→</m:t>
          </m:r>
          <m:r>
            <m:rPr>
              <m:nor/>
            </m:rPr>
            <m:t>long</m:t>
          </m:r>
          <m:r>
            <m:rPr>
              <m:sty m:val="p"/>
            </m:rPr>
            <w:rPr>
              <w:rFonts w:ascii="Cambria Math" w:hAnsi="Cambria Math"/>
            </w:rPr>
            <m:t>→</m:t>
          </m:r>
          <m:r>
            <m:rPr>
              <m:nor/>
            </m:rPr>
            <m:t>molto lungo</m:t>
          </m:r>
        </m:oMath>
      </m:oMathPara>
    </w:p>
    <w:p w14:paraId="55F2511B" w14:textId="77777777" w:rsidR="000854B7" w:rsidRPr="00BE3538" w:rsidRDefault="008242CC">
      <w:pPr>
        <w:pStyle w:val="FirstParagraph"/>
        <w:rPr>
          <w:lang w:val="it-IT"/>
        </w:rPr>
      </w:pPr>
      <w:r>
        <w:t xml:space="preserve">L’escalation è per-modello. </w:t>
      </w:r>
      <w:r>
        <w:rPr>
          <w:lang w:val="it-IT"/>
        </w:rPr>
        <w:t>Non tutti i modelli devono necessariamente fermarsi allo stesso profilo effettivo.</w:t>
      </w:r>
    </w:p>
    <w:p w14:paraId="4C1E520C" w14:textId="77777777" w:rsidR="000854B7" w:rsidRDefault="00C0462E">
      <w:r>
        <w:pict w14:anchorId="7DF1D25F">
          <v:rect id="_x0000_i1039" style="width:0;height:1.5pt" o:hralign="center" o:hrstd="t" o:hr="t"/>
        </w:pict>
      </w:r>
    </w:p>
    <w:p w14:paraId="423E7D03" w14:textId="77777777" w:rsidR="000854B7" w:rsidRPr="00BE3538" w:rsidRDefault="008242CC">
      <w:pPr>
        <w:pStyle w:val="Heading1"/>
        <w:rPr>
          <w:lang w:val="it-IT"/>
        </w:rPr>
      </w:pPr>
      <w:bookmarkStart w:id="87" w:name="calcolo-dei-pesi-ensemble"/>
      <w:bookmarkStart w:id="88" w:name="_Toc236387253"/>
      <w:bookmarkEnd w:id="72"/>
      <w:bookmarkEnd w:id="85"/>
      <w:r>
        <w:rPr>
          <w:lang w:val="it-IT"/>
        </w:rPr>
        <w:t>10. Calcolo dei pesi ensemble</w:t>
      </w:r>
      <w:bookmarkEnd w:id="88"/>
    </w:p>
    <w:p w14:paraId="724EB015" w14:textId="77777777" w:rsidR="000854B7" w:rsidRPr="00BE3538" w:rsidRDefault="008242CC">
      <w:pPr>
        <w:pStyle w:val="Heading2"/>
        <w:rPr>
          <w:lang w:val="it-IT"/>
        </w:rPr>
      </w:pPr>
      <w:bookmarkStart w:id="89" w:name="peso-inverso-di-potenza"/>
      <w:bookmarkStart w:id="90" w:name="_Toc236387254"/>
      <w:r>
        <w:rPr>
          <w:lang w:val="it-IT"/>
        </w:rPr>
        <w:t>10.1 Peso inverso di potenza</w:t>
      </w:r>
      <w:bookmarkEnd w:id="90"/>
    </w:p>
    <w:p w14:paraId="4FC60738" w14:textId="77777777" w:rsidR="000854B7" w:rsidRPr="00BE3538" w:rsidRDefault="008242CC">
      <w:pPr>
        <w:pStyle w:val="FirstParagraph"/>
        <w:rPr>
          <w:lang w:val="it-IT"/>
        </w:rPr>
      </w:pPr>
      <w:r>
        <w:rPr>
          <w:lang w:val="it-IT"/>
        </w:rPr>
        <w:t xml:space="preserve">Per un vettore di errori storici </w:t>
      </w:r>
      <m:oMath>
        <m:sSub>
          <m:sSubPr>
            <m:ctrlPr>
              <w:rPr>
                <w:rFonts w:ascii="Cambria Math" w:hAnsi="Cambria Math"/>
              </w:rPr>
            </m:ctrlPr>
          </m:sSubPr>
          <m:e>
            <m:r>
              <w:rPr>
                <w:rFonts w:ascii="Cambria Math" w:hAnsi="Cambria Math"/>
              </w:rPr>
              <m:t>e</m:t>
            </m:r>
          </m:e>
          <m:sub>
            <m:r>
              <w:rPr>
                <w:rFonts w:ascii="Cambria Math" w:hAnsi="Cambria Math"/>
              </w:rPr>
              <m:t>m</m:t>
            </m:r>
          </m:sub>
        </m:sSub>
      </m:oMath>
      <w:r>
        <w:rPr>
          <w:lang w:val="it-IT"/>
        </w:rPr>
        <w:t>:</w:t>
      </w:r>
    </w:p>
    <w:p w14:paraId="7B0FD744" w14:textId="77777777" w:rsidR="000854B7" w:rsidRDefault="00C0462E">
      <w:pPr>
        <w:pStyle w:val="BodyText"/>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m</m:t>
              </m:r>
            </m:sub>
            <m:sup>
              <m:r>
                <w:rPr>
                  <w:rFonts w:ascii="Cambria Math" w:hAnsi="Cambria Math"/>
                </w:rPr>
                <m:t>inv</m:t>
              </m:r>
            </m:sup>
          </m:sSub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m</m:t>
                  </m:r>
                </m:sub>
                <m:sup>
                  <m:r>
                    <w:rPr>
                      <w:rFonts w:ascii="Cambria Math" w:hAnsi="Cambria Math"/>
                    </w:rPr>
                    <m:t>p</m:t>
                  </m:r>
                </m:sup>
              </m:sSub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1</m:t>
                  </m:r>
                </m:e>
              </m:nary>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p</m:t>
                  </m:r>
                </m:sup>
              </m:sSubSup>
            </m:den>
          </m:f>
        </m:oMath>
      </m:oMathPara>
    </w:p>
    <w:p w14:paraId="29C2496F" w14:textId="77777777" w:rsidR="000854B7" w:rsidRDefault="008242CC">
      <w:pPr>
        <w:pStyle w:val="FirstParagraph"/>
      </w:pPr>
      <w:r>
        <w:t>con esponente fisso:</w:t>
      </w:r>
    </w:p>
    <w:p w14:paraId="1D87F960" w14:textId="77777777" w:rsidR="000854B7" w:rsidRDefault="008242CC">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2.0</m:t>
          </m:r>
        </m:oMath>
      </m:oMathPara>
    </w:p>
    <w:p w14:paraId="04768762" w14:textId="77777777" w:rsidR="000854B7" w:rsidRPr="00BE3538" w:rsidRDefault="008242CC">
      <w:pPr>
        <w:pStyle w:val="Heading2"/>
        <w:rPr>
          <w:lang w:val="it-IT"/>
        </w:rPr>
      </w:pPr>
      <w:bookmarkStart w:id="91" w:name="blend-full-recent"/>
      <w:bookmarkStart w:id="92" w:name="_Toc236387255"/>
      <w:bookmarkEnd w:id="89"/>
      <w:r>
        <w:rPr>
          <w:lang w:val="it-IT"/>
        </w:rPr>
        <w:t>10.2 Blend full + recent (percorso base)</w:t>
      </w:r>
      <w:bookmarkEnd w:id="92"/>
    </w:p>
    <w:p w14:paraId="52347438" w14:textId="77777777" w:rsidR="000854B7" w:rsidRPr="00BE3538" w:rsidRDefault="008242CC">
      <w:pPr>
        <w:pStyle w:val="FirstParagraph"/>
        <w:rPr>
          <w:lang w:val="it-IT"/>
        </w:rPr>
      </w:pPr>
      <w:r>
        <w:rPr>
          <w:lang w:val="it-IT"/>
        </w:rPr>
        <w:t>Il motore costruisce due vettori di peso:</w:t>
      </w:r>
    </w:p>
    <w:p w14:paraId="415B7C55" w14:textId="77777777" w:rsidR="000854B7" w:rsidRDefault="008242CC" w:rsidP="008242CC">
      <w:pPr>
        <w:numPr>
          <w:ilvl w:val="0"/>
          <w:numId w:val="10"/>
        </w:numPr>
      </w:pPr>
      <w:r>
        <w:t>full history;</w:t>
      </w:r>
    </w:p>
    <w:p w14:paraId="6DBDA99C" w14:textId="77777777" w:rsidR="000854B7" w:rsidRDefault="008242CC" w:rsidP="008242CC">
      <w:pPr>
        <w:numPr>
          <w:ilvl w:val="0"/>
          <w:numId w:val="10"/>
        </w:numPr>
      </w:pPr>
      <w:r>
        <w:t>recent window.</w:t>
      </w:r>
    </w:p>
    <w:p w14:paraId="2020B29F" w14:textId="77777777" w:rsidR="000854B7" w:rsidRDefault="008242CC">
      <w:pPr>
        <w:pStyle w:val="FirstParagraph"/>
      </w:pPr>
      <w:r>
        <w:t>Il peso finale è:</w:t>
      </w:r>
    </w:p>
    <w:p w14:paraId="21713570" w14:textId="77777777" w:rsidR="000854B7" w:rsidRDefault="00C0462E">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r>
            <w:rPr>
              <w:rFonts w:ascii="Cambria Math" w:hAnsi="Cambria Math"/>
            </w:rPr>
            <m:t>α</m:t>
          </m:r>
          <m:sSubSup>
            <m:sSubSupPr>
              <m:ctrlPr>
                <w:rPr>
                  <w:rFonts w:ascii="Cambria Math" w:hAnsi="Cambria Math"/>
                </w:rPr>
              </m:ctrlPr>
            </m:sSubSupPr>
            <m:e>
              <m:r>
                <w:rPr>
                  <w:rFonts w:ascii="Cambria Math" w:hAnsi="Cambria Math"/>
                </w:rPr>
                <m:t>w</m:t>
              </m:r>
            </m:e>
            <m:sub>
              <m:r>
                <w:rPr>
                  <w:rFonts w:ascii="Cambria Math" w:hAnsi="Cambria Math"/>
                </w:rPr>
                <m:t>m</m:t>
              </m:r>
            </m:sub>
            <m:sup>
              <m:r>
                <w:rPr>
                  <w:rFonts w:ascii="Cambria Math" w:hAnsi="Cambria Math"/>
                </w:rPr>
                <m:t>full</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Sup>
            <m:sSubSupPr>
              <m:ctrlPr>
                <w:rPr>
                  <w:rFonts w:ascii="Cambria Math" w:hAnsi="Cambria Math"/>
                </w:rPr>
              </m:ctrlPr>
            </m:sSubSupPr>
            <m:e>
              <m:r>
                <w:rPr>
                  <w:rFonts w:ascii="Cambria Math" w:hAnsi="Cambria Math"/>
                </w:rPr>
                <m:t>w</m:t>
              </m:r>
            </m:e>
            <m:sub>
              <m:r>
                <w:rPr>
                  <w:rFonts w:ascii="Cambria Math" w:hAnsi="Cambria Math"/>
                </w:rPr>
                <m:t>m</m:t>
              </m:r>
            </m:sub>
            <m:sup>
              <m:r>
                <w:rPr>
                  <w:rFonts w:ascii="Cambria Math" w:hAnsi="Cambria Math"/>
                </w:rPr>
                <m:t>recent</m:t>
              </m:r>
            </m:sup>
          </m:sSubSup>
        </m:oMath>
      </m:oMathPara>
    </w:p>
    <w:p w14:paraId="0F1BBB98" w14:textId="77777777" w:rsidR="000854B7" w:rsidRDefault="008242CC">
      <w:pPr>
        <w:pStyle w:val="FirstParagraph"/>
      </w:pPr>
      <w:r>
        <w:t>con:</w:t>
      </w:r>
    </w:p>
    <w:p w14:paraId="35F868A5" w14:textId="77777777" w:rsidR="000854B7" w:rsidRDefault="008242CC">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0.65</m:t>
          </m:r>
        </m:oMath>
      </m:oMathPara>
    </w:p>
    <w:p w14:paraId="15D36526" w14:textId="77777777" w:rsidR="000854B7" w:rsidRPr="00BE3538" w:rsidRDefault="008242CC">
      <w:pPr>
        <w:pStyle w:val="FirstParagraph"/>
        <w:rPr>
          <w:lang w:val="it-IT"/>
        </w:rPr>
      </w:pPr>
      <w:r>
        <w:rPr>
          <w:lang w:val="it-IT"/>
        </w:rPr>
        <w:t>Il vettore risultante viene poi rinormalizzato in modo che:</w:t>
      </w:r>
    </w:p>
    <w:p w14:paraId="69DC2929" w14:textId="77777777" w:rsidR="000854B7" w:rsidRDefault="00C0462E">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m</m:t>
                  </m:r>
                </m:sub>
              </m:sSub>
            </m:e>
          </m:nary>
          <m:r>
            <m:rPr>
              <m:sty m:val="p"/>
            </m:rPr>
            <w:rPr>
              <w:rFonts w:ascii="Cambria Math" w:hAnsi="Cambria Math"/>
            </w:rPr>
            <m:t>=</m:t>
          </m:r>
          <m:r>
            <w:rPr>
              <w:rFonts w:ascii="Cambria Math" w:hAnsi="Cambria Math"/>
            </w:rPr>
            <m:t>1</m:t>
          </m:r>
        </m:oMath>
      </m:oMathPara>
    </w:p>
    <w:p w14:paraId="3E23F93D" w14:textId="77777777" w:rsidR="000854B7" w:rsidRDefault="008242CC">
      <w:pPr>
        <w:pStyle w:val="Heading2"/>
      </w:pPr>
      <w:bookmarkStart w:id="93" w:name="fallback"/>
      <w:bookmarkStart w:id="94" w:name="_Toc236387256"/>
      <w:bookmarkEnd w:id="91"/>
      <w:r>
        <w:lastRenderedPageBreak/>
        <w:t>10.3 Pesatura tail-aware (percorso primario)</w:t>
      </w:r>
      <w:bookmarkEnd w:id="94"/>
    </w:p>
    <w:p w14:paraId="051D6FDB" w14:textId="77777777" w:rsidR="000854B7" w:rsidRPr="00BE3538" w:rsidRDefault="008242CC" w:rsidP="008242CC">
      <w:pPr>
        <w:numPr>
          <w:ilvl w:val="0"/>
          <w:numId w:val="11"/>
        </w:numPr>
        <w:rPr>
          <w:lang w:val="it-IT"/>
        </w:rPr>
      </w:pPr>
      <w:r>
        <w:rPr>
          <w:lang w:val="it-IT"/>
        </w:rPr>
        <w:t>Quando sono disponibili le diagnostiche per-trial del backtest (p75, p90, p95, skewness, kurtosis, signed bias), il motore usa il percorso tail-aware al posto della formula base. Le sezioni 10.1–10.2 descrivono il fallback usato solo in assenza di tail stats.</w:t>
      </w:r>
    </w:p>
    <w:p w14:paraId="5558DE1A" w14:textId="77777777" w:rsidR="000854B7" w:rsidRDefault="008242CC">
      <w:bookmarkStart w:id="95" w:name="campo-legacy-non-autoritativo"/>
      <w:bookmarkEnd w:id="93"/>
      <w:r>
        <w:t>Lo score di ciascun modello viene calcolato come: score di coda = 0,50·(MAPE complessivo) + 0,10·p75 + 0,25·p90 + 0,15·p95. Il blend con l’errore recente usa α = 0,65: score = 0,65·(score di coda) + 0,35·(MAPE recente). Vengono poi applicate due penalità: (a) una penalità additiva di bias firmato, che aggiunge 0,15·|mediana firmata| allo score; (b) un moltiplicatore di forma, applicato per ultimo, che penalizza l’asimmetria &gt; 1 (+10% per unità, fino a +50%) e la curtosi in eccesso &gt; 3 (+4% per unità, fino a +75%). Lo score penalizzato viene infine convertito in peso con la stessa legge di potenza inversa della sezione 10.1, con esponente 2, e rinormalizzato.</w:t>
      </w:r>
    </w:p>
    <w:p w14:paraId="4D4D7877" w14:textId="77777777" w:rsidR="00035F7E" w:rsidRDefault="008242CC">
      <w:r>
        <w:t>Motore di Apprendimento Adattivo Opzionale (Adaptive Learning Engine)</w:t>
      </w:r>
    </w:p>
    <w:p w14:paraId="30135216" w14:textId="77777777" w:rsidR="00035F7E" w:rsidRDefault="008242CC">
      <w:r>
        <w:t>I pesi base di produzione sono calcolati attraverso il normale backtest storico e il motore di pesatura robusto. Solo quando esplicitamente abilitato, un profilo di pesi appresi offline può essere miscelato con i pesi base di produzione.</w:t>
      </w:r>
    </w:p>
    <w:p w14:paraId="7040DC33" w14:textId="77777777" w:rsidR="00035F7E" w:rsidRDefault="008242CC">
      <w:r>
        <w:t>Caratteristiche: la funzionalità è disattivata per impostazione predefinita; non riaddestra i modelli di previsione; non utilizza un modello linguistico per calcolare i pesi; opera in modo deterministico; la cache memorizza i pesi base di produzione; la miscela appresa viene applicata durante l’esecuzione; un profilo mancante, obsoleto, malformato, incompatibile o non idoneo lascia invariati i pesi di produzione.</w:t>
      </w:r>
    </w:p>
    <w:p w14:paraId="034C71F0" w14:textId="77777777" w:rsidR="00035F7E" w:rsidRDefault="008242CC">
      <w:r>
        <w:t>I valori operativi predefiniti sono: coefficiente di miscelazione pari a 0,10; limite massimo della miscelazione pari a 0,15; almeno 30 osservazioni; variazione L1 massima pari a 0,20; almeno 4 modelli effettivi; peso finale massimo di un singolo modello pari a 0,30. Il numero effettivo di modelli è definito dalla formula riportata di seguito.</w:t>
      </w:r>
    </w:p>
    <w:p w14:paraId="26BBBCC3" w14:textId="77777777" w:rsidR="000854B7" w:rsidRDefault="00C0462E">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eff, modelli</m:t>
              </m:r>
            </m:sub>
          </m:sSub>
          <m:r>
            <m:rPr>
              <m:sty m:val="p"/>
            </m:rPr>
            <w:rPr>
              <w:rFonts w:ascii="Cambria Math" w:hAnsi="Cambria Math"/>
            </w:rPr>
            <m:t>=</m:t>
          </m:r>
          <m:f>
            <m:fPr>
              <m:ctrlPr>
                <w:rPr>
                  <w:rFonts w:ascii="Cambria Math" w:hAnsi="Cambria Math"/>
                </w:rPr>
              </m:ctrlPr>
            </m:fPr>
            <m:num>
              <m:r>
                <w:rPr>
                  <w:rFonts w:ascii="Cambria Math" w:hAnsi="Cambria Math"/>
                </w:rPr>
                <m:t>1</m:t>
              </m:r>
            </m:num>
            <m:den>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r>
                        <w:rPr>
                          <w:rFonts w:ascii="Cambria Math" w:hAnsi="Cambria Math"/>
                        </w:rPr>
                        <m:t>w</m:t>
                      </m:r>
                    </m:e>
                    <m:sup>
                      <m:r>
                        <w:rPr>
                          <w:rFonts w:ascii="Cambria Math" w:hAnsi="Cambria Math"/>
                        </w:rPr>
                        <m:t>2</m:t>
                      </m:r>
                    </m:sup>
                  </m:sSup>
                </m:e>
              </m:nary>
            </m:den>
          </m:f>
        </m:oMath>
      </m:oMathPara>
    </w:p>
    <w:p w14:paraId="0B453DA4" w14:textId="77777777" w:rsidR="000854B7" w:rsidRDefault="008242CC">
      <w:r>
        <w:t>Questa miscela opzionale resta distinta dal motore centrale di pesatura robusta sensibile alle code.</w:t>
      </w:r>
    </w:p>
    <w:p w14:paraId="7A5A7AEA" w14:textId="77777777" w:rsidR="000854B7" w:rsidRPr="00BE3538" w:rsidRDefault="008242CC">
      <w:pPr>
        <w:pStyle w:val="Heading1"/>
        <w:rPr>
          <w:lang w:val="it-IT"/>
        </w:rPr>
      </w:pPr>
      <w:bookmarkStart w:id="96" w:name="_Toc236387257"/>
      <w:bookmarkEnd w:id="87"/>
      <w:bookmarkEnd w:id="95"/>
      <w:r>
        <w:rPr>
          <w:lang w:val="it-IT"/>
        </w:rPr>
        <w:t>11. Esecuzione del pannello di forecast</w:t>
      </w:r>
      <w:bookmarkEnd w:id="96"/>
    </w:p>
    <w:p w14:paraId="7C2A6801" w14:textId="77777777" w:rsidR="000854B7" w:rsidRPr="00BE3538" w:rsidRDefault="008242CC">
      <w:pPr>
        <w:pStyle w:val="Heading2"/>
        <w:rPr>
          <w:lang w:val="it-IT"/>
        </w:rPr>
      </w:pPr>
      <w:bookmarkStart w:id="97" w:name="costruzione-del-contesto-di-run"/>
      <w:bookmarkStart w:id="98" w:name="_Toc236387258"/>
      <w:r>
        <w:rPr>
          <w:lang w:val="it-IT"/>
        </w:rPr>
        <w:t>11.1 Costruzione del contesto di run</w:t>
      </w:r>
      <w:bookmarkEnd w:id="98"/>
    </w:p>
    <w:p w14:paraId="01E4D817" w14:textId="77777777" w:rsidR="000854B7" w:rsidRPr="00BE3538" w:rsidRDefault="008242CC">
      <w:pPr>
        <w:pStyle w:val="FirstParagraph"/>
        <w:rPr>
          <w:lang w:val="it-IT"/>
        </w:rPr>
      </w:pPr>
      <w:r>
        <w:rPr>
          <w:lang w:val="it-IT"/>
        </w:rPr>
        <w:t>Per ogni modello attivo il sistema costruisce un contesto di esecuzione che risolve in un solo oggetto:</w:t>
      </w:r>
    </w:p>
    <w:p w14:paraId="4342A938" w14:textId="77777777" w:rsidR="000854B7" w:rsidRDefault="008242CC" w:rsidP="008242CC">
      <w:pPr>
        <w:numPr>
          <w:ilvl w:val="0"/>
          <w:numId w:val="12"/>
        </w:numPr>
      </w:pPr>
      <w:r>
        <w:t>frequenza selezionata;</w:t>
      </w:r>
    </w:p>
    <w:p w14:paraId="6F62B265" w14:textId="77777777" w:rsidR="000854B7" w:rsidRDefault="008242CC" w:rsidP="008242CC">
      <w:pPr>
        <w:numPr>
          <w:ilvl w:val="0"/>
          <w:numId w:val="12"/>
        </w:numPr>
      </w:pPr>
      <w:r>
        <w:t>serie eventualmente resampled;</w:t>
      </w:r>
    </w:p>
    <w:p w14:paraId="3862B07F" w14:textId="77777777" w:rsidR="000854B7" w:rsidRPr="00BE3538" w:rsidRDefault="008242CC" w:rsidP="008242CC">
      <w:pPr>
        <w:numPr>
          <w:ilvl w:val="0"/>
          <w:numId w:val="12"/>
        </w:numPr>
        <w:rPr>
          <w:lang w:val="it-IT"/>
        </w:rPr>
      </w:pPr>
      <w:r>
        <w:rPr>
          <w:lang w:val="it-IT"/>
        </w:rPr>
        <w:t>orizzonte effettivo in step di frequenza;</w:t>
      </w:r>
    </w:p>
    <w:p w14:paraId="3D19CFE1" w14:textId="77777777" w:rsidR="000854B7" w:rsidRPr="00BE3538" w:rsidRDefault="008242CC" w:rsidP="008242CC">
      <w:pPr>
        <w:numPr>
          <w:ilvl w:val="0"/>
          <w:numId w:val="12"/>
        </w:numPr>
        <w:rPr>
          <w:lang w:val="it-IT"/>
        </w:rPr>
      </w:pPr>
      <w:r>
        <w:rPr>
          <w:lang w:val="it-IT"/>
        </w:rPr>
        <w:lastRenderedPageBreak/>
        <w:t>extras di frequenza (ad esempio season length e stagionalità TBATS);</w:t>
      </w:r>
    </w:p>
    <w:p w14:paraId="2248B91E" w14:textId="77777777" w:rsidR="000854B7" w:rsidRPr="00BE3538" w:rsidRDefault="008242CC" w:rsidP="008242CC">
      <w:pPr>
        <w:numPr>
          <w:ilvl w:val="0"/>
          <w:numId w:val="12"/>
        </w:numPr>
        <w:rPr>
          <w:lang w:val="it-IT"/>
        </w:rPr>
      </w:pPr>
      <w:r>
        <w:rPr>
          <w:lang w:val="it-IT"/>
        </w:rPr>
        <w:t>storia effettivamente usata dopo cap.</w:t>
      </w:r>
    </w:p>
    <w:p w14:paraId="5AF26739" w14:textId="77777777" w:rsidR="000854B7" w:rsidRPr="00BE3538" w:rsidRDefault="008242CC">
      <w:pPr>
        <w:pStyle w:val="Heading2"/>
        <w:rPr>
          <w:lang w:val="it-IT"/>
        </w:rPr>
      </w:pPr>
      <w:bookmarkStart w:id="99" w:name="esclusione-di-policy"/>
      <w:bookmarkStart w:id="100" w:name="_Toc236387259"/>
      <w:bookmarkEnd w:id="97"/>
      <w:r>
        <w:rPr>
          <w:lang w:val="it-IT"/>
        </w:rPr>
        <w:t>11.2 Esclusione di policy</w:t>
      </w:r>
      <w:bookmarkEnd w:id="100"/>
    </w:p>
    <w:p w14:paraId="206EDFCF" w14:textId="77777777" w:rsidR="000854B7" w:rsidRPr="00BE3538" w:rsidRDefault="008242CC">
      <w:pPr>
        <w:pStyle w:val="FirstParagraph"/>
        <w:rPr>
          <w:lang w:val="it-IT"/>
        </w:rPr>
      </w:pPr>
      <w:r>
        <w:rPr>
          <w:lang w:val="it-IT"/>
        </w:rPr>
        <w:t>Un modello viene escluso se:</w:t>
      </w:r>
    </w:p>
    <w:p w14:paraId="588CC377" w14:textId="77777777" w:rsidR="000854B7" w:rsidRPr="00BE3538" w:rsidRDefault="008242CC" w:rsidP="008242CC">
      <w:pPr>
        <w:numPr>
          <w:ilvl w:val="0"/>
          <w:numId w:val="13"/>
        </w:numPr>
        <w:rPr>
          <w:lang w:val="it-IT"/>
        </w:rPr>
      </w:pPr>
      <w:r>
        <w:rPr>
          <w:lang w:val="it-IT"/>
        </w:rPr>
        <w:t>il regime non è ammesso per quel modello;</w:t>
      </w:r>
    </w:p>
    <w:p w14:paraId="2B33A012" w14:textId="77777777" w:rsidR="000854B7" w:rsidRPr="00BE3538" w:rsidRDefault="008242CC" w:rsidP="008242CC">
      <w:pPr>
        <w:numPr>
          <w:ilvl w:val="0"/>
          <w:numId w:val="13"/>
        </w:numPr>
        <w:rPr>
          <w:lang w:val="it-IT"/>
        </w:rPr>
      </w:pPr>
      <w:r>
        <w:rPr>
          <w:lang w:val="it-IT"/>
        </w:rPr>
        <w:t>nessuna frequenza candidata produce abbastanza osservazioni;</w:t>
      </w:r>
    </w:p>
    <w:p w14:paraId="7690A555" w14:textId="77777777" w:rsidR="000854B7" w:rsidRPr="001A5952" w:rsidRDefault="008242CC" w:rsidP="008242CC">
      <w:pPr>
        <w:numPr>
          <w:ilvl w:val="0"/>
          <w:numId w:val="13"/>
        </w:numPr>
        <w:rPr>
          <w:lang w:val="it-IT"/>
        </w:rPr>
      </w:pPr>
      <w:r>
        <w:rPr>
          <w:lang w:val="it-IT"/>
        </w:rPr>
        <w:t>un vincolo di fattibilità specifico del modello fallisce (es. SARIMA in long).</w:t>
      </w:r>
    </w:p>
    <w:p w14:paraId="2623A312" w14:textId="77777777" w:rsidR="000854B7" w:rsidRDefault="008242CC">
      <w:pPr>
        <w:pStyle w:val="Heading2"/>
      </w:pPr>
      <w:bookmarkStart w:id="101" w:name="stati-runtime"/>
      <w:bookmarkStart w:id="102" w:name="_Toc236387260"/>
      <w:bookmarkEnd w:id="99"/>
      <w:r>
        <w:t>11.3 Stati runtime</w:t>
      </w:r>
      <w:bookmarkEnd w:id="102"/>
    </w:p>
    <w:p w14:paraId="4033A050" w14:textId="77777777" w:rsidR="000854B7" w:rsidRPr="00BE3538" w:rsidRDefault="008242CC">
      <w:pPr>
        <w:pStyle w:val="FirstParagraph"/>
        <w:rPr>
          <w:lang w:val="it-IT"/>
        </w:rPr>
      </w:pPr>
      <w:r>
        <w:rPr>
          <w:lang w:val="it-IT"/>
        </w:rPr>
        <w:t>L'esecuzione per modello produce uno stato strutturato con quattro possibili esiti:</w:t>
      </w:r>
    </w:p>
    <w:p w14:paraId="1799EE70" w14:textId="77777777" w:rsidR="000854B7" w:rsidRDefault="008242CC" w:rsidP="008242CC">
      <w:pPr>
        <w:numPr>
          <w:ilvl w:val="0"/>
          <w:numId w:val="14"/>
        </w:numPr>
      </w:pPr>
      <w:r>
        <w:t>• Previsione valida — il modello ha prodotto una previsione finita e valida che può partecipare all’ensemble, nel rispetto delle regole di peso e dei controlli sugli outlier;</w:t>
      </w:r>
    </w:p>
    <w:p w14:paraId="075CFC35" w14:textId="77777777" w:rsidR="000854B7" w:rsidRDefault="008242CC" w:rsidP="008242CC">
      <w:pPr>
        <w:numPr>
          <w:ilvl w:val="0"/>
          <w:numId w:val="14"/>
        </w:numPr>
      </w:pPr>
      <w:r>
        <w:t>• Esecuzione non riuscita — il modello è stato eseguito ma non ha prodotto una previsione valida a causa di un errore di stima, previsione, ricostruzione o calcolo numerico;</w:t>
      </w:r>
    </w:p>
    <w:p w14:paraId="1544359A" w14:textId="77777777" w:rsidR="000854B7" w:rsidRDefault="008242CC" w:rsidP="008242CC">
      <w:pPr>
        <w:numPr>
          <w:ilvl w:val="0"/>
          <w:numId w:val="14"/>
        </w:numPr>
      </w:pPr>
      <w:r>
        <w:t>• Esecuzione non avviata — il modello non è stato eseguito a causa di un’esclusione prevista dalla metodologia, dati insufficienti, dipendenza non disponibile, frequenza non supportata o altra precondizione esplicita;</w:t>
      </w:r>
    </w:p>
    <w:p w14:paraId="74C91F32" w14:textId="77777777" w:rsidR="000854B7" w:rsidRDefault="008242CC" w:rsidP="008242CC">
      <w:pPr>
        <w:numPr>
          <w:ilvl w:val="0"/>
          <w:numId w:val="14"/>
        </w:numPr>
      </w:pPr>
      <w:r>
        <w:t>• Baseline esclusivamente diagnostica — il modello non ha prodotto una previsione valida. Un valore sostitutivo, generalmente pari all’ultimo prezzo di chiusura osservato, può essere conservato esclusivamente per trasparenza diagnostica. Tale valore non rappresenta la previsione del modello, non partecipa all’ensemble e resta distinto nei documenti di validazione interna.</w:t>
      </w:r>
    </w:p>
    <w:p w14:paraId="62BEC197" w14:textId="77777777" w:rsidR="000854B7" w:rsidRDefault="008242CC">
      <w:pPr>
        <w:pStyle w:val="Heading2"/>
      </w:pPr>
      <w:bookmarkStart w:id="103" w:name="_Toc236387261"/>
      <w:bookmarkEnd w:id="101"/>
      <w:r>
        <w:t>11.4 Guardrail su forecast negativi</w:t>
      </w:r>
      <w:bookmarkEnd w:id="103"/>
    </w:p>
    <w:p w14:paraId="4B15A495" w14:textId="77777777" w:rsidR="000854B7" w:rsidRPr="00BE3538" w:rsidRDefault="008242CC">
      <w:pPr>
        <w:pStyle w:val="FirstParagraph"/>
        <w:rPr>
          <w:lang w:val="it-IT"/>
        </w:rPr>
      </w:pPr>
      <w:r>
        <w:rPr>
          <w:lang w:val="it-IT"/>
        </w:rPr>
        <w:t>Un risultato di modello può essere considerato valido soltanto se è numericamente definito, finito e strettamente positivo nello spazio dei prezzi. Un valore non numerico, infinito, nullo o negativo determina un’esecuzione non riuscita e non può partecipare all’ensemble. Il sistema non corregge artificialmente il risultato portandolo a zero, non lo sostituisce con l’ultimo prezzo di chiusura e non lo qualifica come valido. Un’eventuale baseline diagnostica resta esclusa dall’ensemble.</w:t>
      </w:r>
    </w:p>
    <w:p w14:paraId="1857C318" w14:textId="77777777" w:rsidR="00BE3538" w:rsidRDefault="00BE3538">
      <w:pPr>
        <w:pStyle w:val="Heading1"/>
        <w:rPr>
          <w:lang w:val="it-IT"/>
        </w:rPr>
      </w:pPr>
      <w:bookmarkStart w:id="104" w:name="_Toc236387262"/>
      <w:r>
        <w:rPr>
          <w:lang w:val="it-IT"/>
        </w:rPr>
        <w:t>12. Filtro outlier sul pannello modelli</w:t>
      </w:r>
      <w:bookmarkEnd w:id="104"/>
    </w:p>
    <w:p w14:paraId="79E436D3" w14:textId="77777777" w:rsidR="00BE3538" w:rsidRDefault="00BE3538">
      <w:pPr>
        <w:pStyle w:val="FirstParagraph"/>
        <w:rPr>
          <w:lang w:val="it-IT"/>
        </w:rPr>
      </w:pPr>
      <w:r>
        <w:rPr>
          <w:lang w:val="it-IT"/>
        </w:rPr>
        <w:t>Prima della combinazione ensemble, il motore applica un filtro outlier robusto al pannello dei forecast individuali. Lo scopo è identificare e trattare previsioni anomale che, se incluse senza correzione, distorcerebbero il risultato combinato.</w:t>
      </w:r>
    </w:p>
    <w:p w14:paraId="431824F4" w14:textId="77777777" w:rsidR="00BE3538" w:rsidRDefault="00BE3538">
      <w:pPr>
        <w:pStyle w:val="Heading2"/>
        <w:rPr>
          <w:lang w:val="it-IT"/>
        </w:rPr>
      </w:pPr>
      <w:bookmarkStart w:id="105" w:name="_Toc236387263"/>
      <w:r>
        <w:rPr>
          <w:lang w:val="it-IT"/>
        </w:rPr>
        <w:lastRenderedPageBreak/>
        <w:t>12.1 Classificazione a tre zone</w:t>
      </w:r>
      <w:bookmarkEnd w:id="105"/>
    </w:p>
    <w:p w14:paraId="104E787D" w14:textId="77777777" w:rsidR="00BE3538" w:rsidRDefault="00BE3538">
      <w:pPr>
        <w:pStyle w:val="FirstParagraph"/>
        <w:rPr>
          <w:lang w:val="it-IT"/>
        </w:rPr>
      </w:pPr>
      <w:r>
        <w:rPr>
          <w:lang w:val="it-IT"/>
        </w:rPr>
        <w:t>I forecast del pannello vengono classificati rispetto alla distribuzione IQR del gruppo in tre zone:</w:t>
      </w:r>
    </w:p>
    <w:p w14:paraId="2D7110B4" w14:textId="77777777" w:rsidR="00BE3538" w:rsidRDefault="00BE3538" w:rsidP="008242CC">
      <w:pPr>
        <w:numPr>
          <w:ilvl w:val="0"/>
          <w:numId w:val="15"/>
        </w:numPr>
        <w:rPr>
          <w:lang w:val="it-IT"/>
        </w:rPr>
      </w:pPr>
      <w:r>
        <w:rPr>
          <w:lang w:val="it-IT"/>
        </w:rPr>
        <w:t>Normale (incluso): forecast entro soglia IQR — peso invariato;</w:t>
      </w:r>
    </w:p>
    <w:p w14:paraId="659A9331" w14:textId="77777777" w:rsidR="00BE3538" w:rsidRDefault="00BE3538" w:rsidP="008242CC">
      <w:pPr>
        <w:numPr>
          <w:ilvl w:val="0"/>
          <w:numId w:val="15"/>
        </w:numPr>
        <w:rPr>
          <w:lang w:val="it-IT"/>
        </w:rPr>
      </w:pPr>
      <w:r>
        <w:rPr>
          <w:lang w:val="it-IT"/>
        </w:rPr>
        <w:t>Anomalia moderata (penalizzato): forecast moderatamente anomalo — peso ridotto a ×0.25;</w:t>
      </w:r>
    </w:p>
    <w:p w14:paraId="760DBBC7" w14:textId="77777777" w:rsidR="00BE3538" w:rsidRDefault="00BE3538" w:rsidP="008242CC">
      <w:pPr>
        <w:numPr>
          <w:ilvl w:val="0"/>
          <w:numId w:val="15"/>
        </w:numPr>
        <w:rPr>
          <w:lang w:val="it-IT"/>
        </w:rPr>
      </w:pPr>
      <w:r>
        <w:rPr>
          <w:lang w:val="it-IT"/>
        </w:rPr>
        <w:t>Anomalia severa (escluso): forecast severamente anomalo — peso azzerato (escluso dall’ensemble).</w:t>
      </w:r>
    </w:p>
    <w:p w14:paraId="07E9C09A" w14:textId="77777777" w:rsidR="00BE3538" w:rsidRDefault="00BE3538">
      <w:pPr>
        <w:pStyle w:val="BodyText"/>
        <w:rPr>
          <w:lang w:val="it-IT"/>
        </w:rPr>
      </w:pPr>
      <w:r>
        <w:rPr>
          <w:lang w:val="it-IT"/>
        </w:rPr>
        <w:t>Quando l’IQR è degenere (tutti i forecast quasi identici), il filtro ricade su MAD o su una soglia percentuale relativa.</w:t>
      </w:r>
    </w:p>
    <w:p w14:paraId="2D8E7870" w14:textId="77777777" w:rsidR="00BE3538" w:rsidRDefault="00BE3538">
      <w:pPr>
        <w:pStyle w:val="Heading2"/>
        <w:rPr>
          <w:lang w:val="it-IT"/>
        </w:rPr>
      </w:pPr>
      <w:bookmarkStart w:id="106" w:name="_Toc236387264"/>
      <w:r>
        <w:rPr>
          <w:lang w:val="it-IT"/>
        </w:rPr>
        <w:t>12.2 Guardie di sicurezza</w:t>
      </w:r>
      <w:bookmarkEnd w:id="106"/>
    </w:p>
    <w:p w14:paraId="4DAF25C5" w14:textId="77777777" w:rsidR="00BE3538" w:rsidRDefault="00BE3538">
      <w:pPr>
        <w:pStyle w:val="FirstParagraph"/>
        <w:rPr>
          <w:lang w:val="it-IT"/>
        </w:rPr>
      </w:pPr>
      <w:r>
        <w:rPr>
          <w:lang w:val="it-IT"/>
        </w:rPr>
        <w:t>Il filtro include le seguenti guardie:</w:t>
      </w:r>
    </w:p>
    <w:p w14:paraId="5348E28A" w14:textId="77777777" w:rsidR="00BE3538" w:rsidRDefault="00BE3538" w:rsidP="008242CC">
      <w:pPr>
        <w:numPr>
          <w:ilvl w:val="0"/>
          <w:numId w:val="15"/>
        </w:numPr>
        <w:rPr>
          <w:lang w:val="it-IT"/>
        </w:rPr>
      </w:pPr>
      <w:r>
        <w:rPr>
          <w:lang w:val="it-IT"/>
        </w:rPr>
        <w:t>small-panel guard: se il pannello ha meno di 4 modelli, l’esclusione severa viene soppressa per evitare di ridurre eccessivamente la diversificazione; Eccezione: quando sia IQR che MAD sono inutilizzabili e il filtro ricade su bande percentuali relative (normale: 70%–130% della mediana; severa: 40%–160% della mediana), l'esclusione severa può essere consentita anche per un pannello con meno di 4 modelli.</w:t>
      </w:r>
    </w:p>
    <w:p w14:paraId="2E279828" w14:textId="77777777" w:rsidR="00BE3538" w:rsidRDefault="00BE3538" w:rsidP="008242CC">
      <w:pPr>
        <w:numPr>
          <w:ilvl w:val="0"/>
          <w:numId w:val="15"/>
        </w:numPr>
        <w:rPr>
          <w:lang w:val="it-IT"/>
        </w:rPr>
      </w:pPr>
      <w:r>
        <w:rPr>
          <w:lang w:val="it-IT"/>
        </w:rPr>
        <w:t>explosion guard (3×): il forecast più alto del pannello, se supera 3 volte il secondo forecast più alto, viene escluso indipendentemente dalla classificazione IQR; sui pannelli piccoli (meno di 4 modelli) l’esclusione è declassata a penalizzazione;</w:t>
      </w:r>
    </w:p>
    <w:p w14:paraId="40051012" w14:textId="77777777" w:rsidR="00BE3538" w:rsidRDefault="00BE3538" w:rsidP="008242CC">
      <w:pPr>
        <w:numPr>
          <w:ilvl w:val="0"/>
          <w:numId w:val="15"/>
        </w:numPr>
        <w:rPr>
          <w:lang w:val="it-IT"/>
        </w:rPr>
      </w:pPr>
      <w:r>
        <w:rPr>
          <w:lang w:val="it-IT"/>
        </w:rPr>
        <w:t>safety net: se tutti i modelli vengono esclusi, il filtro viene annullato e si ritorna all’ensemble non filtrato.</w:t>
      </w:r>
    </w:p>
    <w:p w14:paraId="1D465EB4" w14:textId="77777777" w:rsidR="00BE3538" w:rsidRDefault="00BE3538">
      <w:pPr>
        <w:pStyle w:val="Heading2"/>
        <w:rPr>
          <w:lang w:val="it-IT"/>
        </w:rPr>
      </w:pPr>
      <w:bookmarkStart w:id="107" w:name="_Toc236387265"/>
      <w:r>
        <w:rPr>
          <w:lang w:val="it-IT"/>
        </w:rPr>
        <w:t>12.3 Rinormalizzazione</w:t>
      </w:r>
      <w:bookmarkEnd w:id="107"/>
    </w:p>
    <w:p w14:paraId="2FABE2E7" w14:textId="77777777" w:rsidR="00BE3538" w:rsidRDefault="00BE3538">
      <w:pPr>
        <w:pStyle w:val="FirstParagraph"/>
        <w:rPr>
          <w:lang w:val="it-IT"/>
        </w:rPr>
      </w:pPr>
      <w:r>
        <w:rPr>
          <w:lang w:val="it-IT"/>
        </w:rPr>
        <w:t>Dopo l’applicazione delle penalizzazioni e delle esclusioni, i pesi dei modelli superstiti vengono rinormalizzati affinché la loro somma sia pari a 1. Il pannello filtrato e i pesi aggiustati vengono poi passati alla fase di combinazione ensemble.</w:t>
      </w:r>
    </w:p>
    <w:p w14:paraId="702C84A4" w14:textId="77777777" w:rsidR="000854B7" w:rsidRPr="00BE3538" w:rsidRDefault="008242CC">
      <w:pPr>
        <w:pStyle w:val="Heading1"/>
        <w:rPr>
          <w:lang w:val="it-IT"/>
        </w:rPr>
      </w:pPr>
      <w:bookmarkStart w:id="108" w:name="forecast-ensemble-finale"/>
      <w:bookmarkStart w:id="109" w:name="_Toc236387266"/>
      <w:r>
        <w:rPr>
          <w:lang w:val="it-IT"/>
        </w:rPr>
        <w:t>13. Forecast ensemble finale</w:t>
      </w:r>
      <w:bookmarkEnd w:id="109"/>
    </w:p>
    <w:p w14:paraId="76E987C7" w14:textId="77777777" w:rsidR="000854B7" w:rsidRPr="00BE3538" w:rsidRDefault="008242CC">
      <w:pPr>
        <w:pStyle w:val="FirstParagraph"/>
        <w:rPr>
          <w:lang w:val="it-IT"/>
        </w:rPr>
      </w:pPr>
      <w:r>
        <w:rPr>
          <w:lang w:val="it-IT"/>
        </w:rPr>
        <w:t>Se esistono forecast validi con peso positivo, il motore combina in log-return space. Per ciascun modello m con forecast e peso positivo, si calcola il log-return implicito rispetto all’ultimo close osservato:</w:t>
      </w:r>
    </w:p>
    <w:p w14:paraId="780AD566" w14:textId="77777777" w:rsidR="00BE3538" w:rsidRDefault="00C0462E">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m</m:t>
                      </m:r>
                    </m:sub>
                  </m:sSub>
                </m:num>
                <m:den>
                  <m:sSub>
                    <m:sSubPr>
                      <m:ctrlPr>
                        <w:rPr>
                          <w:rFonts w:ascii="Cambria Math" w:hAnsi="Cambria Math"/>
                        </w:rPr>
                      </m:ctrlPr>
                    </m:sSubPr>
                    <m:e>
                      <m:r>
                        <w:rPr>
                          <w:rFonts w:ascii="Cambria Math" w:hAnsi="Cambria Math"/>
                        </w:rPr>
                        <m:t>P</m:t>
                      </m:r>
                    </m:e>
                    <m:sub>
                      <m:r>
                        <w:rPr>
                          <w:rFonts w:ascii="Cambria Math" w:hAnsi="Cambria Math"/>
                        </w:rPr>
                        <m:t>0</m:t>
                      </m:r>
                    </m:sub>
                  </m:sSub>
                </m:den>
              </m:f>
            </m:e>
          </m:d>
        </m:oMath>
      </m:oMathPara>
    </w:p>
    <w:p w14:paraId="52A9B0DA" w14:textId="77777777" w:rsidR="00BE3538" w:rsidRDefault="00C0462E">
      <w:pPr>
        <w:pStyle w:val="BodyText"/>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ens</m:t>
              </m:r>
            </m:sup>
          </m:s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m</m:t>
                      </m:r>
                    </m:sub>
                  </m:sSub>
                  <m:sSub>
                    <m:sSubPr>
                      <m:ctrlPr>
                        <w:rPr>
                          <w:rFonts w:ascii="Cambria Math" w:hAnsi="Cambria Math"/>
                        </w:rPr>
                      </m:ctrlPr>
                    </m:sSubPr>
                    <m:e>
                      <m:r>
                        <w:rPr>
                          <w:rFonts w:ascii="Cambria Math" w:hAnsi="Cambria Math"/>
                        </w:rPr>
                        <m:t>r</m:t>
                      </m:r>
                    </m:e>
                    <m:sub>
                      <m:r>
                        <w:rPr>
                          <w:rFonts w:ascii="Cambria Math" w:hAnsi="Cambria Math"/>
                        </w:rPr>
                        <m:t>m</m:t>
                      </m:r>
                    </m:sub>
                  </m:sSub>
                </m:e>
              </m:nary>
            </m:num>
            <m:den>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m</m:t>
                      </m:r>
                    </m:sub>
                  </m:sSub>
                </m:e>
              </m:nary>
            </m:den>
          </m:f>
        </m:oMath>
      </m:oMathPara>
    </w:p>
    <w:p w14:paraId="52F26C58" w14:textId="77777777" w:rsidR="00BE3538" w:rsidRDefault="00C0462E">
      <w:pPr>
        <w:pStyle w:val="BodyText"/>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ens</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⋅exp</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ens</m:t>
                  </m:r>
                </m:sup>
              </m:sSup>
            </m:e>
          </m:d>
        </m:oMath>
      </m:oMathPara>
    </w:p>
    <w:p w14:paraId="39333AF2" w14:textId="77777777" w:rsidR="000854B7" w:rsidRPr="00BE3538" w:rsidRDefault="008242CC">
      <w:pPr>
        <w:pStyle w:val="FirstParagraph"/>
        <w:rPr>
          <w:lang w:val="it-IT"/>
        </w:rPr>
      </w:pPr>
      <w:r>
        <w:rPr>
          <w:lang w:val="it-IT"/>
        </w:rPr>
        <w:t>dove P₀ è l’ultimo close osservato. Poiché i pesi sono già rinormalizzati, il denominatore è in pratica pari a 1 salvo difese numeriche. La combinazione in log-return space evita che un modello con forecast anomalmente alto domini la media ponderata in modo non lineare.</w:t>
      </w:r>
    </w:p>
    <w:p w14:paraId="7D691A9F" w14:textId="77777777" w:rsidR="000854B7" w:rsidRPr="00BE3538" w:rsidRDefault="008242CC">
      <w:pPr>
        <w:pStyle w:val="BodyText"/>
        <w:rPr>
          <w:lang w:val="it-IT"/>
        </w:rPr>
      </w:pPr>
      <w:r>
        <w:rPr>
          <w:lang w:val="it-IT"/>
        </w:rPr>
        <w:t>Se nessun modello con peso positivo e previsione finita e positiva supera i controlli di validazione e il filtro sugli outlier, l’elaborazione termina senza produrre una previsione ensemble. La piattaforma non produce una previsione combinata fabbricata, non ripristina modelli falliti e non sostituisce l'ultimo close come output finale valido dell'ensemble.</w:t>
      </w:r>
    </w:p>
    <w:p w14:paraId="442F3541" w14:textId="77777777" w:rsidR="000854B7" w:rsidRPr="00BE3538" w:rsidRDefault="008242CC" w:rsidP="008242CC">
      <w:pPr>
        <w:numPr>
          <w:ilvl w:val="0"/>
          <w:numId w:val="15"/>
        </w:numPr>
        <w:rPr>
          <w:lang w:val="it-IT"/>
        </w:rPr>
      </w:pPr>
      <w:r>
        <w:rPr>
          <w:lang w:val="it-IT"/>
        </w:rPr>
        <w:t>La combinazione ponderata in log-return space costituisce il percorso primario. Se tale combinazione non può essere formata per una condizione numerica, ma rimangono forecast di modello validati, finiti, strettamente positivi e appartenenti a modelli ammessi nell’ensemble, il motore può utilizzare la media aritmetica dei soli forecast validati residui. Questo percorso non reintroduce modelli con esecuzione non riuscita, modelli non eseguiti, baseline esclusivamente diagnostiche, previsioni non finite o previsioni non positive. Se non rimane disponibile alcun risultato di modello validato, l’elaborazione termina senza produrre una previsione ensemble. L’ultimo close osservato non viene mai utilizzato come previsione finale valida dell’ensemble.</w:t>
      </w:r>
    </w:p>
    <w:p w14:paraId="621AE33D" w14:textId="77777777" w:rsidR="000854B7" w:rsidRDefault="00C0462E">
      <w:r>
        <w:pict w14:anchorId="6A02251C">
          <v:rect id="_x0000_i1040" style="width:0;height:1.5pt" o:hralign="center" o:hrstd="t" o:hr="t"/>
        </w:pict>
      </w:r>
    </w:p>
    <w:p w14:paraId="3C8C9931" w14:textId="77777777" w:rsidR="000854B7" w:rsidRPr="00BE3538" w:rsidRDefault="008242CC">
      <w:pPr>
        <w:pStyle w:val="Heading1"/>
        <w:rPr>
          <w:lang w:val="it-IT"/>
        </w:rPr>
      </w:pPr>
      <w:bookmarkStart w:id="110" w:name="Xcfb53857640a75d28aa30ba59aa3474fad962ed"/>
      <w:bookmarkStart w:id="111" w:name="_Toc236387267"/>
      <w:bookmarkEnd w:id="108"/>
      <w:r>
        <w:rPr>
          <w:lang w:val="it-IT"/>
        </w:rPr>
        <w:t>14. Prediction intervals: calibrazione, selezione metodo e costruzione dell’intervallo</w:t>
      </w:r>
      <w:bookmarkEnd w:id="111"/>
    </w:p>
    <w:p w14:paraId="78DDB434" w14:textId="77777777" w:rsidR="000854B7" w:rsidRPr="00BE3538" w:rsidRDefault="008242CC">
      <w:pPr>
        <w:pStyle w:val="Heading2"/>
        <w:rPr>
          <w:lang w:val="it-IT"/>
        </w:rPr>
      </w:pPr>
      <w:bookmarkStart w:id="112" w:name="quando-il-motore-pi-viene-eseguito"/>
      <w:bookmarkStart w:id="113" w:name="_Toc236387268"/>
      <w:r>
        <w:rPr>
          <w:lang w:val="it-IT"/>
        </w:rPr>
        <w:t>14.1 Quando il motore PI viene eseguito</w:t>
      </w:r>
      <w:bookmarkEnd w:id="113"/>
    </w:p>
    <w:p w14:paraId="6C573310" w14:textId="77777777" w:rsidR="000854B7" w:rsidRPr="00BE3538" w:rsidRDefault="008242CC">
      <w:pPr>
        <w:pStyle w:val="FirstParagraph"/>
        <w:rPr>
          <w:lang w:val="it-IT"/>
        </w:rPr>
      </w:pPr>
      <w:r>
        <w:rPr>
          <w:lang w:val="it-IT"/>
        </w:rPr>
        <w:t>La storia di validazione walk-forward è abilitata per default ed è sempre calcolata quando almeno un output richiesto ne dipende matematicamente. Può essere omessa soltanto quando l’utente disattiva esplicitamente la validazione e nessun intervallo di predizione, probabilità target, probabilità su intervallo utente, modulo direzionale o report interno richiede tale storia. Quando viene omessa, il sistema dichiara esplicitamente le metriche dipendenti come non disponibili e non genera valori sintetici o sostitutivi.</w:t>
      </w:r>
    </w:p>
    <w:p w14:paraId="684ED689" w14:textId="77777777" w:rsidR="000854B7" w:rsidRDefault="008242CC" w:rsidP="008242CC">
      <w:pPr>
        <w:numPr>
          <w:ilvl w:val="0"/>
          <w:numId w:val="16"/>
        </w:numPr>
      </w:pPr>
      <w:r>
        <w:t>I limiti dell’intervallo di predizione vengono calcolati solo quando, nella richiesta, è presente e valido il livello di confidenza dell’intervallo.</w:t>
      </w:r>
    </w:p>
    <w:p w14:paraId="33892B00" w14:textId="77777777" w:rsidR="000854B7" w:rsidRDefault="008242CC" w:rsidP="008242CC">
      <w:pPr>
        <w:numPr>
          <w:ilvl w:val="0"/>
          <w:numId w:val="16"/>
        </w:numPr>
      </w:pPr>
      <w:r>
        <w:t>La probabilità sul prezzo target e la probabilità sull’intervallo utente utilizzano i residui calibrati disponibili dalla storia di validazione quando i rispettivi campi sono richiesti.</w:t>
      </w:r>
    </w:p>
    <w:p w14:paraId="304361B0" w14:textId="77777777" w:rsidR="00035F7E" w:rsidRDefault="008242CC">
      <w:pPr>
        <w:pStyle w:val="FirstParagraph"/>
        <w:rPr>
          <w:lang w:val="it-IT"/>
        </w:rPr>
      </w:pPr>
      <w:r>
        <w:rPr>
          <w:lang w:val="it-IT"/>
        </w:rPr>
        <w:t>La profondità del walk-forward usato per la calibrazione degli intervalli è governata dalla profondità massima e dal passo richiesti, con applicazione dei valori predefiniti quando tali parametri non sono indicati. Il passo predefinito è pari a 1. Le profondità massime correnti sono: 50 anchor per il profilo rapido, 65 per il profilo medio, 95 per il profilo lungo e 155 per il profilo molto lungo. Un valore esplicitamente richiesto ha precedenza. Questi valori sono distinti dal numero-obiettivo di prove usato dai profili di backtest per stimare i pesi dell’ensemble.</w:t>
      </w:r>
    </w:p>
    <w:p w14:paraId="240769BE" w14:textId="77777777" w:rsidR="000854B7" w:rsidRDefault="008242CC">
      <w:pPr>
        <w:pStyle w:val="Heading2"/>
      </w:pPr>
      <w:bookmarkStart w:id="114" w:name="base-di-calibrazione"/>
      <w:bookmarkStart w:id="115" w:name="_Toc236387269"/>
      <w:bookmarkEnd w:id="112"/>
      <w:r>
        <w:lastRenderedPageBreak/>
        <w:t>14.2 Base di calibrazione</w:t>
      </w:r>
      <w:bookmarkEnd w:id="115"/>
    </w:p>
    <w:p w14:paraId="4B705878" w14:textId="77777777" w:rsidR="000854B7" w:rsidRPr="00BE3538" w:rsidRDefault="008242CC">
      <w:pPr>
        <w:pStyle w:val="FirstParagraph"/>
        <w:rPr>
          <w:lang w:val="it-IT"/>
        </w:rPr>
      </w:pPr>
      <w:r>
        <w:rPr>
          <w:lang w:val="it-IT"/>
        </w:rPr>
        <w:t>La storia di calibrazione viene costruita con un walk-forward frequency-aware che usa:</w:t>
      </w:r>
    </w:p>
    <w:p w14:paraId="2FFEC125" w14:textId="77777777" w:rsidR="000854B7" w:rsidRDefault="008242CC" w:rsidP="008242CC">
      <w:pPr>
        <w:numPr>
          <w:ilvl w:val="0"/>
          <w:numId w:val="17"/>
        </w:numPr>
      </w:pPr>
      <w:r>
        <w:t>stessi modelli attivi;</w:t>
      </w:r>
    </w:p>
    <w:p w14:paraId="5B448234" w14:textId="77777777" w:rsidR="000854B7" w:rsidRDefault="008242CC" w:rsidP="008242CC">
      <w:pPr>
        <w:numPr>
          <w:ilvl w:val="0"/>
          <w:numId w:val="17"/>
        </w:numPr>
      </w:pPr>
      <w:r>
        <w:t>stessa policy di frequenza;</w:t>
      </w:r>
    </w:p>
    <w:p w14:paraId="6E43F5F4" w14:textId="77777777" w:rsidR="000854B7" w:rsidRDefault="008242CC" w:rsidP="008242CC">
      <w:pPr>
        <w:numPr>
          <w:ilvl w:val="0"/>
          <w:numId w:val="17"/>
        </w:numPr>
      </w:pPr>
      <w:r>
        <w:t>stessi pesi ensemble;</w:t>
      </w:r>
    </w:p>
    <w:p w14:paraId="403F9584" w14:textId="77777777" w:rsidR="000854B7" w:rsidRDefault="008242CC" w:rsidP="008242CC">
      <w:pPr>
        <w:numPr>
          <w:ilvl w:val="0"/>
          <w:numId w:val="17"/>
        </w:numPr>
      </w:pPr>
      <w:r>
        <w:t>stessi tagli di storia.</w:t>
      </w:r>
    </w:p>
    <w:p w14:paraId="6257B6CD" w14:textId="77777777" w:rsidR="000854B7" w:rsidRPr="00BE3538" w:rsidRDefault="008242CC">
      <w:pPr>
        <w:pStyle w:val="FirstParagraph"/>
        <w:rPr>
          <w:lang w:val="it-IT"/>
        </w:rPr>
      </w:pPr>
      <w:r>
        <w:rPr>
          <w:lang w:val="it-IT"/>
        </w:rPr>
        <w:t>Questa coerenza è la proprietà centrale del motore PI: la calibrazione segue lo stesso motore del point forecast.</w:t>
      </w:r>
    </w:p>
    <w:p w14:paraId="5A0CCC1C" w14:textId="77777777" w:rsidR="00035F7E" w:rsidRDefault="008242CC">
      <w:pPr>
        <w:pStyle w:val="FirstParagraph"/>
        <w:rPr>
          <w:lang w:val="it-IT"/>
        </w:rPr>
      </w:pPr>
      <w:r>
        <w:rPr>
          <w:lang w:val="it-IT"/>
        </w:rPr>
        <w:t>Quando il set di modelli PI è identico al set attivo completo, la storia PI riutilizza direttamente la storia di validazione dell'ensemble completo. Se esiste una cache PI riutilizzabile, viene usata la storia PI cachata. Se il walk-forward completo è già stato eseguito e ha memorizzato le previsioni per-modello per ciascun anchor, la storia PI ridotta viene derivata ricombinando le previsioni dei modelli superstiti con pesi rinormalizzati, senza alcun nuovo fit di modello. Altrimenti, il sistema esegue un walk-forward separato in modalità rapida con i modelli esclusi disattivati. Non è quindi corretto affermare che la ricombinazione senza nuovo fit sia sempre il percorso eseguito.</w:t>
      </w:r>
    </w:p>
    <w:p w14:paraId="37FF2EC1" w14:textId="77777777" w:rsidR="00035F7E" w:rsidRDefault="008242CC">
      <w:pPr>
        <w:pStyle w:val="FirstParagraph"/>
        <w:rPr>
          <w:lang w:val="it-IT"/>
        </w:rPr>
      </w:pPr>
      <w:r>
        <w:rPr>
          <w:lang w:val="it-IT"/>
        </w:rPr>
        <w:t>Il backtest e il walk-forward degli intervalli di predizione utilizzano un parallelismo hardware-adaptive. Il numero effettivo di worker viene determinato in funzione del numero di modelli attivi, delle CPU logiche disponibili, della memoria RAM libera e del limite configurabile PREVISIO_MAX_WORKERS, il cui valore predefinito è 8. Il parametro PI_WALK_FORWARD_MAX_WORKERS, pari a 3, rappresenta il limite legacy utilizzato come fallback quando il ridimensionamento automatico è disabilitato o la rilevazione hardware non è disponibile. Gli anchor del walk-forward vengono elaborati in sequenza temporale, mentre i fit dei modelli appartenenti allo stesso anchor possono essere eseguiti in parallelo. I thread delle librerie matematiche vengono limitati per evitare oversubscription. Anche il parallelismo fra ticker della Portfolio Mode condivide lo stesso budget hardware e utilizza un limite configurabile separato, PREVISIO_PORTFOLIO_MAX_WORKERS, con valore predefinito pari a 4. Il parallelismo modifica esclusivamente il numero di elaborazioni concorrenti e non modifica formule, dati, parametri, pesi o risultati quantitativi.</w:t>
      </w:r>
    </w:p>
    <w:p w14:paraId="53B1811F" w14:textId="77777777" w:rsidR="000854B7" w:rsidRPr="00BE3538" w:rsidRDefault="008242CC">
      <w:pPr>
        <w:pStyle w:val="Heading2"/>
        <w:rPr>
          <w:lang w:val="it-IT"/>
        </w:rPr>
      </w:pPr>
      <w:bookmarkStart w:id="116" w:name="residui"/>
      <w:bookmarkStart w:id="117" w:name="_Toc236387270"/>
      <w:bookmarkEnd w:id="114"/>
      <w:r>
        <w:rPr>
          <w:lang w:val="it-IT"/>
        </w:rPr>
        <w:t>14.3 Residui</w:t>
      </w:r>
      <w:bookmarkEnd w:id="117"/>
    </w:p>
    <w:p w14:paraId="5BB36863" w14:textId="77777777" w:rsidR="000854B7" w:rsidRPr="00BE3538" w:rsidRDefault="008242CC">
      <w:pPr>
        <w:pStyle w:val="FirstParagraph"/>
        <w:rPr>
          <w:lang w:val="it-IT"/>
        </w:rPr>
      </w:pPr>
      <w:r>
        <w:rPr>
          <w:lang w:val="it-IT"/>
        </w:rPr>
        <w:t>I residui di predizione sono residui empirici basati sul logaritmo del rapporto fra prezzo realizzato e prezzo previsto:</w:t>
      </w:r>
    </w:p>
    <w:p w14:paraId="0CB88DE9" w14:textId="77777777" w:rsidR="000854B7" w:rsidRDefault="00C0462E">
      <w:pPr>
        <w:pStyle w:val="BodyText"/>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den>
              </m:f>
            </m:e>
          </m:d>
        </m:oMath>
      </m:oMathPara>
    </w:p>
    <w:p w14:paraId="1F28E55C" w14:textId="77777777" w:rsidR="000854B7" w:rsidRDefault="008242CC">
      <w:r>
        <w:t>I residui vengono calcolati dalla storia walk-forward a partire dal secondo passo, applicando filtri che richiedono valori finiti e strettamente positivi. Gli eventi identificati come anomali possono determinare l’esclusione dei residui interessati.</w:t>
      </w:r>
    </w:p>
    <w:p w14:paraId="7EF3B95C" w14:textId="77777777" w:rsidR="000854B7" w:rsidRPr="00BE3538" w:rsidRDefault="008242CC">
      <w:pPr>
        <w:pStyle w:val="FirstParagraph"/>
        <w:rPr>
          <w:lang w:val="it-IT"/>
        </w:rPr>
      </w:pPr>
      <w:r>
        <w:rPr>
          <w:lang w:val="it-IT"/>
        </w:rPr>
        <w:lastRenderedPageBreak/>
        <w:t>Questo metodo è una calibrazione empirica basata su log-residui, non un metodo split-conformal rigoroso con garanzie formali di copertura. La copertura è empirica e approssimata.</w:t>
      </w:r>
    </w:p>
    <w:p w14:paraId="671AEE70" w14:textId="77777777" w:rsidR="000854B7" w:rsidRPr="00BE3538" w:rsidRDefault="008242CC">
      <w:pPr>
        <w:pStyle w:val="Heading2"/>
        <w:rPr>
          <w:lang w:val="it-IT"/>
        </w:rPr>
      </w:pPr>
      <w:bookmarkStart w:id="118" w:name="filtro-anomalie-sulla-calibrazione"/>
      <w:bookmarkStart w:id="119" w:name="_Toc236387271"/>
      <w:bookmarkEnd w:id="116"/>
      <w:r>
        <w:rPr>
          <w:lang w:val="it-IT"/>
        </w:rPr>
        <w:t>14.4 Filtro anomalie sulla calibrazione</w:t>
      </w:r>
      <w:bookmarkEnd w:id="119"/>
    </w:p>
    <w:p w14:paraId="0F3A2DCF" w14:textId="77777777" w:rsidR="000854B7" w:rsidRPr="00BE3538" w:rsidRDefault="008242CC">
      <w:pPr>
        <w:pStyle w:val="FirstParagraph"/>
        <w:rPr>
          <w:lang w:val="it-IT"/>
        </w:rPr>
      </w:pPr>
      <w:r>
        <w:rPr>
          <w:lang w:val="it-IT"/>
        </w:rPr>
        <w:t>Se esistono riparazioni dati, un anchor di calibrazione viene marcato come anomalo se una repair date cade nella sua finestra forecast estesa di un buffer laterale. I residui anomali vengono esclusi dalla calibrazione. L’allineamento fra flag di anomalia e anchor del walk-forward usa gli indici anchor reali, persistiti in cache insieme alla storia di calibrazione; se per una voce di cache legacy tali indici non sono disponibili, il filtro anomalie viene saltato (i residui restano inclusi, il che può solo allargare l’intervallo) invece di applicare un mapping disallineato.</w:t>
      </w:r>
    </w:p>
    <w:p w14:paraId="45FC1FFC" w14:textId="77777777" w:rsidR="000854B7" w:rsidRPr="00BE3538" w:rsidRDefault="008242CC">
      <w:pPr>
        <w:pStyle w:val="Heading2"/>
        <w:rPr>
          <w:lang w:val="it-IT"/>
        </w:rPr>
      </w:pPr>
      <w:bookmarkStart w:id="120" w:name="finestra-di-calibrazione-adattiva"/>
      <w:bookmarkStart w:id="121" w:name="_Toc236387272"/>
      <w:bookmarkEnd w:id="118"/>
      <w:r>
        <w:rPr>
          <w:lang w:val="it-IT"/>
        </w:rPr>
        <w:t>14.5 Finestra di calibrazione adattiva</w:t>
      </w:r>
      <w:bookmarkEnd w:id="121"/>
    </w:p>
    <w:p w14:paraId="7463F2D1" w14:textId="77777777" w:rsidR="00DE4D73" w:rsidRPr="00DE4D73" w:rsidRDefault="00DE4D73" w:rsidP="00DE4D73">
      <w:pPr>
        <w:rPr>
          <w:color w:val="000000" w:themeColor="text1"/>
          <w:lang w:val="it-IT"/>
        </w:rPr>
      </w:pPr>
      <w:bookmarkStart w:id="122" w:name="X712398e4f89407b6d867515bf34eb1b1af04ba6"/>
      <w:bookmarkEnd w:id="120"/>
      <w:r>
        <w:rPr>
          <w:color w:val="000000" w:themeColor="text1"/>
          <w:lang w:val="it-IT"/>
        </w:rPr>
        <w:t xml:space="preserve">Sia </w:t>
      </w:r>
      <m:oMath>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W</m:t>
            </m:r>
          </m:e>
          <m:sub>
            <m:r>
              <m:rPr>
                <m:sty m:val="bi"/>
              </m:rPr>
              <w:rPr>
                <w:rFonts w:ascii="Cambria Math" w:hAnsi="Cambria Math"/>
                <w:color w:val="000000" w:themeColor="text1"/>
                <w:lang w:val="en-GB"/>
              </w:rPr>
              <m:t>0</m:t>
            </m:r>
          </m:sub>
        </m:sSub>
        <m:r>
          <m:rPr>
            <m:sty m:val="bi"/>
          </m:rPr>
          <w:rPr>
            <w:rFonts w:ascii="Cambria Math" w:hAnsi="Cambria Math"/>
            <w:color w:val="000000" w:themeColor="text1"/>
            <w:lang w:val="it-IT"/>
          </w:rPr>
          <m:t>=252</m:t>
        </m:r>
      </m:oMath>
      <w:r>
        <w:rPr>
          <w:color w:val="000000" w:themeColor="text1"/>
          <w:lang w:val="it-IT"/>
        </w:rPr>
        <w:t xml:space="preserve"> la finestra base di calibrazione.</w:t>
      </w:r>
    </w:p>
    <w:p w14:paraId="396727D3" w14:textId="77777777" w:rsidR="00DE4D73" w:rsidRPr="00DE4D73" w:rsidRDefault="00DE4D73" w:rsidP="00DE4D73">
      <w:pPr>
        <w:rPr>
          <w:color w:val="000000" w:themeColor="text1"/>
          <w:lang w:val="it-IT"/>
        </w:rPr>
      </w:pPr>
      <w:r>
        <w:rPr>
          <w:color w:val="000000" w:themeColor="text1"/>
          <w:lang w:val="it-IT"/>
        </w:rPr>
        <w:t xml:space="preserve">La finestra effettiva </w:t>
      </w:r>
      <m:oMath>
        <m:r>
          <m:rPr>
            <m:sty m:val="bi"/>
          </m:rPr>
          <w:rPr>
            <w:rFonts w:ascii="Cambria Math" w:hAnsi="Cambria Math"/>
            <w:color w:val="000000" w:themeColor="text1"/>
            <w:lang w:val="en-GB"/>
          </w:rPr>
          <m:t>W(H)</m:t>
        </m:r>
      </m:oMath>
      <w:r>
        <w:rPr>
          <w:color w:val="000000" w:themeColor="text1"/>
          <w:lang w:val="it-IT"/>
        </w:rPr>
        <w:t xml:space="preserve">dipende dall’orizzonte operativo </w:t>
      </w:r>
      <m:oMath>
        <m:r>
          <m:rPr>
            <m:sty m:val="bi"/>
          </m:rPr>
          <w:rPr>
            <w:rFonts w:ascii="Cambria Math" w:hAnsi="Cambria Math"/>
            <w:color w:val="000000" w:themeColor="text1"/>
            <w:lang w:val="en-GB"/>
          </w:rPr>
          <m:t>H</m:t>
        </m:r>
      </m:oMath>
      <w:r>
        <w:rPr>
          <w:color w:val="000000" w:themeColor="text1"/>
          <w:lang w:val="it-IT"/>
        </w:rPr>
        <w:t>:</w:t>
      </w:r>
    </w:p>
    <w:p w14:paraId="456F92B5" w14:textId="77777777" w:rsidR="00DE4D73" w:rsidRPr="00DE4D73" w:rsidRDefault="00DE4D73" w:rsidP="008242CC">
      <w:pPr>
        <w:numPr>
          <w:ilvl w:val="0"/>
          <w:numId w:val="42"/>
        </w:numPr>
        <w:rPr>
          <w:color w:val="000000" w:themeColor="text1"/>
          <w:lang w:val="en-GB"/>
        </w:rPr>
      </w:pPr>
      <w:r>
        <w:rPr>
          <w:color w:val="000000" w:themeColor="text1"/>
          <w:lang w:val="en-GB"/>
        </w:rPr>
        <w:t xml:space="preserve">per </w:t>
      </w:r>
      <m:oMath>
        <m:r>
          <m:rPr>
            <m:sty m:val="bi"/>
          </m:rPr>
          <w:rPr>
            <w:rFonts w:ascii="Cambria Math" w:hAnsi="Cambria Math"/>
            <w:color w:val="000000" w:themeColor="text1"/>
            <w:lang w:val="en-GB"/>
          </w:rPr>
          <m:t>H≤20</m:t>
        </m:r>
      </m:oMath>
      <w:r>
        <w:rPr>
          <w:color w:val="000000" w:themeColor="text1"/>
          <w:lang w:val="en-GB"/>
        </w:rPr>
        <w:t xml:space="preserve">: </w:t>
      </w:r>
    </w:p>
    <w:p w14:paraId="645C076A" w14:textId="77777777" w:rsidR="00DE4D73" w:rsidRPr="00DE4D73" w:rsidRDefault="00DE4D73" w:rsidP="00DE4D73">
      <w:pPr>
        <w:rPr>
          <w:color w:val="000000" w:themeColor="text1"/>
          <w:lang w:val="en-GB"/>
        </w:rPr>
      </w:pPr>
      <m:oMathPara>
        <m:oMath>
          <m:r>
            <m:rPr>
              <m:sty m:val="bi"/>
            </m:rPr>
            <w:rPr>
              <w:rFonts w:ascii="Cambria Math" w:hAnsi="Cambria Math"/>
              <w:color w:val="000000" w:themeColor="text1"/>
              <w:lang w:val="en-GB"/>
            </w:rPr>
            <m:t>W(H)=1.0×</m:t>
          </m:r>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W</m:t>
              </m:r>
            </m:e>
            <m:sub>
              <m:r>
                <m:rPr>
                  <m:sty m:val="bi"/>
                </m:rPr>
                <w:rPr>
                  <w:rFonts w:ascii="Cambria Math" w:hAnsi="Cambria Math"/>
                  <w:color w:val="000000" w:themeColor="text1"/>
                  <w:lang w:val="en-GB"/>
                </w:rPr>
                <m:t>0</m:t>
              </m:r>
            </m:sub>
          </m:sSub>
          <m:r>
            <m:rPr>
              <m:sty m:val="p"/>
            </m:rPr>
            <w:rPr>
              <w:color w:val="000000" w:themeColor="text1"/>
              <w:lang w:val="en-GB"/>
            </w:rPr>
            <w:br/>
          </m:r>
        </m:oMath>
      </m:oMathPara>
    </w:p>
    <w:p w14:paraId="3995494C" w14:textId="77777777" w:rsidR="00DE4D73" w:rsidRPr="00DE4D73" w:rsidRDefault="00DE4D73" w:rsidP="008242CC">
      <w:pPr>
        <w:numPr>
          <w:ilvl w:val="0"/>
          <w:numId w:val="43"/>
        </w:numPr>
        <w:rPr>
          <w:color w:val="000000" w:themeColor="text1"/>
          <w:lang w:val="it-IT"/>
        </w:rPr>
      </w:pPr>
      <w:r>
        <w:rPr>
          <w:color w:val="000000" w:themeColor="text1"/>
          <w:lang w:val="it-IT"/>
        </w:rPr>
        <w:t xml:space="preserve">per </w:t>
      </w:r>
      <m:oMath>
        <m:r>
          <m:rPr>
            <m:sty m:val="bi"/>
          </m:rPr>
          <w:rPr>
            <w:rFonts w:ascii="Cambria Math" w:hAnsi="Cambria Math"/>
            <w:color w:val="000000" w:themeColor="text1"/>
            <w:lang w:val="en-GB"/>
          </w:rPr>
          <m:t>20&lt;H≤60</m:t>
        </m:r>
      </m:oMath>
      <w:r>
        <w:rPr>
          <w:color w:val="000000" w:themeColor="text1"/>
          <w:lang w:val="it-IT"/>
        </w:rPr>
        <w:t xml:space="preserve">, la finestra cresce linearmente da </w:t>
      </w:r>
      <m:oMath>
        <m:r>
          <m:rPr>
            <m:sty m:val="bi"/>
          </m:rPr>
          <w:rPr>
            <w:rFonts w:ascii="Cambria Math" w:hAnsi="Cambria Math"/>
            <w:color w:val="000000" w:themeColor="text1"/>
            <w:lang w:val="en-GB"/>
          </w:rPr>
          <m:t>1.0×</m:t>
        </m:r>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W</m:t>
            </m:r>
          </m:e>
          <m:sub>
            <m:r>
              <m:rPr>
                <m:sty m:val="bi"/>
              </m:rPr>
              <w:rPr>
                <w:rFonts w:ascii="Cambria Math" w:hAnsi="Cambria Math"/>
                <w:color w:val="000000" w:themeColor="text1"/>
                <w:lang w:val="en-GB"/>
              </w:rPr>
              <m:t>0</m:t>
            </m:r>
          </m:sub>
        </m:sSub>
      </m:oMath>
      <w:r>
        <w:rPr>
          <w:color w:val="000000" w:themeColor="text1"/>
          <w:lang w:val="it-IT"/>
        </w:rPr>
        <w:t xml:space="preserve">a </w:t>
      </w:r>
      <m:oMath>
        <m:r>
          <m:rPr>
            <m:sty m:val="bi"/>
          </m:rPr>
          <w:rPr>
            <w:rFonts w:ascii="Cambria Math" w:hAnsi="Cambria Math"/>
            <w:color w:val="000000" w:themeColor="text1"/>
            <w:lang w:val="en-GB"/>
          </w:rPr>
          <m:t>1.5×</m:t>
        </m:r>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W</m:t>
            </m:r>
          </m:e>
          <m:sub>
            <m:r>
              <m:rPr>
                <m:sty m:val="bi"/>
              </m:rPr>
              <w:rPr>
                <w:rFonts w:ascii="Cambria Math" w:hAnsi="Cambria Math"/>
                <w:color w:val="000000" w:themeColor="text1"/>
                <w:lang w:val="en-GB"/>
              </w:rPr>
              <m:t>0</m:t>
            </m:r>
          </m:sub>
        </m:sSub>
      </m:oMath>
      <w:r>
        <w:rPr>
          <w:color w:val="000000" w:themeColor="text1"/>
          <w:lang w:val="it-IT"/>
        </w:rPr>
        <w:t xml:space="preserve">; </w:t>
      </w:r>
    </w:p>
    <w:p w14:paraId="2F29AFA5" w14:textId="77777777" w:rsidR="00DE4D73" w:rsidRPr="00DE4D73" w:rsidRDefault="00DE4D73" w:rsidP="008242CC">
      <w:pPr>
        <w:numPr>
          <w:ilvl w:val="0"/>
          <w:numId w:val="43"/>
        </w:numPr>
        <w:rPr>
          <w:color w:val="000000" w:themeColor="text1"/>
          <w:lang w:val="it-IT"/>
        </w:rPr>
      </w:pPr>
      <w:r>
        <w:rPr>
          <w:color w:val="000000" w:themeColor="text1"/>
          <w:lang w:val="it-IT"/>
        </w:rPr>
        <w:t xml:space="preserve">per </w:t>
      </w:r>
      <m:oMath>
        <m:r>
          <m:rPr>
            <m:sty m:val="bi"/>
          </m:rPr>
          <w:rPr>
            <w:rFonts w:ascii="Cambria Math" w:hAnsi="Cambria Math"/>
            <w:color w:val="000000" w:themeColor="text1"/>
            <w:lang w:val="en-GB"/>
          </w:rPr>
          <m:t>60&lt;H≤252</m:t>
        </m:r>
      </m:oMath>
      <w:r>
        <w:rPr>
          <w:color w:val="000000" w:themeColor="text1"/>
          <w:lang w:val="it-IT"/>
        </w:rPr>
        <w:t xml:space="preserve">, la finestra cresce linearmente da </w:t>
      </w:r>
      <m:oMath>
        <m:r>
          <m:rPr>
            <m:sty m:val="bi"/>
          </m:rPr>
          <w:rPr>
            <w:rFonts w:ascii="Cambria Math" w:hAnsi="Cambria Math"/>
            <w:color w:val="000000" w:themeColor="text1"/>
            <w:lang w:val="en-GB"/>
          </w:rPr>
          <m:t>1.5×</m:t>
        </m:r>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W</m:t>
            </m:r>
          </m:e>
          <m:sub>
            <m:r>
              <m:rPr>
                <m:sty m:val="bi"/>
              </m:rPr>
              <w:rPr>
                <w:rFonts w:ascii="Cambria Math" w:hAnsi="Cambria Math"/>
                <w:color w:val="000000" w:themeColor="text1"/>
                <w:lang w:val="en-GB"/>
              </w:rPr>
              <m:t>0</m:t>
            </m:r>
          </m:sub>
        </m:sSub>
      </m:oMath>
      <w:r>
        <w:rPr>
          <w:color w:val="000000" w:themeColor="text1"/>
          <w:lang w:val="it-IT"/>
        </w:rPr>
        <w:t xml:space="preserve">a </w:t>
      </w:r>
      <m:oMath>
        <m:r>
          <m:rPr>
            <m:sty m:val="bi"/>
          </m:rPr>
          <w:rPr>
            <w:rFonts w:ascii="Cambria Math" w:hAnsi="Cambria Math"/>
            <w:color w:val="000000" w:themeColor="text1"/>
            <w:lang w:val="en-GB"/>
          </w:rPr>
          <m:t>2.0×</m:t>
        </m:r>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W</m:t>
            </m:r>
          </m:e>
          <m:sub>
            <m:r>
              <m:rPr>
                <m:sty m:val="bi"/>
              </m:rPr>
              <w:rPr>
                <w:rFonts w:ascii="Cambria Math" w:hAnsi="Cambria Math"/>
                <w:color w:val="000000" w:themeColor="text1"/>
                <w:lang w:val="en-GB"/>
              </w:rPr>
              <m:t>0</m:t>
            </m:r>
          </m:sub>
        </m:sSub>
      </m:oMath>
      <w:r>
        <w:rPr>
          <w:color w:val="000000" w:themeColor="text1"/>
          <w:lang w:val="it-IT"/>
        </w:rPr>
        <w:t xml:space="preserve">; </w:t>
      </w:r>
    </w:p>
    <w:p w14:paraId="6D4407E8" w14:textId="77777777" w:rsidR="00DE4D73" w:rsidRPr="00DE4D73" w:rsidRDefault="00DE4D73" w:rsidP="008242CC">
      <w:pPr>
        <w:numPr>
          <w:ilvl w:val="0"/>
          <w:numId w:val="43"/>
        </w:numPr>
        <w:rPr>
          <w:color w:val="000000" w:themeColor="text1"/>
          <w:lang w:val="it-IT"/>
        </w:rPr>
      </w:pPr>
      <w:r>
        <w:rPr>
          <w:color w:val="000000" w:themeColor="text1"/>
          <w:lang w:val="it-IT"/>
        </w:rPr>
        <w:t xml:space="preserve">per </w:t>
      </w:r>
      <m:oMath>
        <m:r>
          <m:rPr>
            <m:sty m:val="bi"/>
          </m:rPr>
          <w:rPr>
            <w:rFonts w:ascii="Cambria Math" w:hAnsi="Cambria Math"/>
            <w:color w:val="000000" w:themeColor="text1"/>
            <w:lang w:val="en-GB"/>
          </w:rPr>
          <m:t>H≥252</m:t>
        </m:r>
      </m:oMath>
      <w:r>
        <w:rPr>
          <w:color w:val="000000" w:themeColor="text1"/>
          <w:lang w:val="it-IT"/>
        </w:rPr>
        <w:t xml:space="preserve">, la finestra è saturata a </w:t>
      </w:r>
    </w:p>
    <w:p w14:paraId="65F04D9C" w14:textId="77777777" w:rsidR="00DE4D73" w:rsidRPr="00DE4D73" w:rsidRDefault="00DE4D73" w:rsidP="00DE4D73">
      <w:pPr>
        <w:rPr>
          <w:color w:val="000000" w:themeColor="text1"/>
          <w:lang w:val="en-GB"/>
        </w:rPr>
      </w:pPr>
      <m:oMathPara>
        <m:oMath>
          <m:r>
            <m:rPr>
              <m:sty m:val="bi"/>
            </m:rPr>
            <w:rPr>
              <w:rFonts w:ascii="Cambria Math" w:hAnsi="Cambria Math"/>
              <w:color w:val="000000" w:themeColor="text1"/>
              <w:lang w:val="en-GB"/>
            </w:rPr>
            <m:t>W(H)=2.0×</m:t>
          </m:r>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W</m:t>
              </m:r>
            </m:e>
            <m:sub>
              <m:r>
                <m:rPr>
                  <m:sty m:val="bi"/>
                </m:rPr>
                <w:rPr>
                  <w:rFonts w:ascii="Cambria Math" w:hAnsi="Cambria Math"/>
                  <w:color w:val="000000" w:themeColor="text1"/>
                  <w:lang w:val="en-GB"/>
                </w:rPr>
                <m:t>0</m:t>
              </m:r>
            </m:sub>
          </m:sSub>
          <m:r>
            <m:rPr>
              <m:sty m:val="bi"/>
            </m:rPr>
            <w:rPr>
              <w:rFonts w:ascii="Cambria Math" w:hAnsi="Cambria Math"/>
              <w:color w:val="000000" w:themeColor="text1"/>
              <w:lang w:val="en-GB"/>
            </w:rPr>
            <m:t>=504.</m:t>
          </m:r>
          <m:r>
            <m:rPr>
              <m:sty m:val="p"/>
            </m:rPr>
            <w:rPr>
              <w:color w:val="000000" w:themeColor="text1"/>
              <w:lang w:val="en-GB"/>
            </w:rPr>
            <w:br/>
          </m:r>
        </m:oMath>
      </m:oMathPara>
    </w:p>
    <w:p w14:paraId="4EDE3D1A" w14:textId="77777777" w:rsidR="00DE4D73" w:rsidRPr="00DE4D73" w:rsidRDefault="00DE4D73" w:rsidP="00DE4D73">
      <w:pPr>
        <w:rPr>
          <w:color w:val="000000" w:themeColor="text1"/>
          <w:lang w:val="it-IT"/>
        </w:rPr>
      </w:pPr>
      <w:r>
        <w:rPr>
          <w:color w:val="000000" w:themeColor="text1"/>
          <w:lang w:val="it-IT"/>
        </w:rPr>
        <w:t>In forma esplicita:</w:t>
      </w:r>
    </w:p>
    <w:p w14:paraId="3EDAE9B5" w14:textId="77777777" w:rsidR="00690358" w:rsidRDefault="00075396">
      <w:pPr>
        <w:jc w:val="center"/>
      </w:pPr>
      <m:oMathPara>
        <m:oMath>
          <m:r>
            <m:rPr>
              <m:sty m:val="bi"/>
            </m:rPr>
            <w:rPr>
              <w:rFonts w:ascii="Cambria Math" w:hAnsi="Cambria Math"/>
              <w:color w:val="000000" w:themeColor="text1"/>
              <w:lang w:val="en-GB"/>
            </w:rPr>
            <m:t>W</m:t>
          </m:r>
          <m:r>
            <m:rPr>
              <m:sty m:val="bi"/>
            </m:rPr>
            <w:rPr>
              <w:rFonts w:ascii="Cambria Math" w:hAnsi="Cambria Math"/>
              <w:color w:val="000000" w:themeColor="text1"/>
              <w:lang w:val="it-IT"/>
            </w:rPr>
            <m:t>(</m:t>
          </m:r>
          <m:r>
            <m:rPr>
              <m:sty m:val="bi"/>
            </m:rPr>
            <w:rPr>
              <w:rFonts w:ascii="Cambria Math" w:hAnsi="Cambria Math"/>
              <w:color w:val="000000" w:themeColor="text1"/>
              <w:lang w:val="en-GB"/>
            </w:rPr>
            <m:t>H</m:t>
          </m:r>
          <m:r>
            <m:rPr>
              <m:sty m:val="bi"/>
            </m:rPr>
            <w:rPr>
              <w:rFonts w:ascii="Cambria Math" w:hAnsi="Cambria Math"/>
              <w:color w:val="000000" w:themeColor="text1"/>
              <w:lang w:val="it-IT"/>
            </w:rPr>
            <m:t>)=</m:t>
          </m:r>
          <m:d>
            <m:dPr>
              <m:begChr m:val="{"/>
              <m:endChr m:val=""/>
              <m:ctrlPr>
                <w:rPr>
                  <w:rFonts w:ascii="Cambria Math" w:hAnsi="Cambria Math"/>
                  <w:color w:val="000000" w:themeColor="text1"/>
                  <w:lang w:val="en-GB"/>
                </w:rPr>
              </m:ctrlPr>
            </m:dPr>
            <m:e>
              <m:m>
                <m:mPr>
                  <m:plcHide m:val="1"/>
                  <m:mcs>
                    <m:mc>
                      <m:mcPr>
                        <m:count m:val="2"/>
                        <m:mcJc m:val="center"/>
                      </m:mcPr>
                    </m:mc>
                  </m:mcs>
                  <m:ctrlPr>
                    <w:rPr>
                      <w:rFonts w:ascii="Cambria Math" w:hAnsi="Cambria Math"/>
                      <w:color w:val="000000" w:themeColor="text1"/>
                      <w:lang w:val="en-GB"/>
                    </w:rPr>
                  </m:ctrlPr>
                </m:mPr>
                <m:mr>
                  <m:e>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W</m:t>
                        </m:r>
                      </m:e>
                      <m:sub>
                        <m:r>
                          <m:rPr>
                            <m:sty m:val="bi"/>
                          </m:rPr>
                          <w:rPr>
                            <w:rFonts w:ascii="Cambria Math" w:hAnsi="Cambria Math"/>
                            <w:color w:val="000000" w:themeColor="text1"/>
                            <w:lang w:val="it-IT"/>
                          </w:rPr>
                          <m:t>0</m:t>
                        </m:r>
                      </m:sub>
                    </m:sSub>
                    <m:r>
                      <m:rPr>
                        <m:sty m:val="bi"/>
                      </m:rPr>
                      <w:rPr>
                        <w:rFonts w:ascii="Cambria Math" w:hAnsi="Cambria Math"/>
                        <w:color w:val="000000" w:themeColor="text1"/>
                        <w:lang w:val="it-IT"/>
                      </w:rPr>
                      <m:t>,</m:t>
                    </m:r>
                  </m:e>
                  <m:e>
                    <m:r>
                      <m:rPr>
                        <m:sty m:val="bi"/>
                      </m:rPr>
                      <w:rPr>
                        <w:rFonts w:ascii="Cambria Math" w:hAnsi="Cambria Math"/>
                        <w:color w:val="000000" w:themeColor="text1"/>
                        <w:lang w:val="en-GB"/>
                      </w:rPr>
                      <m:t>H</m:t>
                    </m:r>
                    <m:r>
                      <m:rPr>
                        <m:sty m:val="bi"/>
                      </m:rPr>
                      <w:rPr>
                        <w:rFonts w:ascii="Cambria Math" w:hAnsi="Cambria Math"/>
                        <w:color w:val="000000" w:themeColor="text1"/>
                        <w:lang w:val="it-IT"/>
                      </w:rPr>
                      <m:t>≤20</m:t>
                    </m:r>
                  </m:e>
                </m:mr>
                <m:mr>
                  <m:e>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W</m:t>
                        </m:r>
                      </m:e>
                      <m:sub>
                        <m:r>
                          <m:rPr>
                            <m:sty m:val="bi"/>
                          </m:rPr>
                          <w:rPr>
                            <w:rFonts w:ascii="Cambria Math" w:hAnsi="Cambria Math"/>
                            <w:color w:val="000000" w:themeColor="text1"/>
                            <w:lang w:val="it-IT"/>
                          </w:rPr>
                          <m:t>0</m:t>
                        </m:r>
                      </m:sub>
                    </m:sSub>
                    <m:d>
                      <m:dPr>
                        <m:sepChr m:val="+"/>
                        <m:ctrlPr>
                          <w:rPr>
                            <w:rFonts w:ascii="Cambria Math" w:hAnsi="Cambria Math"/>
                            <w:color w:val="000000" w:themeColor="text1"/>
                            <w:lang w:val="en-GB"/>
                          </w:rPr>
                        </m:ctrlPr>
                      </m:dPr>
                      <m:e>
                        <m:r>
                          <m:rPr>
                            <m:sty m:val="bi"/>
                          </m:rPr>
                          <w:rPr>
                            <w:rFonts w:ascii="Cambria Math" w:hAnsi="Cambria Math"/>
                            <w:color w:val="000000" w:themeColor="text1"/>
                            <w:lang w:val="it-IT"/>
                          </w:rPr>
                          <m:t>1</m:t>
                        </m:r>
                      </m:e>
                      <m:e>
                        <m:r>
                          <m:rPr>
                            <m:sty m:val="bi"/>
                          </m:rPr>
                          <w:rPr>
                            <w:rFonts w:ascii="Cambria Math" w:hAnsi="Cambria Math"/>
                            <w:color w:val="000000" w:themeColor="text1"/>
                            <w:lang w:val="it-IT"/>
                          </w:rPr>
                          <m:t>0.5</m:t>
                        </m:r>
                        <m:f>
                          <m:fPr>
                            <m:ctrlPr>
                              <w:rPr>
                                <w:rFonts w:ascii="Cambria Math" w:hAnsi="Cambria Math"/>
                                <w:color w:val="000000" w:themeColor="text1"/>
                                <w:lang w:val="en-GB"/>
                              </w:rPr>
                            </m:ctrlPr>
                          </m:fPr>
                          <m:num>
                            <m:r>
                              <m:rPr>
                                <m:sty m:val="bi"/>
                              </m:rPr>
                              <w:rPr>
                                <w:rFonts w:ascii="Cambria Math" w:hAnsi="Cambria Math"/>
                                <w:color w:val="000000" w:themeColor="text1"/>
                                <w:lang w:val="en-GB"/>
                              </w:rPr>
                              <m:t>H</m:t>
                            </m:r>
                            <m:r>
                              <m:rPr>
                                <m:sty m:val="bi"/>
                              </m:rPr>
                              <w:rPr>
                                <w:rFonts w:ascii="Cambria Math" w:hAnsi="Cambria Math"/>
                                <w:color w:val="000000" w:themeColor="text1"/>
                                <w:lang w:val="it-IT"/>
                              </w:rPr>
                              <m:t>-20</m:t>
                            </m:r>
                          </m:num>
                          <m:den>
                            <m:r>
                              <m:rPr>
                                <m:sty m:val="bi"/>
                              </m:rPr>
                              <w:rPr>
                                <w:rFonts w:ascii="Cambria Math" w:hAnsi="Cambria Math"/>
                                <w:color w:val="000000" w:themeColor="text1"/>
                                <w:lang w:val="it-IT"/>
                              </w:rPr>
                              <m:t>40</m:t>
                            </m:r>
                          </m:den>
                        </m:f>
                      </m:e>
                    </m:d>
                    <m:r>
                      <m:rPr>
                        <m:sty m:val="bi"/>
                      </m:rPr>
                      <w:rPr>
                        <w:rFonts w:ascii="Cambria Math" w:hAnsi="Cambria Math"/>
                        <w:color w:val="000000" w:themeColor="text1"/>
                        <w:lang w:val="it-IT"/>
                      </w:rPr>
                      <m:t>,</m:t>
                    </m:r>
                  </m:e>
                  <m:e>
                    <m:r>
                      <m:rPr>
                        <m:sty m:val="bi"/>
                      </m:rPr>
                      <w:rPr>
                        <w:rFonts w:ascii="Cambria Math" w:hAnsi="Cambria Math"/>
                        <w:color w:val="000000" w:themeColor="text1"/>
                        <w:lang w:val="it-IT"/>
                      </w:rPr>
                      <m:t>20&lt;</m:t>
                    </m:r>
                    <m:r>
                      <m:rPr>
                        <m:sty m:val="bi"/>
                      </m:rPr>
                      <w:rPr>
                        <w:rFonts w:ascii="Cambria Math" w:hAnsi="Cambria Math"/>
                        <w:color w:val="000000" w:themeColor="text1"/>
                        <w:lang w:val="en-GB"/>
                      </w:rPr>
                      <m:t>H</m:t>
                    </m:r>
                    <m:r>
                      <m:rPr>
                        <m:sty m:val="bi"/>
                      </m:rPr>
                      <w:rPr>
                        <w:rFonts w:ascii="Cambria Math" w:hAnsi="Cambria Math"/>
                        <w:color w:val="000000" w:themeColor="text1"/>
                        <w:lang w:val="it-IT"/>
                      </w:rPr>
                      <m:t>≤60</m:t>
                    </m:r>
                  </m:e>
                </m:mr>
                <m:mr>
                  <m:e>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W</m:t>
                        </m:r>
                      </m:e>
                      <m:sub>
                        <m:r>
                          <m:rPr>
                            <m:sty m:val="bi"/>
                          </m:rPr>
                          <w:rPr>
                            <w:rFonts w:ascii="Cambria Math" w:hAnsi="Cambria Math"/>
                            <w:color w:val="000000" w:themeColor="text1"/>
                            <w:lang w:val="it-IT"/>
                          </w:rPr>
                          <m:t>0</m:t>
                        </m:r>
                      </m:sub>
                    </m:sSub>
                    <m:d>
                      <m:dPr>
                        <m:ctrlPr>
                          <w:rPr>
                            <w:rFonts w:ascii="Cambria Math" w:hAnsi="Cambria Math"/>
                            <w:color w:val="000000" w:themeColor="text1"/>
                            <w:lang w:val="en-GB"/>
                          </w:rPr>
                        </m:ctrlPr>
                      </m:dPr>
                      <m:e>
                        <m:r>
                          <m:rPr>
                            <m:sty m:val="bi"/>
                          </m:rPr>
                          <w:rPr>
                            <w:rFonts w:ascii="Cambria Math" w:hAnsi="Cambria Math"/>
                            <w:color w:val="000000" w:themeColor="text1"/>
                            <w:lang w:val="it-IT"/>
                          </w:rPr>
                          <m:t>1.5+0.5</m:t>
                        </m:r>
                        <m:r>
                          <m:rPr>
                            <m:sty m:val="b"/>
                          </m:rPr>
                          <w:rPr>
                            <w:rFonts w:ascii="Cambria Math" w:hAnsi="Cambria Math"/>
                            <w:color w:val="000000" w:themeColor="text1"/>
                            <w:lang w:val="it-IT"/>
                          </w:rPr>
                          <m:t>min</m:t>
                        </m:r>
                        <m:r>
                          <m:rPr>
                            <m:sty m:val="bi"/>
                          </m:rPr>
                          <w:rPr>
                            <w:rFonts w:ascii="Cambria Math" w:hAnsi="Cambria Math"/>
                            <w:color w:val="000000" w:themeColor="text1"/>
                            <w:lang w:val="it-IT"/>
                          </w:rPr>
                          <m:t>⁡</m:t>
                        </m:r>
                        <m:r>
                          <m:rPr>
                            <m:nor/>
                          </m:rPr>
                          <w:rPr>
                            <w:color w:val="000000" w:themeColor="text1"/>
                            <w:lang w:val="it-IT"/>
                          </w:rPr>
                          <m:t> ⁣</m:t>
                        </m:r>
                        <m:d>
                          <m:dPr>
                            <m:sepChr m:val=","/>
                            <m:ctrlPr>
                              <w:rPr>
                                <w:rFonts w:ascii="Cambria Math" w:hAnsi="Cambria Math"/>
                                <w:color w:val="000000" w:themeColor="text1"/>
                                <w:lang w:val="en-GB"/>
                              </w:rPr>
                            </m:ctrlPr>
                          </m:dPr>
                          <m:e>
                            <m:f>
                              <m:fPr>
                                <m:ctrlPr>
                                  <w:rPr>
                                    <w:rFonts w:ascii="Cambria Math" w:hAnsi="Cambria Math"/>
                                    <w:color w:val="000000" w:themeColor="text1"/>
                                    <w:lang w:val="en-GB"/>
                                  </w:rPr>
                                </m:ctrlPr>
                              </m:fPr>
                              <m:num>
                                <m:r>
                                  <m:rPr>
                                    <m:sty m:val="bi"/>
                                  </m:rPr>
                                  <w:rPr>
                                    <w:rFonts w:ascii="Cambria Math" w:hAnsi="Cambria Math"/>
                                    <w:color w:val="000000" w:themeColor="text1"/>
                                    <w:lang w:val="en-GB"/>
                                  </w:rPr>
                                  <m:t>H</m:t>
                                </m:r>
                                <m:r>
                                  <m:rPr>
                                    <m:sty m:val="bi"/>
                                  </m:rPr>
                                  <w:rPr>
                                    <w:rFonts w:ascii="Cambria Math" w:hAnsi="Cambria Math"/>
                                    <w:color w:val="000000" w:themeColor="text1"/>
                                    <w:lang w:val="it-IT"/>
                                  </w:rPr>
                                  <m:t>-60</m:t>
                                </m:r>
                              </m:num>
                              <m:den>
                                <m:r>
                                  <m:rPr>
                                    <m:sty m:val="bi"/>
                                  </m:rPr>
                                  <w:rPr>
                                    <w:rFonts w:ascii="Cambria Math" w:hAnsi="Cambria Math"/>
                                    <w:color w:val="000000" w:themeColor="text1"/>
                                    <w:lang w:val="it-IT"/>
                                  </w:rPr>
                                  <m:t>192</m:t>
                                </m:r>
                              </m:den>
                            </m:f>
                          </m:e>
                          <m:e>
                            <m:r>
                              <m:rPr>
                                <m:sty m:val="bi"/>
                              </m:rPr>
                              <w:rPr>
                                <w:rFonts w:ascii="Cambria Math" w:hAnsi="Cambria Math"/>
                                <w:color w:val="000000" w:themeColor="text1"/>
                                <w:lang w:val="it-IT"/>
                              </w:rPr>
                              <m:t>1</m:t>
                            </m:r>
                          </m:e>
                        </m:d>
                      </m:e>
                    </m:d>
                    <m:r>
                      <m:rPr>
                        <m:sty m:val="bi"/>
                      </m:rPr>
                      <w:rPr>
                        <w:rFonts w:ascii="Cambria Math" w:hAnsi="Cambria Math"/>
                        <w:color w:val="000000" w:themeColor="text1"/>
                        <w:lang w:val="it-IT"/>
                      </w:rPr>
                      <m:t>,</m:t>
                    </m:r>
                  </m:e>
                  <m:e>
                    <m:r>
                      <m:rPr>
                        <m:sty m:val="bi"/>
                      </m:rPr>
                      <w:rPr>
                        <w:rFonts w:ascii="Cambria Math" w:hAnsi="Cambria Math"/>
                        <w:color w:val="000000" w:themeColor="text1"/>
                        <w:lang w:val="en-GB"/>
                      </w:rPr>
                      <m:t>H</m:t>
                    </m:r>
                    <m:r>
                      <m:rPr>
                        <m:sty m:val="bi"/>
                      </m:rPr>
                      <w:rPr>
                        <w:rFonts w:ascii="Cambria Math" w:hAnsi="Cambria Math"/>
                        <w:color w:val="000000" w:themeColor="text1"/>
                        <w:lang w:val="it-IT"/>
                      </w:rPr>
                      <m:t>&gt;60</m:t>
                    </m:r>
                  </m:e>
                </m:mr>
              </m:m>
            </m:e>
          </m:d>
        </m:oMath>
      </m:oMathPara>
    </w:p>
    <w:p w14:paraId="6F44A7BB" w14:textId="77777777" w:rsidR="00690358" w:rsidRDefault="00075396">
      <w:pPr>
        <w:pStyle w:val="Heading2"/>
        <w:rPr>
          <w:lang w:val="it-IT"/>
        </w:rPr>
      </w:pPr>
      <w:bookmarkStart w:id="123" w:name="_Toc236387273"/>
      <w:r>
        <w:rPr>
          <w:lang w:val="it-IT"/>
        </w:rPr>
        <w:t>14.6 Pesatura  dei residui di calibrazione</w:t>
      </w:r>
      <w:bookmarkEnd w:id="123"/>
    </w:p>
    <w:p w14:paraId="37E3AF1D" w14:textId="77777777" w:rsidR="000854B7" w:rsidRPr="00F61132" w:rsidRDefault="008242CC">
      <w:pPr>
        <w:rPr>
          <w:lang w:val="it-IT"/>
        </w:rPr>
      </w:pPr>
      <w:bookmarkStart w:id="124" w:name="a-recency-weighting"/>
      <w:r>
        <w:rPr>
          <w:b/>
          <w:lang w:val="it-IT"/>
        </w:rPr>
        <w:t>A) Recency weighting</w:t>
      </w:r>
    </w:p>
    <w:p w14:paraId="34C1C0E1" w14:textId="77777777" w:rsidR="000854B7" w:rsidRPr="00F61132" w:rsidRDefault="008242CC">
      <w:pPr>
        <w:pStyle w:val="FirstParagraph"/>
        <w:rPr>
          <w:lang w:val="it-IT"/>
        </w:rPr>
      </w:pPr>
      <w:r>
        <w:rPr>
          <w:lang w:val="it-IT"/>
        </w:rPr>
        <w:t>Se l’half-life è positiva:</w:t>
      </w:r>
    </w:p>
    <w:p w14:paraId="08114D4F" w14:textId="77777777" w:rsidR="000854B7" w:rsidRDefault="00C0462E">
      <w:pPr>
        <w:pStyle w:val="BodyText"/>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rec</m:t>
              </m:r>
            </m:sup>
          </m:sSub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-ln</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ag</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Sub>
            </m:sup>
          </m:sSup>
        </m:oMath>
      </m:oMathPara>
    </w:p>
    <w:p w14:paraId="1ACF93D0" w14:textId="77777777" w:rsidR="000854B7" w:rsidRDefault="008242CC">
      <w:pPr>
        <w:pStyle w:val="FirstParagraph"/>
      </w:pPr>
      <w:r>
        <w:t>con default:</w:t>
      </w:r>
    </w:p>
    <w:p w14:paraId="28664A50" w14:textId="77777777" w:rsidR="000854B7" w:rsidRDefault="00C0462E">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126</m:t>
          </m:r>
        </m:oMath>
      </m:oMathPara>
    </w:p>
    <w:p w14:paraId="773D97EE" w14:textId="77777777" w:rsidR="000854B7" w:rsidRPr="00BE3538" w:rsidRDefault="008242CC">
      <w:pPr>
        <w:rPr>
          <w:lang w:val="it-IT"/>
        </w:rPr>
      </w:pPr>
      <w:bookmarkStart w:id="125" w:name="b-volatility-regime-weighting"/>
      <w:bookmarkEnd w:id="124"/>
      <w:r>
        <w:rPr>
          <w:b/>
          <w:lang w:val="it-IT"/>
        </w:rPr>
        <w:t>B) Volatility-regime weighting</w:t>
      </w:r>
    </w:p>
    <w:p w14:paraId="10FA807F" w14:textId="77777777" w:rsidR="000854B7" w:rsidRPr="00BE3538" w:rsidRDefault="008242CC">
      <w:pPr>
        <w:pStyle w:val="FirstParagraph"/>
        <w:rPr>
          <w:lang w:val="it-IT"/>
        </w:rPr>
      </w:pPr>
      <w:r>
        <w:rPr>
          <w:lang w:val="it-IT"/>
        </w:rPr>
        <w:lastRenderedPageBreak/>
        <w:t>Si calcola una rolling volatility sui residui e poi un kernel gaussiano nello spazio log-volatilità :</w:t>
      </w:r>
    </w:p>
    <w:p w14:paraId="75204580" w14:textId="77777777" w:rsidR="000854B7" w:rsidRDefault="00C0462E">
      <w:pPr>
        <w:pStyle w:val="BodyText"/>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vol</m:t>
              </m:r>
            </m:sup>
          </m:sSub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current</m:t>
                              </m:r>
                            </m:sub>
                          </m:sSub>
                        </m:num>
                        <m:den>
                          <m:r>
                            <w:rPr>
                              <w:rFonts w:ascii="Cambria Math" w:hAnsi="Cambria Math"/>
                            </w:rPr>
                            <m:t>b</m:t>
                          </m:r>
                        </m:den>
                      </m:f>
                    </m:e>
                  </m:d>
                </m:e>
                <m:sup>
                  <m:r>
                    <w:rPr>
                      <w:rFonts w:ascii="Cambria Math" w:hAnsi="Cambria Math"/>
                    </w:rPr>
                    <m:t>2</m:t>
                  </m:r>
                </m:sup>
              </m:sSup>
            </m:e>
          </m:d>
        </m:oMath>
      </m:oMathPara>
    </w:p>
    <w:p w14:paraId="721736A2" w14:textId="77777777" w:rsidR="000854B7" w:rsidRDefault="008242CC">
      <w:pPr>
        <w:pStyle w:val="FirstParagraph"/>
      </w:pPr>
      <w:r>
        <w:t>con banda di default:</w:t>
      </w:r>
    </w:p>
    <w:p w14:paraId="7F97DDDB" w14:textId="77777777" w:rsidR="000854B7" w:rsidRDefault="008242CC">
      <w:pPr>
        <w:pStyle w:val="BodyText"/>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0.5</m:t>
          </m:r>
        </m:oMath>
      </m:oMathPara>
    </w:p>
    <w:p w14:paraId="00272841" w14:textId="77777777" w:rsidR="000854B7" w:rsidRPr="00BE3538" w:rsidRDefault="008242CC">
      <w:pPr>
        <w:rPr>
          <w:lang w:val="it-IT"/>
        </w:rPr>
      </w:pPr>
      <w:bookmarkStart w:id="126" w:name="c-blend-finale"/>
      <w:bookmarkEnd w:id="125"/>
      <w:r>
        <w:rPr>
          <w:b/>
          <w:lang w:val="it-IT"/>
        </w:rPr>
        <w:t>C) Blend finale</w:t>
      </w:r>
    </w:p>
    <w:p w14:paraId="793FE54E" w14:textId="77777777" w:rsidR="000854B7" w:rsidRPr="00BE3538" w:rsidRDefault="008242CC">
      <w:pPr>
        <w:pStyle w:val="FirstParagraph"/>
        <w:rPr>
          <w:lang w:val="it-IT"/>
        </w:rPr>
      </w:pPr>
      <w:r>
        <w:rPr>
          <w:lang w:val="it-IT"/>
        </w:rPr>
        <w:t>Dopo normalizzazione L1 dei due vettori:</w:t>
      </w:r>
    </w:p>
    <w:p w14:paraId="234CDB2C" w14:textId="77777777" w:rsidR="000854B7" w:rsidRDefault="00C0462E">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rec</m:t>
              </m:r>
            </m:sup>
          </m:sSubSup>
          <m:r>
            <m:rPr>
              <m:sty m:val="p"/>
            </m:rPr>
            <w:rPr>
              <w:rFonts w:ascii="Cambria Math" w:hAnsi="Cambria Math"/>
            </w:rPr>
            <m:t>+</m:t>
          </m:r>
          <m:r>
            <w:rPr>
              <w:rFonts w:ascii="Cambria Math" w:hAnsi="Cambria Math"/>
            </w:rPr>
            <m:t>λ</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vol</m:t>
              </m:r>
            </m:sup>
          </m:sSubSup>
        </m:oMath>
      </m:oMathPara>
    </w:p>
    <w:p w14:paraId="5680F62F" w14:textId="77777777" w:rsidR="000854B7" w:rsidRDefault="008242CC">
      <w:pPr>
        <w:pStyle w:val="FirstParagraph"/>
      </w:pPr>
      <w:r>
        <w:t>con blend di default:</w:t>
      </w:r>
    </w:p>
    <w:p w14:paraId="2C7142B1" w14:textId="77777777" w:rsidR="000854B7" w:rsidRDefault="008242CC">
      <w:pPr>
        <w:pStyle w:val="BodyText"/>
      </w:pPr>
      <m:oMathPara>
        <m:oMathParaPr>
          <m:jc m:val="center"/>
        </m:oMathParaPr>
        <m:oMath>
          <m:r>
            <w:rPr>
              <w:rFonts w:ascii="Cambria Math" w:hAnsi="Cambria Math"/>
            </w:rPr>
            <m:t>λ</m:t>
          </m:r>
          <m:r>
            <m:rPr>
              <m:sty m:val="p"/>
            </m:rPr>
            <w:rPr>
              <w:rFonts w:ascii="Cambria Math" w:hAnsi="Cambria Math"/>
            </w:rPr>
            <m:t>=</m:t>
          </m:r>
          <m:r>
            <w:rPr>
              <w:rFonts w:ascii="Cambria Math" w:hAnsi="Cambria Math"/>
            </w:rPr>
            <m:t>0.5</m:t>
          </m:r>
        </m:oMath>
      </m:oMathPara>
    </w:p>
    <w:p w14:paraId="10183D12" w14:textId="77777777" w:rsidR="000854B7" w:rsidRPr="00BE3538" w:rsidRDefault="008242CC">
      <w:pPr>
        <w:pStyle w:val="FirstParagraph"/>
        <w:rPr>
          <w:lang w:val="it-IT"/>
        </w:rPr>
      </w:pPr>
      <w:r>
        <w:rPr>
          <w:lang w:val="it-IT"/>
        </w:rPr>
        <w:t>Infine si normalizza di nuovo il vettore. Il vettore è accettato solo se la dimensione campionaria effettiva soddisfa:</w:t>
      </w:r>
    </w:p>
    <w:p w14:paraId="0CEB9AEF" w14:textId="77777777" w:rsidR="000854B7" w:rsidRDefault="00C0462E">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eff</m:t>
              </m:r>
            </m:sub>
          </m:sSub>
          <m:r>
            <m:rPr>
              <m:sty m:val="p"/>
            </m:rPr>
            <w:rPr>
              <w:rFonts w:ascii="Cambria Math" w:hAnsi="Cambria Math"/>
            </w:rPr>
            <m:t>=</m:t>
          </m:r>
          <m:f>
            <m:fPr>
              <m:ctrlPr>
                <w:rPr>
                  <w:rFonts w:ascii="Cambria Math" w:hAnsi="Cambria Math"/>
                </w:rPr>
              </m:ctrlPr>
            </m:fPr>
            <m:num>
              <m:r>
                <w:rPr>
                  <w:rFonts w:ascii="Cambria Math" w:hAnsi="Cambria Math"/>
                </w:rPr>
                <m:t>1</m:t>
              </m:r>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den>
          </m:f>
          <m:r>
            <m:rPr>
              <m:sty m:val="p"/>
            </m:rPr>
            <w:rPr>
              <w:rFonts w:ascii="Cambria Math" w:hAnsi="Cambria Math"/>
            </w:rPr>
            <m:t>≥</m:t>
          </m:r>
          <m:r>
            <w:rPr>
              <w:rFonts w:ascii="Cambria Math" w:hAnsi="Cambria Math"/>
            </w:rPr>
            <m:t>20</m:t>
          </m:r>
        </m:oMath>
      </m:oMathPara>
    </w:p>
    <w:p w14:paraId="45A36990" w14:textId="77777777" w:rsidR="000854B7" w:rsidRPr="00BE3538" w:rsidRDefault="008242CC">
      <w:pPr>
        <w:pStyle w:val="FirstParagraph"/>
        <w:rPr>
          <w:lang w:val="it-IT"/>
        </w:rPr>
      </w:pPr>
      <w:r>
        <w:rPr>
          <w:lang w:val="it-IT"/>
        </w:rPr>
        <w:t>Se il vincolo non è soddisfatto, il motore ricade su pesi uniformi.</w:t>
      </w:r>
    </w:p>
    <w:p w14:paraId="29158FA2" w14:textId="77777777" w:rsidR="000854B7" w:rsidRDefault="008242CC">
      <w:pPr>
        <w:pStyle w:val="Heading2"/>
      </w:pPr>
      <w:bookmarkStart w:id="127" w:name="metodi-candidati"/>
      <w:bookmarkStart w:id="128" w:name="_Toc236387274"/>
      <w:bookmarkEnd w:id="122"/>
      <w:bookmarkEnd w:id="126"/>
      <w:r>
        <w:t>14.7 Metodi candidati</w:t>
      </w:r>
      <w:bookmarkEnd w:id="128"/>
    </w:p>
    <w:p w14:paraId="3B33F6EB" w14:textId="77777777" w:rsidR="000854B7" w:rsidRPr="00BE3538" w:rsidRDefault="008242CC" w:rsidP="008242CC">
      <w:pPr>
        <w:numPr>
          <w:ilvl w:val="0"/>
          <w:numId w:val="18"/>
        </w:numPr>
        <w:rPr>
          <w:lang w:val="it-IT"/>
        </w:rPr>
      </w:pPr>
      <w:r>
        <w:rPr>
          <w:lang w:val="it-IT"/>
        </w:rPr>
        <w:t>empirico asimmetrico se l’interval shape è asimmetrico;</w:t>
      </w:r>
    </w:p>
    <w:p w14:paraId="539470A2" w14:textId="77777777" w:rsidR="000854B7" w:rsidRDefault="008242CC" w:rsidP="008242CC">
      <w:pPr>
        <w:numPr>
          <w:ilvl w:val="0"/>
          <w:numId w:val="18"/>
        </w:numPr>
      </w:pPr>
      <w:r>
        <w:t>altrimenti candidati simmetrici:</w:t>
      </w:r>
    </w:p>
    <w:p w14:paraId="00B1D9D6" w14:textId="77777777" w:rsidR="000854B7" w:rsidRDefault="008242CC" w:rsidP="008242CC">
      <w:pPr>
        <w:numPr>
          <w:ilvl w:val="0"/>
          <w:numId w:val="18"/>
        </w:numPr>
      </w:pPr>
      <w:r>
        <w:t>conforme sul rendimento assoluto</w:t>
      </w:r>
    </w:p>
    <w:p w14:paraId="41FE9832" w14:textId="77777777" w:rsidR="000854B7" w:rsidRDefault="008242CC" w:rsidP="008242CC">
      <w:pPr>
        <w:numPr>
          <w:ilvl w:val="0"/>
          <w:numId w:val="18"/>
        </w:numPr>
      </w:pPr>
      <w:r>
        <w:t>quantile empirico del rendimento</w:t>
      </w:r>
    </w:p>
    <w:p w14:paraId="5F218B82" w14:textId="77777777" w:rsidR="000854B7" w:rsidRDefault="008242CC" w:rsidP="008242CC">
      <w:pPr>
        <w:numPr>
          <w:ilvl w:val="0"/>
          <w:numId w:val="18"/>
        </w:numPr>
      </w:pPr>
      <w:r>
        <w:t>metodo normale parametrico</w:t>
      </w:r>
    </w:p>
    <w:p w14:paraId="24F1DB43" w14:textId="77777777" w:rsidR="000854B7" w:rsidRDefault="008242CC">
      <w:pPr>
        <w:pStyle w:val="Heading2"/>
      </w:pPr>
      <w:bookmarkStart w:id="129" w:name="quantili-simmetrici"/>
      <w:bookmarkStart w:id="130" w:name="_Toc236387275"/>
      <w:bookmarkEnd w:id="127"/>
      <w:r>
        <w:t>14.8 Quantili simmetrici</w:t>
      </w:r>
      <w:bookmarkEnd w:id="130"/>
    </w:p>
    <w:p w14:paraId="6D75556E" w14:textId="77777777" w:rsidR="000854B7" w:rsidRPr="00BE3538" w:rsidRDefault="008242CC">
      <w:pPr>
        <w:pStyle w:val="FirstParagraph"/>
        <w:rPr>
          <w:lang w:val="it-IT"/>
        </w:rPr>
      </w:pPr>
      <w:r>
        <w:rPr>
          <w:lang w:val="it-IT"/>
        </w:rPr>
        <w:t xml:space="preserve">Se il metodo è simmetrico si usa il quantile di </w:t>
      </w:r>
      <m:oMath>
        <m:r>
          <m:rPr>
            <m:sty m:val="p"/>
          </m:rPr>
          <w:rPr>
            <w:rFonts w:ascii="Cambria Math" w:hAnsi="Cambria Math"/>
            <w:lang w:val="it-IT"/>
          </w:rPr>
          <m:t>∥</m:t>
        </m:r>
        <m:r>
          <w:rPr>
            <w:rFonts w:ascii="Cambria Math" w:hAnsi="Cambria Math"/>
          </w:rPr>
          <m:t>ε</m:t>
        </m:r>
        <m:r>
          <m:rPr>
            <m:sty m:val="p"/>
          </m:rPr>
          <w:rPr>
            <w:rFonts w:ascii="Cambria Math" w:hAnsi="Cambria Math"/>
            <w:lang w:val="it-IT"/>
          </w:rPr>
          <m:t>∥</m:t>
        </m:r>
      </m:oMath>
      <w:r>
        <w:rPr>
          <w:lang w:val="it-IT"/>
        </w:rPr>
        <w:t xml:space="preserve"> al livello </w:t>
      </w:r>
      <m:oMath>
        <m:r>
          <w:rPr>
            <w:rFonts w:ascii="Cambria Math" w:hAnsi="Cambria Math"/>
            <w:lang w:val="it-IT"/>
          </w:rPr>
          <m:t>1</m:t>
        </m:r>
        <m:r>
          <m:rPr>
            <m:sty m:val="p"/>
          </m:rPr>
          <w:rPr>
            <w:rFonts w:ascii="Cambria Math" w:hAnsi="Cambria Math"/>
            <w:lang w:val="it-IT"/>
          </w:rPr>
          <m:t>-</m:t>
        </m:r>
        <m:r>
          <w:rPr>
            <w:rFonts w:ascii="Cambria Math" w:hAnsi="Cambria Math"/>
          </w:rPr>
          <m:t>α</m:t>
        </m:r>
      </m:oMath>
      <w:r>
        <w:rPr>
          <w:lang w:val="it-IT"/>
        </w:rPr>
        <w:t>.</w:t>
      </w:r>
    </w:p>
    <w:p w14:paraId="495B50BA" w14:textId="77777777" w:rsidR="000854B7" w:rsidRPr="00BE3538" w:rsidRDefault="008242CC">
      <w:pPr>
        <w:pStyle w:val="BodyText"/>
        <w:rPr>
          <w:lang w:val="it-IT"/>
        </w:rPr>
      </w:pPr>
      <w:r>
        <w:rPr>
          <w:lang w:val="it-IT"/>
        </w:rPr>
        <w:t>Per metodo normale parametrico il quantile è parametrico:</w:t>
      </w:r>
    </w:p>
    <w:p w14:paraId="4F34BB79" w14:textId="77777777" w:rsidR="000854B7" w:rsidRDefault="008242CC">
      <w:pPr>
        <w:pStyle w:val="BodyText"/>
      </w:pPr>
      <m:oMathPara>
        <m:oMathParaPr>
          <m:jc m:val="center"/>
        </m:oMathParaP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robust</m:t>
              </m:r>
            </m:sub>
          </m:sSub>
        </m:oMath>
      </m:oMathPara>
    </w:p>
    <w:p w14:paraId="3508EADF" w14:textId="77777777" w:rsidR="000854B7" w:rsidRPr="00BE3538" w:rsidRDefault="008242CC">
      <w:pPr>
        <w:pStyle w:val="FirstParagraph"/>
        <w:rPr>
          <w:lang w:val="it-IT"/>
        </w:rPr>
      </w:pPr>
      <w:r>
        <w:rPr>
          <w:lang w:val="it-IT"/>
        </w:rPr>
        <w:t xml:space="preserve">con </w:t>
      </w:r>
      <m:oMath>
        <m:sSub>
          <m:sSubPr>
            <m:ctrlPr>
              <w:rPr>
                <w:rFonts w:ascii="Cambria Math" w:hAnsi="Cambria Math"/>
              </w:rPr>
            </m:ctrlPr>
          </m:sSubPr>
          <m:e>
            <m:r>
              <w:rPr>
                <w:rFonts w:ascii="Cambria Math" w:hAnsi="Cambria Math"/>
              </w:rPr>
              <m:t>σ</m:t>
            </m:r>
          </m:e>
          <m:sub>
            <m:r>
              <w:rPr>
                <w:rFonts w:ascii="Cambria Math" w:hAnsi="Cambria Math"/>
              </w:rPr>
              <m:t>robust</m:t>
            </m:r>
          </m:sub>
        </m:sSub>
      </m:oMath>
      <w:r>
        <w:rPr>
          <w:lang w:val="it-IT"/>
        </w:rPr>
        <w:t xml:space="preserve"> derivata da MAD o, in fallback, da deviazione standard classica.</w:t>
      </w:r>
    </w:p>
    <w:p w14:paraId="322745A7" w14:textId="77777777" w:rsidR="000854B7" w:rsidRPr="00BE3538" w:rsidRDefault="008242CC">
      <w:pPr>
        <w:pStyle w:val="Heading2"/>
        <w:rPr>
          <w:lang w:val="it-IT"/>
        </w:rPr>
      </w:pPr>
      <w:bookmarkStart w:id="131" w:name="quantili-asimmetrici"/>
      <w:bookmarkStart w:id="132" w:name="_Toc236387276"/>
      <w:bookmarkEnd w:id="129"/>
      <w:r>
        <w:rPr>
          <w:lang w:val="it-IT"/>
        </w:rPr>
        <w:t>14.9 Quantili asimmetrici</w:t>
      </w:r>
      <w:bookmarkEnd w:id="132"/>
    </w:p>
    <w:p w14:paraId="27A7ECF0" w14:textId="77777777" w:rsidR="000854B7" w:rsidRPr="00BE3538" w:rsidRDefault="008242CC">
      <w:pPr>
        <w:pStyle w:val="FirstParagraph"/>
        <w:rPr>
          <w:lang w:val="it-IT"/>
        </w:rPr>
      </w:pPr>
      <w:r>
        <w:rPr>
          <w:lang w:val="it-IT"/>
        </w:rPr>
        <w:t>Per intervallo asimmetrico:</w:t>
      </w:r>
    </w:p>
    <w:p w14:paraId="703981C9" w14:textId="77777777" w:rsidR="000854B7" w:rsidRDefault="00C0462E">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lo</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r>
                <m:rPr>
                  <m:sty m:val="p"/>
                </m:rPr>
                <w:rPr>
                  <w:rFonts w:ascii="Cambria Math" w:hAnsi="Cambria Math"/>
                </w:rPr>
                <m:t>/</m:t>
              </m:r>
              <m:r>
                <w:rPr>
                  <w:rFonts w:ascii="Cambria Math" w:hAnsi="Cambria Math"/>
                </w:rPr>
                <m:t>2</m:t>
              </m:r>
            </m:sub>
          </m:sSub>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hi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b>
          </m:sSub>
          <m:d>
            <m:dPr>
              <m:ctrlPr>
                <w:rPr>
                  <w:rFonts w:ascii="Cambria Math" w:hAnsi="Cambria Math"/>
                </w:rPr>
              </m:ctrlPr>
            </m:dPr>
            <m:e>
              <m:r>
                <w:rPr>
                  <w:rFonts w:ascii="Cambria Math" w:hAnsi="Cambria Math"/>
                </w:rPr>
                <m:t>ε</m:t>
              </m:r>
            </m:e>
          </m:d>
        </m:oMath>
      </m:oMathPara>
    </w:p>
    <w:p w14:paraId="6934EA9D" w14:textId="77777777" w:rsidR="000854B7" w:rsidRDefault="008242CC">
      <w:pPr>
        <w:pStyle w:val="FirstParagraph"/>
        <w:rPr>
          <w:lang w:val="it-IT"/>
        </w:rPr>
      </w:pPr>
      <w:r>
        <w:rPr>
          <w:lang w:val="it-IT"/>
        </w:rPr>
        <w:lastRenderedPageBreak/>
        <w:t>Quando i quantili calibrati non racchiudono lo zero — cioè quando un bias sistematico della previsione rende entrambe le code dello stesso segno — la coda anomala non viene azzerata: la sua ampiezza viene invece portata almeno al quantile dei residui in valore assoluto al livello 1−α, la stessa semilarghezza impiegata dall’intervallo simmetrico. La coda sana resta invariata, così l’asimmetria è preservata quando i dati la supportano e l’intervallo rispetta sempre la condizione limite inferiore &lt; previsione &lt; limite superiore. L’attivazione di questa guardia è un forte segnale di bias sistematico ed è riportata nelle diagnostiche, declassando esplicitamente la base di confidenza a model-assisted.</w:t>
      </w:r>
    </w:p>
    <w:p w14:paraId="2E1966C6" w14:textId="77777777" w:rsidR="000854B7" w:rsidRDefault="008242CC">
      <w:pPr>
        <w:pStyle w:val="Heading3"/>
      </w:pPr>
      <w:bookmarkStart w:id="133" w:name="_Toc236387277"/>
      <w:r>
        <w:t>14.9.1 Stima parametrica a code pesanti (v3.4)</w:t>
      </w:r>
      <w:bookmarkEnd w:id="133"/>
    </w:p>
    <w:p w14:paraId="1F887653" w14:textId="77777777" w:rsidR="000854B7" w:rsidRDefault="008242CC">
      <w:pPr>
        <w:pStyle w:val="FirstParagraph"/>
      </w:pPr>
      <w:r>
        <w:t>Quando il campione di calibrazione contiene meno di 200 residui, i quantili empirici sottostimano sistematicamente le code della distribuzione reale. Per correggere questo bias, il motore affianca alla stima empirica una stima parametrica basata su una distribuzione t di Student a locazione e scala, con gradi di libertà stimati in modo robusto tramite mediana, MAD e curtosi campionaria, con un prior informato dal dominio finanziario (df=5 per n&lt;50, cap a df=8 per n&lt;120). Se la stima t-Student fallisce, il motore ricade sull’espansione di Cornish-Fisher, che corregge il quantile normale per skewness e curtosi campionarie.</w:t>
      </w:r>
    </w:p>
    <w:p w14:paraId="51301110" w14:textId="77777777" w:rsidR="000854B7" w:rsidRDefault="008242CC">
      <w:pPr>
        <w:pStyle w:val="BodyText"/>
      </w:pPr>
      <w:r>
        <w:t>Il quantile finale emesso per ciascuna coda è l’inviluppo (envelope) dei due stimatori: per la coda inferiore si prende il minimo fra quantile empirico e quantile parametrico; per la coda superiore si prende il massimo. Questa costruzione garantisce che l’intervallo v3.4 non sia mai più stretto dell’intervallo puramente empirico. La stima parametrica è model-assisted e non distribution-free: le diagnostiche la dichiarano esplicitamente.</w:t>
      </w:r>
    </w:p>
    <w:p w14:paraId="3C0B7485" w14:textId="77777777" w:rsidR="000854B7" w:rsidRPr="00BE3538" w:rsidRDefault="008242CC">
      <w:pPr>
        <w:pStyle w:val="Heading2"/>
        <w:rPr>
          <w:lang w:val="it-IT"/>
        </w:rPr>
      </w:pPr>
      <w:bookmarkStart w:id="134" w:name="winsorization"/>
      <w:bookmarkStart w:id="135" w:name="_Toc236387278"/>
      <w:bookmarkEnd w:id="131"/>
      <w:r>
        <w:rPr>
          <w:lang w:val="it-IT"/>
        </w:rPr>
        <w:t>14.10 Winsorization</w:t>
      </w:r>
      <w:bookmarkEnd w:id="135"/>
    </w:p>
    <w:p w14:paraId="1E81E6C3" w14:textId="77777777" w:rsidR="000854B7" w:rsidRPr="00BE3538" w:rsidRDefault="008242CC">
      <w:pPr>
        <w:pStyle w:val="FirstParagraph"/>
        <w:rPr>
          <w:lang w:val="it-IT"/>
        </w:rPr>
      </w:pPr>
      <w:r>
        <w:rPr>
          <w:lang w:val="it-IT"/>
        </w:rPr>
        <w:t>Prima della stima dei quantili, se il campione è sufficientemente grande, si applica winsorization alle code con percentuale di default 1%.</w:t>
      </w:r>
    </w:p>
    <w:p w14:paraId="787E9583" w14:textId="77777777" w:rsidR="000854B7" w:rsidRPr="00BE3538" w:rsidRDefault="008242CC">
      <w:pPr>
        <w:pStyle w:val="Heading2"/>
        <w:rPr>
          <w:lang w:val="it-IT"/>
        </w:rPr>
      </w:pPr>
      <w:bookmarkStart w:id="136" w:name="clamping-horizon-aware"/>
      <w:bookmarkStart w:id="137" w:name="_Toc236387279"/>
      <w:bookmarkEnd w:id="134"/>
      <w:r>
        <w:rPr>
          <w:lang w:val="it-IT"/>
        </w:rPr>
        <w:t>14.11 Clamping horizon-aware</w:t>
      </w:r>
      <w:bookmarkEnd w:id="137"/>
    </w:p>
    <w:p w14:paraId="2B3AB827" w14:textId="77777777" w:rsidR="000854B7" w:rsidRPr="00BE3538" w:rsidRDefault="008242CC">
      <w:pPr>
        <w:pStyle w:val="FirstParagraph"/>
        <w:rPr>
          <w:lang w:val="it-IT"/>
        </w:rPr>
      </w:pPr>
      <w:r>
        <w:rPr>
          <w:lang w:val="it-IT"/>
        </w:rPr>
        <w:t>Il comportamento del limite è configurabile e prevede quattro modalità: nessun limite, sola winsorizzazione, limite dipendente dall’orizzonte oppure limite fisso legacy. La modalità predefinita dipende dall’orizzonte. In tale modalità, il limite applicato al quantile nello spazio logaritmico è definito dalla formula seguente.</w:t>
      </w:r>
    </w:p>
    <w:p w14:paraId="06B789DC" w14:textId="77777777" w:rsidR="000854B7" w:rsidRDefault="00383D83">
      <w:pPr>
        <w:pStyle w:val="BodyText"/>
      </w:pPr>
      <m:oMathPara>
        <m:oMathParaPr>
          <m:jc m:val="center"/>
        </m:oMathParaPr>
        <m:oMath>
          <m:r>
            <w:rPr>
              <w:rFonts w:ascii="Cambria Math" w:hAnsi="Cambria Math"/>
            </w:rPr>
            <m:t>c</m:t>
          </m:r>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max</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min</m:t>
                  </m:r>
                </m:sub>
              </m:sSub>
            </m:e>
            <m:e>
              <m:r>
                <w:rPr>
                  <w:rFonts w:ascii="Cambria Math" w:hAnsi="Cambria Math"/>
                </w:rPr>
                <m:t>b</m:t>
              </m:r>
              <m:rad>
                <m:radPr>
                  <m:degHide m:val="1"/>
                  <m:ctrlPr>
                    <w:rPr>
                      <w:rFonts w:ascii="Cambria Math" w:hAnsi="Cambria Math"/>
                    </w:rPr>
                  </m:ctrlPr>
                </m:radPr>
                <m:deg/>
                <m:e>
                  <m:r>
                    <w:rPr>
                      <w:rFonts w:ascii="Cambria Math" w:hAnsi="Cambria Math"/>
                    </w:rPr>
                    <m:t>min</m:t>
                  </m:r>
                  <m:d>
                    <m:dPr>
                      <m:begChr m:val="{"/>
                      <m:sepChr m:val=","/>
                      <m:endChr m:val="}"/>
                      <m:ctrlPr>
                        <w:rPr>
                          <w:rFonts w:ascii="Cambria Math" w:hAnsi="Cambria Math"/>
                        </w:rPr>
                      </m:ctrlPr>
                    </m:dPr>
                    <m:e>
                      <m:r>
                        <w:rPr>
                          <w:rFonts w:ascii="Cambria Math" w:hAnsi="Cambria Math"/>
                        </w:rPr>
                        <m:t>h</m:t>
                      </m:r>
                    </m:e>
                    <m:e>
                      <m:sSub>
                        <m:sSubPr>
                          <m:ctrlPr>
                            <w:rPr>
                              <w:rFonts w:ascii="Cambria Math" w:hAnsi="Cambria Math"/>
                            </w:rPr>
                          </m:ctrlPr>
                        </m:sSubPr>
                        <m:e>
                          <m:r>
                            <w:rPr>
                              <w:rFonts w:ascii="Cambria Math" w:hAnsi="Cambria Math"/>
                            </w:rPr>
                            <m:t>h</m:t>
                          </m:r>
                        </m:e>
                        <m:sub>
                          <m:r>
                            <w:rPr>
                              <w:rFonts w:ascii="Cambria Math" w:hAnsi="Cambria Math"/>
                            </w:rPr>
                            <m:t>sat</m:t>
                          </m:r>
                        </m:sub>
                      </m:sSub>
                    </m:e>
                  </m:d>
                </m:e>
              </m:rad>
            </m:e>
          </m:d>
        </m:oMath>
      </m:oMathPara>
    </w:p>
    <w:p w14:paraId="4A3080A8" w14:textId="77777777" w:rsidR="000854B7" w:rsidRDefault="008242CC">
      <w:r>
        <w:t>Il coefficiente b è pari a 0,085, il limite minimo è pari a 0,02 e la saturazione è fissata a 504 passi. Nelle modalità senza limite e di sola winsorizzazione non viene applicato il limite rigido dipendente dall’orizzonte.</w:t>
      </w:r>
    </w:p>
    <w:p w14:paraId="41C48EAA" w14:textId="77777777" w:rsidR="000854B7" w:rsidRDefault="008242CC">
      <w:pPr>
        <w:pStyle w:val="BodyText"/>
      </w:pPr>
      <m:oMathPara>
        <m:oMathParaPr>
          <m:jc m:val="center"/>
        </m:oMathParaPr>
        <m:oMath>
          <m:r>
            <w:rPr>
              <w:rFonts w:ascii="Cambria Math" w:hAnsi="Cambria Math"/>
            </w:rPr>
            <m:t>cap</m:t>
          </m:r>
          <m:d>
            <m:dPr>
              <m:ctrlPr>
                <w:rPr>
                  <w:rFonts w:ascii="Cambria Math" w:hAnsi="Cambria Math"/>
                </w:rPr>
              </m:ctrlPr>
            </m:dPr>
            <m:e>
              <m:r>
                <w:rPr>
                  <w:rFonts w:ascii="Cambria Math" w:hAnsi="Cambria Math"/>
                </w:rPr>
                <m:t>H</m:t>
              </m:r>
            </m:e>
          </m:d>
          <m:r>
            <m:rPr>
              <m:sty m:val="p"/>
            </m:rPr>
            <w:rPr>
              <w:rFonts w:ascii="Cambria Math" w:hAnsi="Cambria Math"/>
            </w:rPr>
            <m:t>=max</m:t>
          </m:r>
          <m:d>
            <m:dPr>
              <m:ctrlPr>
                <w:rPr>
                  <w:rFonts w:ascii="Cambria Math" w:hAnsi="Cambria Math"/>
                </w:rPr>
              </m:ctrlPr>
            </m:dPr>
            <m:e>
              <m:r>
                <w:rPr>
                  <w:rFonts w:ascii="Cambria Math" w:hAnsi="Cambria Math"/>
                </w:rPr>
                <m:t>0.02</m:t>
              </m:r>
              <m:r>
                <m:rPr>
                  <m:sty m:val="p"/>
                </m:rPr>
                <w:rPr>
                  <w:rFonts w:ascii="Cambria Math" w:hAnsi="Cambria Math"/>
                </w:rPr>
                <m:t>,</m:t>
              </m:r>
              <m:r>
                <w:rPr>
                  <w:rFonts w:ascii="Cambria Math" w:hAnsi="Cambria Math"/>
                </w:rPr>
                <m:t>0.085</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min</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504</m:t>
                      </m:r>
                    </m:e>
                  </m:d>
                </m:e>
              </m:rad>
            </m:e>
          </m:d>
        </m:oMath>
      </m:oMathPara>
    </w:p>
    <w:p w14:paraId="2CA1DD3C" w14:textId="77777777" w:rsidR="000854B7" w:rsidRPr="00BE3538" w:rsidRDefault="008242CC">
      <w:pPr>
        <w:pStyle w:val="Heading2"/>
        <w:rPr>
          <w:lang w:val="it-IT"/>
        </w:rPr>
      </w:pPr>
      <w:bookmarkStart w:id="138" w:name="conversione-in-spazio-prezzo"/>
      <w:bookmarkStart w:id="139" w:name="_Toc236387280"/>
      <w:bookmarkEnd w:id="136"/>
      <w:r>
        <w:rPr>
          <w:lang w:val="it-IT"/>
        </w:rPr>
        <w:t>14.12 Conversione in spazio prezzo</w:t>
      </w:r>
      <w:bookmarkEnd w:id="139"/>
    </w:p>
    <w:p w14:paraId="58B11997" w14:textId="77777777" w:rsidR="000854B7" w:rsidRPr="00BE3538" w:rsidRDefault="008242CC">
      <w:pPr>
        <w:pStyle w:val="FirstParagraph"/>
        <w:rPr>
          <w:lang w:val="it-IT"/>
        </w:rPr>
      </w:pPr>
      <w:r>
        <w:rPr>
          <w:lang w:val="it-IT"/>
        </w:rPr>
        <w:t>Per intervallo asimmetrico:</w:t>
      </w:r>
    </w:p>
    <w:p w14:paraId="1D2FAB0C" w14:textId="77777777" w:rsidR="000854B7" w:rsidRDefault="008242CC">
      <w:pPr>
        <w:pStyle w:val="BodyText"/>
      </w:pPr>
      <m:oMathPara>
        <m:oMathParaPr>
          <m:jc m:val="center"/>
        </m:oMathParaPr>
        <m:oMath>
          <m:r>
            <w:rPr>
              <w:rFonts w:ascii="Cambria Math" w:hAnsi="Cambria Math"/>
            </w:rPr>
            <w:lastRenderedPageBreak/>
            <m:t>L</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ens</m:t>
              </m:r>
            </m:sup>
          </m:sSup>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q</m:t>
                  </m:r>
                </m:e>
                <m:sub>
                  <m:r>
                    <w:rPr>
                      <w:rFonts w:ascii="Cambria Math" w:hAnsi="Cambria Math"/>
                    </w:rPr>
                    <m:t>lo</m:t>
                  </m:r>
                </m:sub>
                <m:sup>
                  <m:r>
                    <w:rPr>
                      <w:rFonts w:ascii="Cambria Math" w:hAnsi="Cambria Math"/>
                    </w:rPr>
                    <m:t>clamp</m:t>
                  </m:r>
                </m:sup>
              </m:sSubSup>
            </m:sup>
          </m:sSup>
          <m:r>
            <m:rPr>
              <m:sty m:val="p"/>
            </m:rPr>
            <w:rPr>
              <w:rFonts w:ascii="Cambria Math" w:hAnsi="Cambria Math"/>
            </w:rPr>
            <m:t>,</m:t>
          </m:r>
          <m:r>
            <w:rPr>
              <w:rFonts w:ascii="Cambria Math" w:hAnsi="Cambria Math"/>
            </w:rPr>
            <m:t>  U</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ens</m:t>
              </m:r>
            </m:sup>
          </m:sSup>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q</m:t>
                  </m:r>
                </m:e>
                <m:sub>
                  <m:r>
                    <w:rPr>
                      <w:rFonts w:ascii="Cambria Math" w:hAnsi="Cambria Math"/>
                    </w:rPr>
                    <m:t>hi</m:t>
                  </m:r>
                </m:sub>
                <m:sup>
                  <m:r>
                    <w:rPr>
                      <w:rFonts w:ascii="Cambria Math" w:hAnsi="Cambria Math"/>
                    </w:rPr>
                    <m:t>clamp</m:t>
                  </m:r>
                </m:sup>
              </m:sSubSup>
            </m:sup>
          </m:sSup>
        </m:oMath>
      </m:oMathPara>
    </w:p>
    <w:p w14:paraId="48C1A222" w14:textId="77777777" w:rsidR="000854B7" w:rsidRDefault="008242CC">
      <w:pPr>
        <w:pStyle w:val="FirstParagraph"/>
      </w:pPr>
      <w:r>
        <w:t>Per intervallo simmetrico:</w:t>
      </w:r>
    </w:p>
    <w:p w14:paraId="4775C3B9" w14:textId="77777777" w:rsidR="000854B7" w:rsidRDefault="008242CC">
      <w:pPr>
        <w:pStyle w:val="BodyText"/>
      </w:pPr>
      <m:oMathPara>
        <m:oMathParaPr>
          <m:jc m:val="center"/>
        </m:oMathParaPr>
        <m:oMath>
          <m:r>
            <w:rPr>
              <w:rFonts w:ascii="Cambria Math" w:hAnsi="Cambria Math"/>
            </w:rPr>
            <m:t>L</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ens</m:t>
              </m:r>
            </m:sup>
          </m:sSup>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clamp</m:t>
                  </m:r>
                </m:sup>
              </m:sSup>
            </m:sup>
          </m:sSup>
          <m:r>
            <m:rPr>
              <m:sty m:val="p"/>
            </m:rPr>
            <w:rPr>
              <w:rFonts w:ascii="Cambria Math" w:hAnsi="Cambria Math"/>
            </w:rPr>
            <m:t>,</m:t>
          </m:r>
          <m:r>
            <w:rPr>
              <w:rFonts w:ascii="Cambria Math" w:hAnsi="Cambria Math"/>
            </w:rPr>
            <m:t>  U</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ens</m:t>
              </m:r>
            </m:sup>
          </m:sSup>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w:rPr>
                      <w:rFonts w:ascii="Cambria Math" w:hAnsi="Cambria Math"/>
                    </w:rPr>
                    <m:t>clamp</m:t>
                  </m:r>
                </m:sup>
              </m:sSup>
            </m:sup>
          </m:sSup>
        </m:oMath>
      </m:oMathPara>
    </w:p>
    <w:p w14:paraId="0BE27417" w14:textId="77777777" w:rsidR="000854B7" w:rsidRPr="00BE3538" w:rsidRDefault="008242CC">
      <w:pPr>
        <w:pStyle w:val="Heading2"/>
        <w:rPr>
          <w:lang w:val="it-IT"/>
        </w:rPr>
      </w:pPr>
      <w:bookmarkStart w:id="140" w:name="recentering"/>
      <w:bookmarkStart w:id="141" w:name="_Toc236387281"/>
      <w:bookmarkEnd w:id="138"/>
      <w:r>
        <w:rPr>
          <w:lang w:val="it-IT"/>
        </w:rPr>
        <w:t>14.13 Recentering</w:t>
      </w:r>
      <w:bookmarkEnd w:id="141"/>
    </w:p>
    <w:p w14:paraId="098C4EB5" w14:textId="77777777" w:rsidR="000854B7" w:rsidRPr="00BE3538" w:rsidRDefault="008242CC">
      <w:pPr>
        <w:pStyle w:val="FirstParagraph"/>
        <w:rPr>
          <w:lang w:val="it-IT"/>
        </w:rPr>
      </w:pPr>
      <w:r>
        <w:rPr>
          <w:lang w:val="it-IT"/>
        </w:rPr>
        <w:t>A partire dalla versione v3.4, il recentering è applicato esclusivamente agli intervalli simmetrici. Per gli intervalli asimmetrici (configurazione di default) il recentering è disattivato, perché traslare un intervallo calibrato con quantili di coda asimmetrici ne altera l’allocazione di massa fra le code e può compromettere la copertura sulla coda dominante. Per gli intervalli simmetrici il comportamento resta invariato: se in log-space la posizione del forecast dentro il range è minore del 15% da uno dei bordi, l’intervallo viene traslato preservando la larghezza logaritmica, in modo che il forecast non resti eccessivamente appoggiato al limite inferiore o superiore.</w:t>
      </w:r>
    </w:p>
    <w:p w14:paraId="66B419A4" w14:textId="77777777" w:rsidR="000854B7" w:rsidRPr="00BE3538" w:rsidRDefault="008242CC">
      <w:pPr>
        <w:pStyle w:val="Heading2"/>
        <w:rPr>
          <w:lang w:val="it-IT"/>
        </w:rPr>
      </w:pPr>
      <w:bookmarkStart w:id="142" w:name="scoring-e-selezione-metodo"/>
      <w:bookmarkStart w:id="143" w:name="_Toc236387282"/>
      <w:bookmarkEnd w:id="140"/>
      <w:r>
        <w:rPr>
          <w:lang w:val="it-IT"/>
        </w:rPr>
        <w:t>14.14 Scoring e selezione metodo</w:t>
      </w:r>
      <w:bookmarkEnd w:id="143"/>
    </w:p>
    <w:p w14:paraId="2648A902" w14:textId="77777777" w:rsidR="000854B7" w:rsidRPr="00BE3538" w:rsidRDefault="008242CC">
      <w:pPr>
        <w:pStyle w:val="FirstParagraph"/>
        <w:rPr>
          <w:lang w:val="it-IT"/>
        </w:rPr>
      </w:pPr>
      <w:r>
        <w:rPr>
          <w:lang w:val="it-IT"/>
        </w:rPr>
        <w:t>Ogni candidato viene valutato su:</w:t>
      </w:r>
    </w:p>
    <w:p w14:paraId="4C8871F1" w14:textId="77777777" w:rsidR="000854B7" w:rsidRDefault="008242CC" w:rsidP="008242CC">
      <w:pPr>
        <w:numPr>
          <w:ilvl w:val="0"/>
          <w:numId w:val="19"/>
        </w:numPr>
      </w:pPr>
      <w:r>
        <w:t>coverage empirica;</w:t>
      </w:r>
    </w:p>
    <w:p w14:paraId="2987F794" w14:textId="77777777" w:rsidR="000854B7" w:rsidRDefault="008242CC" w:rsidP="008242CC">
      <w:pPr>
        <w:numPr>
          <w:ilvl w:val="0"/>
          <w:numId w:val="19"/>
        </w:numPr>
      </w:pPr>
      <w:r>
        <w:t>ampiezza media;</w:t>
      </w:r>
    </w:p>
    <w:p w14:paraId="6031B81D" w14:textId="77777777" w:rsidR="000854B7" w:rsidRDefault="008242CC" w:rsidP="008242CC">
      <w:pPr>
        <w:numPr>
          <w:ilvl w:val="0"/>
          <w:numId w:val="19"/>
        </w:numPr>
      </w:pPr>
      <w:r>
        <w:t>interval score:</w:t>
      </w:r>
    </w:p>
    <w:p w14:paraId="6E711815" w14:textId="77777777" w:rsidR="000854B7" w:rsidRDefault="008242CC">
      <w:pPr>
        <w:pStyle w:val="FirstParagraph"/>
      </w:pPr>
      <m:oMathPara>
        <m:oMathParaPr>
          <m:jc m:val="center"/>
        </m:oMathParaPr>
        <m:oMath>
          <m:r>
            <w:rPr>
              <w:rFonts w:ascii="Cambria Math" w:hAnsi="Cambria Math"/>
            </w:rPr>
            <m:t>IS</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α</m:t>
              </m:r>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L</m:t>
              </m:r>
            </m:e>
          </m:d>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α</m:t>
              </m:r>
            </m:den>
          </m:f>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b"/>
                </m:rPr>
                <w:rPr>
                  <w:rFonts w:ascii="Cambria Math" w:hAnsi="Cambria Math"/>
                </w:rPr>
                <m:t>1</m:t>
              </m:r>
            </m:e>
            <m:sub>
              <m:r>
                <w:rPr>
                  <w:rFonts w:ascii="Cambria Math" w:hAnsi="Cambria Math"/>
                </w:rPr>
                <m:t>y</m:t>
              </m:r>
              <m:r>
                <m:rPr>
                  <m:sty m:val="p"/>
                </m:rPr>
                <w:rPr>
                  <w:rFonts w:ascii="Cambria Math" w:hAnsi="Cambria Math"/>
                </w:rPr>
                <m:t>&lt;</m:t>
              </m:r>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α</m:t>
              </m:r>
            </m:den>
          </m:f>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U</m:t>
              </m:r>
            </m:e>
          </m:d>
          <m:sSub>
            <m:sSubPr>
              <m:ctrlPr>
                <w:rPr>
                  <w:rFonts w:ascii="Cambria Math" w:hAnsi="Cambria Math"/>
                </w:rPr>
              </m:ctrlPr>
            </m:sSubPr>
            <m:e>
              <m:r>
                <m:rPr>
                  <m:sty m:val="b"/>
                </m:rPr>
                <w:rPr>
                  <w:rFonts w:ascii="Cambria Math" w:hAnsi="Cambria Math"/>
                </w:rPr>
                <m:t>1</m:t>
              </m:r>
            </m:e>
            <m:sub>
              <m:r>
                <w:rPr>
                  <w:rFonts w:ascii="Cambria Math" w:hAnsi="Cambria Math"/>
                </w:rPr>
                <m:t>y</m:t>
              </m:r>
              <m:r>
                <m:rPr>
                  <m:sty m:val="p"/>
                </m:rPr>
                <w:rPr>
                  <w:rFonts w:ascii="Cambria Math" w:hAnsi="Cambria Math"/>
                </w:rPr>
                <m:t>&gt;</m:t>
              </m:r>
              <m:r>
                <w:rPr>
                  <w:rFonts w:ascii="Cambria Math" w:hAnsi="Cambria Math"/>
                </w:rPr>
                <m:t>U</m:t>
              </m:r>
            </m:sub>
          </m:sSub>
        </m:oMath>
      </m:oMathPara>
    </w:p>
    <w:p w14:paraId="03B5DEE2" w14:textId="77777777" w:rsidR="000854B7" w:rsidRPr="00BE3538" w:rsidRDefault="008242CC">
      <w:pPr>
        <w:pStyle w:val="FirstParagraph"/>
        <w:rPr>
          <w:lang w:val="it-IT"/>
        </w:rPr>
      </w:pPr>
      <w:r>
        <w:rPr>
          <w:lang w:val="it-IT"/>
        </w:rPr>
        <w:t>La chiave di ranking è:</w:t>
      </w:r>
    </w:p>
    <w:p w14:paraId="73344450" w14:textId="77777777" w:rsidR="000854B7" w:rsidRDefault="00C0462E">
      <w:pPr>
        <w:pStyle w:val="BodyText"/>
      </w:pPr>
      <m:oMathPara>
        <m:oMathParaPr>
          <m:jc m:val="center"/>
        </m:oMathParaPr>
        <m:oMath>
          <m:d>
            <m:dPr>
              <m:ctrlPr>
                <w:rPr>
                  <w:rFonts w:ascii="Cambria Math" w:hAnsi="Cambria Math"/>
                </w:rPr>
              </m:ctrlPr>
            </m:dPr>
            <m:e>
              <m:r>
                <w:rPr>
                  <w:rFonts w:ascii="Cambria Math" w:hAnsi="Cambria Math"/>
                </w:rPr>
                <m:t>gap</m:t>
              </m:r>
              <m:r>
                <m:rPr>
                  <m:sty m:val="p"/>
                </m:rPr>
                <w:rPr>
                  <w:rFonts w:ascii="Cambria Math" w:hAnsi="Cambria Math"/>
                </w:rPr>
                <m:t>+</m:t>
              </m:r>
              <m:r>
                <w:rPr>
                  <w:rFonts w:ascii="Cambria Math" w:hAnsi="Cambria Math"/>
                </w:rPr>
                <m:t>penalt</m:t>
              </m:r>
              <m:sSub>
                <m:sSubPr>
                  <m:ctrlPr>
                    <w:rPr>
                      <w:rFonts w:ascii="Cambria Math" w:hAnsi="Cambria Math"/>
                    </w:rPr>
                  </m:ctrlPr>
                </m:sSubPr>
                <m:e>
                  <m:r>
                    <w:rPr>
                      <w:rFonts w:ascii="Cambria Math" w:hAnsi="Cambria Math"/>
                    </w:rPr>
                    <m:t>y</m:t>
                  </m:r>
                </m:e>
                <m:sub>
                  <m:r>
                    <w:rPr>
                      <w:rFonts w:ascii="Cambria Math" w:hAnsi="Cambria Math"/>
                    </w:rPr>
                    <m:t>lowN</m:t>
                  </m:r>
                </m:sub>
              </m:sSub>
              <m:r>
                <m:rPr>
                  <m:sty m:val="p"/>
                </m:rPr>
                <w:rPr>
                  <w:rFonts w:ascii="Cambria Math" w:hAnsi="Cambria Math"/>
                </w:rPr>
                <m:t>,</m:t>
              </m:r>
              <m:r>
                <w:rPr>
                  <w:rFonts w:ascii="Cambria Math" w:hAnsi="Cambria Math"/>
                </w:rPr>
                <m:t> interva</m:t>
              </m:r>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core</m:t>
              </m:r>
              <m:r>
                <m:rPr>
                  <m:sty m:val="p"/>
                </m:rPr>
                <w:rPr>
                  <w:rFonts w:ascii="Cambria Math" w:hAnsi="Cambria Math"/>
                </w:rPr>
                <m:t>,</m:t>
              </m:r>
              <m:r>
                <w:rPr>
                  <w:rFonts w:ascii="Cambria Math" w:hAnsi="Cambria Math"/>
                </w:rPr>
                <m:t> av</m:t>
              </m:r>
              <m:sSub>
                <m:sSubPr>
                  <m:ctrlPr>
                    <w:rPr>
                      <w:rFonts w:ascii="Cambria Math" w:hAnsi="Cambria Math"/>
                    </w:rPr>
                  </m:ctrlPr>
                </m:sSubPr>
                <m:e>
                  <m:r>
                    <w:rPr>
                      <w:rFonts w:ascii="Cambria Math" w:hAnsi="Cambria Math"/>
                    </w:rPr>
                    <m:t>g</m:t>
                  </m:r>
                </m:e>
                <m:sub>
                  <m:r>
                    <w:rPr>
                      <w:rFonts w:ascii="Cambria Math" w:hAnsi="Cambria Math"/>
                    </w:rPr>
                    <m:t>w</m:t>
                  </m:r>
                </m:sub>
              </m:sSub>
              <m:r>
                <w:rPr>
                  <w:rFonts w:ascii="Cambria Math" w:hAnsi="Cambria Math"/>
                </w:rPr>
                <m:t>idth</m:t>
              </m:r>
            </m:e>
          </m:d>
        </m:oMath>
      </m:oMathPara>
    </w:p>
    <w:p w14:paraId="372DA474" w14:textId="77777777" w:rsidR="000854B7" w:rsidRDefault="008242CC">
      <w:pPr>
        <w:pStyle w:val="FirstParagraph"/>
      </w:pPr>
      <w:r>
        <w:t>con:</w:t>
      </w:r>
    </w:p>
    <w:p w14:paraId="6D0AC57D" w14:textId="77777777" w:rsidR="000854B7" w:rsidRDefault="008242CC">
      <w:pPr>
        <w:pStyle w:val="BodyText"/>
      </w:pPr>
      <m:oMathPara>
        <m:oMathParaPr>
          <m:jc m:val="center"/>
        </m:oMathParaPr>
        <m:oMath>
          <m:r>
            <w:rPr>
              <w:rFonts w:ascii="Cambria Math" w:hAnsi="Cambria Math"/>
            </w:rPr>
            <m:t>gap</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coverage</m:t>
              </m:r>
            </m:e>
          </m:d>
        </m:oMath>
      </m:oMathPara>
    </w:p>
    <w:p w14:paraId="514733F6" w14:textId="77777777" w:rsidR="000854B7" w:rsidRPr="00BE3538" w:rsidRDefault="008242CC">
      <w:pPr>
        <w:pStyle w:val="FirstParagraph"/>
        <w:rPr>
          <w:lang w:val="it-IT"/>
        </w:rPr>
      </w:pPr>
      <w:r>
        <w:rPr>
          <w:lang w:val="it-IT"/>
        </w:rPr>
        <w:t xml:space="preserve">La penalità low-sample è molto forte per </w:t>
      </w:r>
      <m:oMath>
        <m:r>
          <w:rPr>
            <w:rFonts w:ascii="Cambria Math" w:hAnsi="Cambria Math"/>
          </w:rPr>
          <m:t>n</m:t>
        </m:r>
        <m:r>
          <m:rPr>
            <m:sty m:val="p"/>
          </m:rPr>
          <w:rPr>
            <w:rFonts w:ascii="Cambria Math" w:hAnsi="Cambria Math"/>
            <w:lang w:val="it-IT"/>
          </w:rPr>
          <m:t>&lt;</m:t>
        </m:r>
        <m:r>
          <w:rPr>
            <w:rFonts w:ascii="Cambria Math" w:hAnsi="Cambria Math"/>
            <w:lang w:val="it-IT"/>
          </w:rPr>
          <m:t>10</m:t>
        </m:r>
      </m:oMath>
      <w:r>
        <w:rPr>
          <w:lang w:val="it-IT"/>
        </w:rPr>
        <w:t>.</w:t>
      </w:r>
    </w:p>
    <w:p w14:paraId="33A13F68" w14:textId="77777777" w:rsidR="000854B7" w:rsidRDefault="008242CC">
      <w:pPr>
        <w:pStyle w:val="Heading2"/>
      </w:pPr>
      <w:bookmarkStart w:id="144" w:name="_Toc236387283"/>
      <w:r>
        <w:t>14.15 Coverage-gap confidence downgrade (v3.4)</w:t>
      </w:r>
      <w:bookmarkEnd w:id="144"/>
    </w:p>
    <w:p w14:paraId="4C0A46DB" w14:textId="77777777" w:rsidR="000854B7" w:rsidRDefault="008242CC">
      <w:pPr>
        <w:pStyle w:val="FirstParagraph"/>
      </w:pPr>
      <w:r>
        <w:t>Quando la copertura empirica in-sample raggiunta dal metodo selezionato è inferiore al target nominale di oltre 5 punti percentuali (soglia configurabile, default 0,05) e il campione di valutazione è sufficientemente ampio, il livello di confidenza mostrato viene ridotto al valore di copertura effettivamente raggiunto in-sample. Questo impedisce che il sistema dichiari una confidenza nominale quando il motore sa internamente di non raggiungerla. La diagnostica segnala l’avvenuto declassamento della confidenza e la soglia applicata. Inoltre, quando il campione di valutazione è piccolo, la lower bound di Wilson usata per il declassamento è calcolata sulla numerosità effettiva corretta per sovrapposizione (sezione 16.9, con passo degli anchor e orizzonte espressi in step giornalieri), non sulla n nominale delle finestre sovrapposte; le diagnostiche riportano entrambe le numerosità.</w:t>
      </w:r>
    </w:p>
    <w:p w14:paraId="414D23BD" w14:textId="77777777" w:rsidR="000854B7" w:rsidRDefault="008242CC">
      <w:pPr>
        <w:pStyle w:val="Heading2"/>
      </w:pPr>
      <w:bookmarkStart w:id="145" w:name="_Toc236387284"/>
      <w:r>
        <w:lastRenderedPageBreak/>
        <w:t>14.16 Calibrazione esterna empirica (moltiplicatore outer, v3.8)</w:t>
      </w:r>
      <w:bookmarkEnd w:id="145"/>
    </w:p>
    <w:p w14:paraId="4760DDE1" w14:textId="77777777" w:rsidR="000854B7" w:rsidRDefault="008242CC">
      <w:pPr>
        <w:pStyle w:val="FirstParagraph"/>
      </w:pPr>
      <w:r>
        <w:t>Sopra alla costruzione descritta nelle sezioni precedenti agisce un livello opzionale di calibrazione esterna: un moltiplicatore per-livello di confidenza applicato ai quantili di coda in log-spazio già calibrati (dopo envelope empirico/parametrico e prima del clamp horizon-aware, prima della conversione in spazio prezzo). Serve a correggere un eventuale scostamento residuo, misurato empiricamente, fra copertura nominale e copertura effettiva su un ampio campione di ticker. Resta una correzione empirica, non una garanzia formale di copertura split-conformal (vedi 14.3).</w:t>
      </w:r>
    </w:p>
    <w:p w14:paraId="6A2CE0DE" w14:textId="77777777" w:rsidR="00035F7E" w:rsidRDefault="008242CC">
      <w:pPr>
        <w:pStyle w:val="FirstParagraph"/>
      </w:pPr>
      <w:r>
        <w:rPr>
          <w:lang w:val="it-IT"/>
        </w:rPr>
        <w:t>Nella configurazione corrente, la calibrazione empirica esterna dell’intervallo di predizione è disabilitata per impostazione predefinita e viene applicata soltanto quando viene attivata esplicitamente.</w:t>
      </w:r>
    </w:p>
    <w:p w14:paraId="56BBA693" w14:textId="77777777" w:rsidR="000854B7" w:rsidRDefault="008242CC">
      <w:pPr>
        <w:pStyle w:val="FirstParagraph"/>
      </w:pPr>
      <w:r>
        <w:rPr>
          <w:b/>
        </w:rPr>
        <w:t>La mappa di default dei moltiplicatori è neutra (50:1.0, 80:1.0, 90:1.0, 95:1.0): il comportamento di produzione corrente non è alterato da questo livello finché un operatore non lo abilita e configura esplicitamente i valori.</w:t>
      </w:r>
    </w:p>
    <w:p w14:paraId="77F22DE4" w14:textId="77777777" w:rsidR="000854B7" w:rsidRDefault="008242CC">
      <w:pPr>
        <w:pStyle w:val="FirstParagraph"/>
      </w:pPr>
      <w:r>
        <w:rPr>
          <w:b/>
        </w:rPr>
        <w:t xml:space="preserve">Politica di direzione — solo allargamento per default. </w:t>
      </w:r>
      <w:r>
        <w:t>Ogni livello ha per default un pavimento di 1.0: il moltiplicatore può allargare l’intervallo (correggere sotto-copertura) ma non restringerlo. Questo garantisce che il livello non possa mai introdurre sotto-copertura ai livelli di disclosure istituzionale (80/90/95). I valori sono comunque limitati a un tetto massimo configurabile (default 3,0).</w:t>
      </w:r>
    </w:p>
    <w:p w14:paraId="20D77186" w14:textId="77777777" w:rsidR="000854B7" w:rsidRDefault="008242CC">
      <w:pPr>
        <w:pStyle w:val="FirstParagraph"/>
      </w:pPr>
      <w:r>
        <w:rPr>
          <w:b/>
        </w:rPr>
        <w:t xml:space="preserve">Restringimento controllato (gated narrowing). </w:t>
      </w:r>
      <w:r>
        <w:t>Un livello può scendere sotto 1.0 (restringere) solo se sono soddisfatte tre condizioni simultanee: (1) la calibrazione esterna è abilitata; (2) il livello è incluso nell’elenco dei livelli per cui è esplicitamente ammesso il restringimento; (3) il moltiplicatore minimo configurato è inferiore a 1. Anche allora il restringimento è limitato da un pavimento rigido non configurabile via ambiente, un pavimento rigido pari a 0,5: nessuna banda può essere ridotta sotto la metà della sua larghezza grezza. Un moltiplicatore inferiore a 0.5 indicherebbe che l’intervallo grezzo è più del doppio del necessario — un errore di tale entità va investigato come bug del motore, non applicato silenziosamente come offset. I livelli non inclusi nella lista (tipicamente 80/90/95) mantengono il pavimento solo-allargamento di 1.0.</w:t>
      </w:r>
    </w:p>
    <w:p w14:paraId="042AF887" w14:textId="77777777" w:rsidR="000854B7" w:rsidRDefault="008242CC">
      <w:pPr>
        <w:pStyle w:val="FirstParagraph"/>
      </w:pPr>
      <w:r>
        <w:rPr>
          <w:b/>
        </w:rPr>
        <w:t xml:space="preserve">Guardia di annidamento (fail-closed). </w:t>
      </w:r>
      <w:r>
        <w:t>Gli intervalli emessi devono restare annidati fra i livelli di confidenza: larghezza(50) ≤ larghezza(80) ≤ larghezza(90) ≤ larghezza(95). All’avvio la mappa effettiva dei moltiplicatori (dopo il clamp ai limiti per-livello) viene validata come non decrescente rispetto al livello di confidenza. Una mappa che invertirebbe questo ordine (per esempio 50:1.4, 80:1.1, che produrrebbe una banda “50%” più larga della “80%”) viene rifiutata interamente: tutti i moltiplicatori tornano a 1.0 e viene registrata una segnalazione tecnica interna, anziché emettere intervalli non annidati e incoerenti verso il cliente.</w:t>
      </w:r>
    </w:p>
    <w:p w14:paraId="7F8CF428" w14:textId="77777777" w:rsidR="000854B7" w:rsidRDefault="008242CC">
      <w:pPr>
        <w:pStyle w:val="FirstParagraph"/>
      </w:pPr>
      <w:r>
        <w:rPr>
          <w:b/>
        </w:rPr>
        <w:t xml:space="preserve">Diagnostica. </w:t>
      </w:r>
      <w:r>
        <w:t>Quando il moltiplicatore differisce da 1.0 in una qualsiasi direzione (allargamento o restringimento) la diagnostica segnala che la calibrazione esterna è stata applicata e l’intervallo viene etichettato come model-assisted. Un livello che restringe rende quindi l’intervallo esplicitamente non distribution-free, coerentemente con la dichiarazione già usata per la stima parametrica di coda.</w:t>
      </w:r>
    </w:p>
    <w:p w14:paraId="5D7FADAC" w14:textId="77777777" w:rsidR="000854B7" w:rsidRDefault="00C0462E">
      <w:r>
        <w:pict w14:anchorId="6F568C25">
          <v:rect id="_x0000_i1041" style="width:0;height:1.5pt" o:hralign="center" o:hrstd="t" o:hr="t"/>
        </w:pict>
      </w:r>
    </w:p>
    <w:p w14:paraId="0636852A" w14:textId="77777777" w:rsidR="00035F7E" w:rsidRDefault="008242CC">
      <w:r>
        <w:lastRenderedPageBreak/>
        <w:t>Filtro di consenso esclusivo per PI</w:t>
      </w:r>
    </w:p>
    <w:p w14:paraId="749F6263" w14:textId="77777777" w:rsidR="00035F7E" w:rsidRDefault="008242CC">
      <w:r>
        <w:t>Questo filtro modifica esclusivamente il set di modelli usato per costruire la storia di calibrazione dell'intervallo di predizione. Non modifica la previsione puntuale finale ed è separato dal filtro outlier principale del pannello di forecast.</w:t>
      </w:r>
    </w:p>
    <w:p w14:paraId="218E70C5" w14:textId="77777777" w:rsidR="00035F7E" w:rsidRDefault="008242CC">
      <w:r>
        <w:t>Requisiti di idoneità: almeno quattro modelli idonei; previsione finita e positiva; peso finale positivo. Il consenso pesato è calcolato come mediana pesata delle previsioni dei modelli.</w:t>
      </w:r>
    </w:p>
    <w:p w14:paraId="7088F255" w14:textId="77777777" w:rsidR="00035F7E" w:rsidRDefault="008242CC">
      <w:r>
        <w:t>Un modello è escluso dalla calibrazione PI solo quando entrambe le condizioni sono soddisfatte simultaneamente: (1) wᵢ ≤ 0,07 e (2) |ln(P̂ᵢ / P̂</w:t>
      </w:r>
      <w:r>
        <w:rPr>
          <w:vertAlign w:val="subscript"/>
        </w:rPr>
        <w:t>consenso</w:t>
      </w:r>
      <w:r>
        <w:t>)| ≥ 0,30.</w:t>
      </w:r>
    </w:p>
    <w:p w14:paraId="50C58CA1" w14:textId="77777777" w:rsidR="00035F7E" w:rsidRDefault="008242CC">
      <w:r>
        <w:t>L'obiettivo è impedire che un modello a basso peso e fortemente fuori consenso allarghi in modo sproporzionato la calibrazione PI, lasciando l'ensemble puntuale finale invariato.</w:t>
      </w:r>
    </w:p>
    <w:p w14:paraId="45B0F01A" w14:textId="77777777" w:rsidR="00035F7E" w:rsidRDefault="008242CC">
      <w:pPr>
        <w:pStyle w:val="Heading2"/>
      </w:pPr>
      <w:bookmarkStart w:id="146" w:name="_Toc236387285"/>
      <w:r>
        <w:t>14.17 Controllo utente della storia di validazione walk-forward</w:t>
      </w:r>
      <w:bookmarkEnd w:id="146"/>
    </w:p>
    <w:p w14:paraId="2FF7F9B3" w14:textId="77777777" w:rsidR="00035F7E" w:rsidRDefault="008242CC">
      <w:r>
        <w:t>La richiesta di previsione consente all’utente di attivare o disattivare il calcolo della storia di validazione walk-forward. L’impostazione predefinita prevede che tale storia venga calcolata.</w:t>
      </w:r>
    </w:p>
    <w:p w14:paraId="57332337" w14:textId="77777777" w:rsidR="00035F7E" w:rsidRDefault="008242CC">
      <w:r>
        <w:t>Quando il calcolo è attivo, il sistema rende disponibili, quando statisticamente stimabili:</w:t>
      </w:r>
    </w:p>
    <w:p w14:paraId="5FDAD0FE" w14:textId="77777777" w:rsidR="00035F7E" w:rsidRDefault="008242CC">
      <w:pPr>
        <w:numPr>
          <w:ilvl w:val="0"/>
          <w:numId w:val="1"/>
        </w:numPr>
      </w:pPr>
      <w:r>
        <w:t>• metriche di accuratezza;</w:t>
      </w:r>
    </w:p>
    <w:p w14:paraId="68907C35" w14:textId="77777777" w:rsidR="00035F7E" w:rsidRDefault="008242CC">
      <w:pPr>
        <w:numPr>
          <w:ilvl w:val="0"/>
          <w:numId w:val="1"/>
        </w:numPr>
      </w:pPr>
      <w:r>
        <w:t>• confronto con il benchmark Naive;</w:t>
      </w:r>
    </w:p>
    <w:p w14:paraId="09F9F897" w14:textId="77777777" w:rsidR="00035F7E" w:rsidRDefault="008242CC">
      <w:pPr>
        <w:numPr>
          <w:ilvl w:val="0"/>
          <w:numId w:val="1"/>
        </w:numPr>
      </w:pPr>
      <w:r>
        <w:t>• diagnostiche di bias;</w:t>
      </w:r>
    </w:p>
    <w:p w14:paraId="55C26B95" w14:textId="77777777" w:rsidR="00035F7E" w:rsidRDefault="008242CC">
      <w:pPr>
        <w:numPr>
          <w:ilvl w:val="0"/>
          <w:numId w:val="1"/>
        </w:numPr>
      </w:pPr>
      <w:r>
        <w:t>• calibrazione degli intervalli di predizione;</w:t>
      </w:r>
    </w:p>
    <w:p w14:paraId="1EA60BD9" w14:textId="77777777" w:rsidR="00035F7E" w:rsidRDefault="008242CC">
      <w:pPr>
        <w:numPr>
          <w:ilvl w:val="0"/>
          <w:numId w:val="1"/>
        </w:numPr>
      </w:pPr>
      <w:r>
        <w:t>• probabilità sul prezzo target;</w:t>
      </w:r>
    </w:p>
    <w:p w14:paraId="632139B4" w14:textId="77777777" w:rsidR="00035F7E" w:rsidRDefault="008242CC">
      <w:pPr>
        <w:numPr>
          <w:ilvl w:val="0"/>
          <w:numId w:val="1"/>
        </w:numPr>
      </w:pPr>
      <w:r>
        <w:t>• probabilità sull’intervallo indicato dall’utente;</w:t>
      </w:r>
    </w:p>
    <w:p w14:paraId="0CAF9F3C" w14:textId="77777777" w:rsidR="00035F7E" w:rsidRDefault="008242CC">
      <w:pPr>
        <w:numPr>
          <w:ilvl w:val="0"/>
          <w:numId w:val="1"/>
        </w:numPr>
      </w:pPr>
      <w:r>
        <w:t>• dati necessari al modulo direzionale.</w:t>
      </w:r>
    </w:p>
    <w:p w14:paraId="487C8967" w14:textId="77777777" w:rsidR="00035F7E" w:rsidRDefault="008242CC">
      <w:r>
        <w:rPr>
          <w:b/>
        </w:rPr>
        <w:t>Disattivazione esplicita</w:t>
      </w:r>
    </w:p>
    <w:p w14:paraId="6CB00EA1" w14:textId="77777777" w:rsidR="00035F7E" w:rsidRDefault="008242CC">
      <w:r>
        <w:t>Il sistema può evitare il calcolo della storia walk-forward soltanto quando l’utente lo disattiva esplicitamente e nessun risultato richiesto dipende matematicamente da tale storia.</w:t>
      </w:r>
    </w:p>
    <w:p w14:paraId="392E2B01" w14:textId="77777777" w:rsidR="00035F7E" w:rsidRDefault="008242CC">
      <w:r>
        <w:rPr>
          <w:b/>
        </w:rPr>
        <w:t>Percorso single-asset</w:t>
      </w:r>
    </w:p>
    <w:p w14:paraId="3B348A39" w14:textId="77777777" w:rsidR="00035F7E" w:rsidRDefault="008242CC">
      <w:r>
        <w:t>Nel percorso single-asset la storia viene comunque calcolata quando è richiesto almeno uno dei seguenti elementi:</w:t>
      </w:r>
    </w:p>
    <w:p w14:paraId="69A783C6" w14:textId="77777777" w:rsidR="00035F7E" w:rsidRDefault="008242CC">
      <w:pPr>
        <w:numPr>
          <w:ilvl w:val="0"/>
          <w:numId w:val="1"/>
        </w:numPr>
      </w:pPr>
      <w:r>
        <w:t>• intervallo di predizione;</w:t>
      </w:r>
    </w:p>
    <w:p w14:paraId="5A771F51" w14:textId="77777777" w:rsidR="00035F7E" w:rsidRDefault="008242CC">
      <w:pPr>
        <w:numPr>
          <w:ilvl w:val="0"/>
          <w:numId w:val="1"/>
        </w:numPr>
      </w:pPr>
      <w:r>
        <w:t>• probabilità relativa a un prezzo target;</w:t>
      </w:r>
    </w:p>
    <w:p w14:paraId="26F93ED8" w14:textId="77777777" w:rsidR="00035F7E" w:rsidRDefault="008242CC">
      <w:pPr>
        <w:numPr>
          <w:ilvl w:val="0"/>
          <w:numId w:val="1"/>
        </w:numPr>
      </w:pPr>
      <w:r>
        <w:t>• probabilità relativa a un intervallo indicato dall’utente;</w:t>
      </w:r>
    </w:p>
    <w:p w14:paraId="42ECA4D5" w14:textId="77777777" w:rsidR="00035F7E" w:rsidRDefault="008242CC">
      <w:pPr>
        <w:numPr>
          <w:ilvl w:val="0"/>
          <w:numId w:val="1"/>
        </w:numPr>
      </w:pPr>
      <w:r>
        <w:t>• modulo direzionale;</w:t>
      </w:r>
    </w:p>
    <w:p w14:paraId="0B7C5A58" w14:textId="77777777" w:rsidR="00035F7E" w:rsidRDefault="008242CC">
      <w:pPr>
        <w:numPr>
          <w:ilvl w:val="0"/>
          <w:numId w:val="1"/>
        </w:numPr>
      </w:pPr>
      <w:r>
        <w:lastRenderedPageBreak/>
        <w:t>• documento di validazione interna;</w:t>
      </w:r>
    </w:p>
    <w:p w14:paraId="3CA2A914" w14:textId="77777777" w:rsidR="00035F7E" w:rsidRDefault="008242CC">
      <w:pPr>
        <w:numPr>
          <w:ilvl w:val="0"/>
          <w:numId w:val="1"/>
        </w:numPr>
      </w:pPr>
      <w:r>
        <w:t>• produzione del solo pacchetto interno o di entrambi i pacchetti documentali.</w:t>
      </w:r>
    </w:p>
    <w:p w14:paraId="473D2634" w14:textId="77777777" w:rsidR="00035F7E" w:rsidRDefault="008242CC">
      <w:r>
        <w:rPr>
          <w:b/>
        </w:rPr>
        <w:t>Percorso Portfolio Mode</w:t>
      </w:r>
    </w:p>
    <w:p w14:paraId="0FEF6CBD" w14:textId="77777777" w:rsidR="00035F7E" w:rsidRDefault="008242CC">
      <w:r>
        <w:t>In Portfolio Mode la scelta dell’utente viene applicata alle elaborazioni dei singoli strumenti. Per ciascuno strumento la storia viene comunque calcolata quando sono richiesti un intervallo di predizione, una probabilità sul prezzo target, una probabilità su un intervallo indicato dall’utente oppure il modulo direzionale.</w:t>
      </w:r>
    </w:p>
    <w:p w14:paraId="6F2B4BF3" w14:textId="77777777" w:rsidR="00035F7E" w:rsidRDefault="008242CC">
      <w:r>
        <w:t>La produzione del documento interno complessivo di Portfolio Mode non modifica retroattivamente le impostazioni delle elaborazioni già eseguite sui singoli strumenti.</w:t>
      </w:r>
    </w:p>
    <w:p w14:paraId="6B0D9971" w14:textId="77777777" w:rsidR="00035F7E" w:rsidRDefault="008242CC">
      <w:r>
        <w:rPr>
          <w:b/>
        </w:rPr>
        <w:t>Output quando la storia viene omessa</w:t>
      </w:r>
    </w:p>
    <w:p w14:paraId="03C4811C" w14:textId="77777777" w:rsidR="00035F7E" w:rsidRDefault="008242CC">
      <w:r>
        <w:t>Quando la storia viene disattivata e nessuna dipendenza ne impone il calcolo, il sistema non produce valori sostitutivi. Le metriche dipendenti vengono dichiarate non disponibili, con una motivazione esplicita riconducibile alla configurazione della richiesta.</w:t>
      </w:r>
    </w:p>
    <w:p w14:paraId="2499C8CB" w14:textId="77777777" w:rsidR="00035F7E" w:rsidRDefault="008242CC">
      <w:r>
        <w:rPr>
          <w:b/>
        </w:rPr>
        <w:t>Tracciabilità nel risultato</w:t>
      </w:r>
    </w:p>
    <w:p w14:paraId="3AB8E15F" w14:textId="77777777" w:rsidR="00035F7E" w:rsidRDefault="008242CC">
      <w:r>
        <w:t>Il risultato strutturato documenta:</w:t>
      </w:r>
    </w:p>
    <w:p w14:paraId="61AADA3E" w14:textId="77777777" w:rsidR="00035F7E" w:rsidRDefault="008242CC">
      <w:pPr>
        <w:numPr>
          <w:ilvl w:val="0"/>
          <w:numId w:val="1"/>
        </w:numPr>
      </w:pPr>
      <w:r>
        <w:t>• se il calcolo è stato richiesto;</w:t>
      </w:r>
    </w:p>
    <w:p w14:paraId="72836977" w14:textId="77777777" w:rsidR="00035F7E" w:rsidRDefault="008242CC">
      <w:pPr>
        <w:numPr>
          <w:ilvl w:val="0"/>
          <w:numId w:val="1"/>
        </w:numPr>
      </w:pPr>
      <w:r>
        <w:t>• se il calcolo è stato effettivamente eseguito;</w:t>
      </w:r>
    </w:p>
    <w:p w14:paraId="3671FE7B" w14:textId="77777777" w:rsidR="00035F7E" w:rsidRDefault="008242CC">
      <w:pPr>
        <w:numPr>
          <w:ilvl w:val="0"/>
          <w:numId w:val="1"/>
        </w:numPr>
      </w:pPr>
      <w:r>
        <w:t>• se è stato omesso per configurazione;</w:t>
      </w:r>
    </w:p>
    <w:p w14:paraId="4E3C7F16" w14:textId="77777777" w:rsidR="00035F7E" w:rsidRDefault="008242CC">
      <w:pPr>
        <w:numPr>
          <w:ilvl w:val="0"/>
          <w:numId w:val="1"/>
        </w:numPr>
      </w:pPr>
      <w:r>
        <w:t>• la motivazione operativa;</w:t>
      </w:r>
    </w:p>
    <w:p w14:paraId="01E456FF" w14:textId="77777777" w:rsidR="00035F7E" w:rsidRDefault="008242CC">
      <w:pPr>
        <w:numPr>
          <w:ilvl w:val="0"/>
          <w:numId w:val="1"/>
        </w:numPr>
      </w:pPr>
      <w:r>
        <w:t>• gli elementi che ne hanno eventualmente imposto l’esecuzione;</w:t>
      </w:r>
    </w:p>
    <w:p w14:paraId="2FEA2C9C" w14:textId="77777777" w:rsidR="00035F7E" w:rsidRDefault="008242CC">
      <w:pPr>
        <w:numPr>
          <w:ilvl w:val="0"/>
          <w:numId w:val="1"/>
        </w:numPr>
      </w:pPr>
      <w:r>
        <w:t>• il numero di osservazioni disponibili.</w:t>
      </w:r>
    </w:p>
    <w:p w14:paraId="45BE2A73" w14:textId="77777777" w:rsidR="00035F7E" w:rsidRDefault="008242CC">
      <w:r>
        <w:t>Queste informazioni permettono di distinguere un’esecuzione calcolata, forzata oppure omessa per configurazione.</w:t>
      </w:r>
    </w:p>
    <w:p w14:paraId="2B6F5D16" w14:textId="77777777" w:rsidR="000854B7" w:rsidRPr="00BE3538" w:rsidRDefault="008242CC">
      <w:pPr>
        <w:pStyle w:val="Heading1"/>
        <w:rPr>
          <w:lang w:val="it-IT"/>
        </w:rPr>
      </w:pPr>
      <w:bookmarkStart w:id="147" w:name="X130d18267d14b345a7ecdc7a310ac31cd827381"/>
      <w:bookmarkStart w:id="148" w:name="_Toc236387286"/>
      <w:bookmarkEnd w:id="110"/>
      <w:bookmarkEnd w:id="142"/>
      <w:r>
        <w:rPr>
          <w:lang w:val="it-IT"/>
        </w:rPr>
        <w:t>15. Probabilità target price e intervallo utente</w:t>
      </w:r>
      <w:bookmarkEnd w:id="148"/>
    </w:p>
    <w:p w14:paraId="6A52F0A1" w14:textId="77777777" w:rsidR="000854B7" w:rsidRPr="00BE3538" w:rsidRDefault="008242CC">
      <w:pPr>
        <w:pStyle w:val="Heading2"/>
        <w:rPr>
          <w:lang w:val="it-IT"/>
        </w:rPr>
      </w:pPr>
      <w:bookmarkStart w:id="149" w:name="residui-de-biased"/>
      <w:bookmarkStart w:id="150" w:name="_Toc236387287"/>
      <w:r>
        <w:rPr>
          <w:lang w:val="it-IT"/>
        </w:rPr>
        <w:t>15.1 Residui de-biased</w:t>
      </w:r>
      <w:bookmarkEnd w:id="150"/>
    </w:p>
    <w:p w14:paraId="0AE62FF3" w14:textId="77777777" w:rsidR="000854B7" w:rsidRPr="00BE3538" w:rsidRDefault="008242CC">
      <w:pPr>
        <w:pStyle w:val="FirstParagraph"/>
        <w:rPr>
          <w:lang w:val="it-IT"/>
        </w:rPr>
      </w:pPr>
      <w:r>
        <w:rPr>
          <w:lang w:val="it-IT"/>
        </w:rPr>
        <w:t>Il motore usa i residui di calibrazione, poi sottrae il bias mediano:</w:t>
      </w:r>
    </w:p>
    <w:p w14:paraId="3BCA407D" w14:textId="77777777" w:rsidR="000854B7" w:rsidRDefault="008242CC">
      <w:pPr>
        <w:pStyle w:val="BodyText"/>
      </w:pPr>
      <m:oMathPara>
        <m:oMathParaPr>
          <m:jc m:val="center"/>
        </m:oMathParaPr>
        <m:oMath>
          <m:r>
            <w:rPr>
              <w:rFonts w:ascii="Cambria Math" w:hAnsi="Cambria Math"/>
            </w:rPr>
            <m:t>b</m:t>
          </m:r>
          <m:r>
            <m:rPr>
              <m:sty m:val="p"/>
            </m:rPr>
            <w:rPr>
              <w:rFonts w:ascii="Cambria Math" w:hAnsi="Cambria Math"/>
            </w:rPr>
            <m:t>=median</m:t>
          </m:r>
          <m:d>
            <m:dPr>
              <m:ctrlPr>
                <w:rPr>
                  <w:rFonts w:ascii="Cambria Math" w:hAnsi="Cambria Math"/>
                </w:rPr>
              </m:ctrlPr>
            </m:dPr>
            <m:e>
              <m:r>
                <w:rPr>
                  <w:rFonts w:ascii="Cambria Math" w:hAnsi="Cambria Math"/>
                </w:rPr>
                <m:t>ε</m:t>
              </m:r>
            </m:e>
          </m:d>
        </m:oMath>
      </m:oMathPara>
    </w:p>
    <w:p w14:paraId="5918D2A0" w14:textId="77777777" w:rsidR="000854B7" w:rsidRDefault="00C0462E">
      <w:pPr>
        <w:pStyle w:val="FirstParagraph"/>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t</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b</m:t>
          </m:r>
        </m:oMath>
      </m:oMathPara>
    </w:p>
    <w:p w14:paraId="28552E73" w14:textId="77777777" w:rsidR="000854B7" w:rsidRPr="00BE3538" w:rsidRDefault="008242CC">
      <w:pPr>
        <w:pStyle w:val="Heading2"/>
        <w:rPr>
          <w:lang w:val="it-IT"/>
        </w:rPr>
      </w:pPr>
      <w:bookmarkStart w:id="151" w:name="Xaadde393c9f535bfd8a03484d8d3e6da71c3dd6"/>
      <w:bookmarkStart w:id="152" w:name="_Toc236387288"/>
      <w:bookmarkEnd w:id="149"/>
      <w:r>
        <w:rPr>
          <w:lang w:val="it-IT"/>
        </w:rPr>
        <w:lastRenderedPageBreak/>
        <w:t>15.2 Probabilità che il prezzo superi o stia sotto un target</w:t>
      </w:r>
      <w:bookmarkEnd w:id="152"/>
    </w:p>
    <w:p w14:paraId="66E3C1F3" w14:textId="77777777" w:rsidR="000854B7" w:rsidRPr="00BE3538" w:rsidRDefault="008242CC">
      <w:pPr>
        <w:pStyle w:val="FirstParagraph"/>
        <w:rPr>
          <w:lang w:val="it-IT"/>
        </w:rPr>
      </w:pPr>
      <w:r>
        <w:rPr>
          <w:lang w:val="it-IT"/>
        </w:rPr>
        <w:t xml:space="preserve">Dato un target </w:t>
      </w:r>
      <m:oMath>
        <m:sSup>
          <m:sSupPr>
            <m:ctrlPr>
              <w:rPr>
                <w:rFonts w:ascii="Cambria Math" w:hAnsi="Cambria Math"/>
              </w:rPr>
            </m:ctrlPr>
          </m:sSupPr>
          <m:e>
            <m:r>
              <w:rPr>
                <w:rFonts w:ascii="Cambria Math" w:hAnsi="Cambria Math"/>
              </w:rPr>
              <m:t>P</m:t>
            </m:r>
          </m:e>
          <m:sup>
            <m:r>
              <m:rPr>
                <m:sty m:val="p"/>
              </m:rPr>
              <w:rPr>
                <w:rFonts w:ascii="Cambria Math" w:hAnsi="Cambria Math"/>
                <w:lang w:val="it-IT"/>
              </w:rPr>
              <m:t>*</m:t>
            </m:r>
          </m:sup>
        </m:sSup>
      </m:oMath>
      <w:r>
        <w:rPr>
          <w:lang w:val="it-IT"/>
        </w:rPr>
        <w:t>, la soglia in log-space è:</w:t>
      </w:r>
    </w:p>
    <w:p w14:paraId="4A946EC1" w14:textId="77777777" w:rsidR="000854B7" w:rsidRDefault="00C0462E">
      <w:pPr>
        <w:pStyle w:val="BodyText"/>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=ln</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P</m:t>
                      </m:r>
                    </m:e>
                    <m:sup>
                      <m:r>
                        <m:rPr>
                          <m:sty m:val="p"/>
                        </m:rPr>
                        <w:rPr>
                          <w:rFonts w:ascii="Cambria Math" w:hAnsi="Cambria Math"/>
                        </w:rPr>
                        <m:t>*</m:t>
                      </m:r>
                    </m:sup>
                  </m:sSup>
                </m:num>
                <m:den>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ens</m:t>
                      </m:r>
                    </m:sup>
                  </m:sSup>
                </m:den>
              </m:f>
            </m:e>
          </m:d>
        </m:oMath>
      </m:oMathPara>
    </w:p>
    <w:p w14:paraId="3B69B609" w14:textId="77777777" w:rsidR="000854B7" w:rsidRDefault="008242CC">
      <w:pPr>
        <w:pStyle w:val="FirstParagraph"/>
      </w:pPr>
      <w:r>
        <w:t>Allora:</w:t>
      </w:r>
    </w:p>
    <w:p w14:paraId="61793B87" w14:textId="77777777" w:rsidR="000854B7" w:rsidRDefault="008242CC" w:rsidP="008242CC">
      <w:pPr>
        <w:pStyle w:val="Compact"/>
        <w:numPr>
          <w:ilvl w:val="0"/>
          <w:numId w:val="20"/>
        </w:numPr>
      </w:pPr>
      <w:r>
        <w:t>modalità prezzo maggiore o uguale al target:</w:t>
      </w:r>
    </w:p>
    <w:p w14:paraId="02ED9618" w14:textId="77777777" w:rsidR="000854B7" w:rsidRDefault="00C0462E">
      <w:pPr>
        <w:pStyle w:val="FirstParagraph"/>
      </w:pPr>
      <m:oMathPara>
        <m:oMathParaPr>
          <m:jc m:val="center"/>
        </m:oMathParaPr>
        <m:oMath>
          <m:acc>
            <m:accPr>
              <m:ctrlPr>
                <w:rPr>
                  <w:rFonts w:ascii="Cambria Math" w:hAnsi="Cambria Math"/>
                </w:rPr>
              </m:ctrlPr>
            </m:accPr>
            <m:e>
              <m:r>
                <w:rPr>
                  <w:rFonts w:ascii="Cambria Math" w:hAnsi="Cambria Math"/>
                </w:rPr>
                <m:t>p</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m:rPr>
                      <m:sty m:val="b"/>
                    </m:rPr>
                    <w:rPr>
                      <w:rFonts w:ascii="Cambria Math" w:hAnsi="Cambria Math"/>
                    </w:rPr>
                    <m:t>1</m:t>
                  </m:r>
                </m:e>
                <m:sub>
                  <m:sSubSup>
                    <m:sSubSupPr>
                      <m:ctrlPr>
                        <w:rPr>
                          <w:rFonts w:ascii="Cambria Math" w:hAnsi="Cambria Math"/>
                        </w:rPr>
                      </m:ctrlPr>
                    </m:sSubSupPr>
                    <m:e>
                      <m:r>
                        <w:rPr>
                          <w:rFonts w:ascii="Cambria Math" w:hAnsi="Cambria Math"/>
                        </w:rPr>
                        <m:t>ε</m:t>
                      </m:r>
                    </m:e>
                    <m:sub>
                      <m:r>
                        <w:rPr>
                          <w:rFonts w:ascii="Cambria Math" w:hAnsi="Cambria Math"/>
                        </w:rPr>
                        <m:t>t</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sSup>
                    <m:sSupPr>
                      <m:ctrlPr>
                        <w:rPr>
                          <w:rFonts w:ascii="Cambria Math" w:hAnsi="Cambria Math"/>
                        </w:rPr>
                      </m:ctrlPr>
                    </m:sSupPr>
                    <m:e>
                      <m:r>
                        <w:rPr>
                          <w:rFonts w:ascii="Cambria Math" w:hAnsi="Cambria Math"/>
                        </w:rPr>
                        <m:t>ε</m:t>
                      </m:r>
                    </m:e>
                    <m:sup>
                      <m:r>
                        <m:rPr>
                          <m:sty m:val="p"/>
                        </m:rPr>
                        <w:rPr>
                          <w:rFonts w:ascii="Cambria Math" w:hAnsi="Cambria Math"/>
                        </w:rPr>
                        <m:t>*</m:t>
                      </m:r>
                    </m:sup>
                  </m:sSup>
                </m:sub>
              </m:sSub>
            </m:e>
          </m:nary>
        </m:oMath>
      </m:oMathPara>
    </w:p>
    <w:p w14:paraId="6FA3C758" w14:textId="77777777" w:rsidR="000854B7" w:rsidRDefault="008242CC" w:rsidP="008242CC">
      <w:pPr>
        <w:pStyle w:val="Compact"/>
        <w:numPr>
          <w:ilvl w:val="0"/>
          <w:numId w:val="21"/>
        </w:numPr>
      </w:pPr>
      <w:r>
        <w:t>modalità prezzo minore o uguale al target:</w:t>
      </w:r>
    </w:p>
    <w:p w14:paraId="792376C0" w14:textId="77777777" w:rsidR="000854B7" w:rsidRDefault="00C0462E">
      <w:pPr>
        <w:pStyle w:val="FirstParagraph"/>
      </w:pPr>
      <m:oMathPara>
        <m:oMathParaPr>
          <m:jc m:val="center"/>
        </m:oMathParaPr>
        <m:oMath>
          <m:acc>
            <m:accPr>
              <m:ctrlPr>
                <w:rPr>
                  <w:rFonts w:ascii="Cambria Math" w:hAnsi="Cambria Math"/>
                </w:rPr>
              </m:ctrlPr>
            </m:accPr>
            <m:e>
              <m:r>
                <w:rPr>
                  <w:rFonts w:ascii="Cambria Math" w:hAnsi="Cambria Math"/>
                </w:rPr>
                <m:t>p</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m:rPr>
                      <m:sty m:val="b"/>
                    </m:rPr>
                    <w:rPr>
                      <w:rFonts w:ascii="Cambria Math" w:hAnsi="Cambria Math"/>
                    </w:rPr>
                    <m:t>1</m:t>
                  </m:r>
                </m:e>
                <m:sub>
                  <m:sSubSup>
                    <m:sSubSupPr>
                      <m:ctrlPr>
                        <w:rPr>
                          <w:rFonts w:ascii="Cambria Math" w:hAnsi="Cambria Math"/>
                        </w:rPr>
                      </m:ctrlPr>
                    </m:sSubSupPr>
                    <m:e>
                      <m:r>
                        <w:rPr>
                          <w:rFonts w:ascii="Cambria Math" w:hAnsi="Cambria Math"/>
                        </w:rPr>
                        <m:t>ε</m:t>
                      </m:r>
                    </m:e>
                    <m:sub>
                      <m:r>
                        <w:rPr>
                          <w:rFonts w:ascii="Cambria Math" w:hAnsi="Cambria Math"/>
                        </w:rPr>
                        <m:t>t</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sSup>
                    <m:sSupPr>
                      <m:ctrlPr>
                        <w:rPr>
                          <w:rFonts w:ascii="Cambria Math" w:hAnsi="Cambria Math"/>
                        </w:rPr>
                      </m:ctrlPr>
                    </m:sSupPr>
                    <m:e>
                      <m:r>
                        <w:rPr>
                          <w:rFonts w:ascii="Cambria Math" w:hAnsi="Cambria Math"/>
                        </w:rPr>
                        <m:t>ε</m:t>
                      </m:r>
                    </m:e>
                    <m:sup>
                      <m:r>
                        <m:rPr>
                          <m:sty m:val="p"/>
                        </m:rPr>
                        <w:rPr>
                          <w:rFonts w:ascii="Cambria Math" w:hAnsi="Cambria Math"/>
                        </w:rPr>
                        <m:t>*</m:t>
                      </m:r>
                    </m:sup>
                  </m:sSup>
                </m:sub>
              </m:sSub>
            </m:e>
          </m:nary>
        </m:oMath>
      </m:oMathPara>
    </w:p>
    <w:p w14:paraId="608F975D" w14:textId="77777777" w:rsidR="000854B7" w:rsidRPr="00BE3538" w:rsidRDefault="008242CC">
      <w:pPr>
        <w:pStyle w:val="Heading2"/>
        <w:rPr>
          <w:lang w:val="it-IT"/>
        </w:rPr>
      </w:pPr>
      <w:bookmarkStart w:id="153" w:name="wilson-lower-bound"/>
      <w:bookmarkStart w:id="154" w:name="_Toc236387289"/>
      <w:bookmarkEnd w:id="151"/>
      <w:r>
        <w:rPr>
          <w:lang w:val="it-IT"/>
        </w:rPr>
        <w:t>15.3 Wilson lower bound</w:t>
      </w:r>
      <w:bookmarkEnd w:id="154"/>
    </w:p>
    <w:p w14:paraId="7FAEAF1C" w14:textId="77777777" w:rsidR="000854B7" w:rsidRPr="00BE3538" w:rsidRDefault="008242CC">
      <w:pPr>
        <w:pStyle w:val="FirstParagraph"/>
        <w:rPr>
          <w:lang w:val="it-IT"/>
        </w:rPr>
      </w:pPr>
      <w:r>
        <w:rPr>
          <w:lang w:val="it-IT"/>
        </w:rPr>
        <w:t>Quando il metodo resta empirico, la stima conservativa è la Wilson lower bound:</w:t>
      </w:r>
    </w:p>
    <w:p w14:paraId="6B80CDB0" w14:textId="77777777" w:rsidR="000854B7" w:rsidRDefault="008242CC">
      <w:pPr>
        <w:pStyle w:val="BodyText"/>
      </w:pPr>
      <m:oMathPara>
        <m:oMathParaPr>
          <m:jc m:val="center"/>
        </m:oMathParaPr>
        <m:oMath>
          <m:r>
            <w:rPr>
              <w:rFonts w:ascii="Cambria Math" w:hAnsi="Cambria Math"/>
            </w:rPr>
            <m:t>LB</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2n</m:t>
                  </m:r>
                </m:e>
              </m:d>
              <m:r>
                <m:rPr>
                  <m:sty m:val="p"/>
                </m:rPr>
                <w:rPr>
                  <w:rFonts w:ascii="Cambria Math" w:hAnsi="Cambria Math"/>
                </w:rPr>
                <m:t>-</m:t>
              </m:r>
              <m:r>
                <w:rPr>
                  <w:rFonts w:ascii="Cambria Math" w:hAnsi="Cambria Math"/>
                </w:rPr>
                <m:t>z</m:t>
              </m:r>
              <m:rad>
                <m:radPr>
                  <m:degHide m:val="1"/>
                  <m:ctrlPr>
                    <w:rPr>
                      <w:rFonts w:ascii="Cambria Math" w:hAnsi="Cambria Math"/>
                    </w:rPr>
                  </m:ctrlPr>
                </m:radPr>
                <m:deg/>
                <m:e>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4</m:t>
                      </m:r>
                      <m:sSup>
                        <m:sSupPr>
                          <m:ctrlPr>
                            <w:rPr>
                              <w:rFonts w:ascii="Cambria Math" w:hAnsi="Cambria Math"/>
                            </w:rPr>
                          </m:ctrlPr>
                        </m:sSupPr>
                        <m:e>
                          <m:r>
                            <w:rPr>
                              <w:rFonts w:ascii="Cambria Math" w:hAnsi="Cambria Math"/>
                            </w:rPr>
                            <m:t>n</m:t>
                          </m:r>
                        </m:e>
                        <m:sup>
                          <m:r>
                            <w:rPr>
                              <w:rFonts w:ascii="Cambria Math" w:hAnsi="Cambria Math"/>
                            </w:rPr>
                            <m:t>2</m:t>
                          </m:r>
                        </m:sup>
                      </m:sSup>
                    </m:e>
                  </m:d>
                </m:e>
              </m:rad>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n</m:t>
              </m:r>
            </m:den>
          </m:f>
        </m:oMath>
      </m:oMathPara>
    </w:p>
    <w:p w14:paraId="475FD757" w14:textId="77777777" w:rsidR="000854B7" w:rsidRPr="00BE3538" w:rsidRDefault="008242CC">
      <w:pPr>
        <w:pStyle w:val="FirstParagraph"/>
        <w:rPr>
          <w:lang w:val="it-IT"/>
        </w:rPr>
      </w:pPr>
      <w:r>
        <w:rPr>
          <w:lang w:val="it-IT"/>
        </w:rPr>
        <w:t>con z-score coerente con il confidence level richiesto. La numerosità usata nella Wilson lower bound non è quella nominale dei residui, ma la numerosità effettiva corretta per sovrapposizione (stessa formula della sezione 16.9, con il passo degli anchor del walk-forward completo): anchor più vicini di un orizzonte condividono gran parte dello stesso percorso di prezzo e la n nominale sovrastimerebbe l’evidenza indipendente. La proporzione empirica resta calcolata sull’intero campione; solo il peso di evidenza si riduce, e le diagnostiche riportano entrambe le numerosità.</w:t>
      </w:r>
    </w:p>
    <w:p w14:paraId="42D50EEE" w14:textId="77777777" w:rsidR="000854B7" w:rsidRPr="00BE3538" w:rsidRDefault="008242CC">
      <w:pPr>
        <w:pStyle w:val="Heading2"/>
        <w:rPr>
          <w:lang w:val="it-IT"/>
        </w:rPr>
      </w:pPr>
      <w:bookmarkStart w:id="155" w:name="gaussian-fallback"/>
      <w:bookmarkStart w:id="156" w:name="_Toc236387290"/>
      <w:bookmarkEnd w:id="153"/>
      <w:r>
        <w:rPr>
          <w:lang w:val="it-IT"/>
        </w:rPr>
        <w:t>15.4 Gaussian fallback</w:t>
      </w:r>
      <w:bookmarkEnd w:id="156"/>
    </w:p>
    <w:p w14:paraId="02AA90A3" w14:textId="77777777" w:rsidR="000854B7" w:rsidRPr="00BE3538" w:rsidRDefault="008242CC">
      <w:pPr>
        <w:pStyle w:val="FirstParagraph"/>
        <w:rPr>
          <w:lang w:val="it-IT"/>
        </w:rPr>
      </w:pPr>
      <w:r>
        <w:rPr>
          <w:lang w:val="it-IT"/>
        </w:rPr>
        <w:t>Se i hit empirici sono zero ma il campione è sufficiente, il motore può ricorrere a una probabilità parametrica gaussiana sui residui de-biased, usando media e deviazione standard del campione; per il lower bound usa bootstrap della probabilità parametrica.</w:t>
      </w:r>
    </w:p>
    <w:p w14:paraId="647B7E53" w14:textId="77777777" w:rsidR="000854B7" w:rsidRPr="00BE3538" w:rsidRDefault="008242CC">
      <w:pPr>
        <w:pStyle w:val="Heading2"/>
        <w:rPr>
          <w:lang w:val="it-IT"/>
        </w:rPr>
      </w:pPr>
      <w:bookmarkStart w:id="157" w:name="X71162ac321bfeed914477c5f54a33a09d4e8cfa"/>
      <w:bookmarkStart w:id="158" w:name="_Toc236387291"/>
      <w:bookmarkEnd w:id="155"/>
      <w:r>
        <w:rPr>
          <w:lang w:val="it-IT"/>
        </w:rPr>
        <w:t>15.5 Probabilità di ricadere in un intervallo utente</w:t>
      </w:r>
      <w:bookmarkEnd w:id="158"/>
    </w:p>
    <w:p w14:paraId="70AA306F" w14:textId="77777777" w:rsidR="000854B7" w:rsidRPr="00BE3538" w:rsidRDefault="00EA3836">
      <w:pPr>
        <w:pStyle w:val="FirstParagraph"/>
        <w:rPr>
          <w:lang w:val="it-IT"/>
        </w:rPr>
      </w:pPr>
      <w:r>
        <w:rPr>
          <w:lang w:val="it-IT"/>
        </w:rPr>
        <w:t xml:space="preserve">Dato un intervallo di prezzo </w:t>
      </w:r>
      <m:oMath>
        <m:d>
          <m:dPr>
            <m:begChr m:val="["/>
            <m:sepChr m:val=","/>
            <m:endChr m:val="]"/>
            <m:ctrlPr>
              <w:rPr>
                <w:rFonts w:ascii="Cambria Math" w:hAnsi="Cambria Math"/>
              </w:rPr>
            </m:ctrlPr>
          </m:dPr>
          <m:e>
            <m:r>
              <w:rPr>
                <w:rFonts w:ascii="Cambria Math" w:hAnsi="Cambria Math"/>
              </w:rPr>
              <m:t>L</m:t>
            </m:r>
          </m:e>
          <m:e>
            <m:r>
              <w:rPr>
                <w:rFonts w:ascii="Cambria Math" w:hAnsi="Cambria Math"/>
              </w:rPr>
              <m:t>U</m:t>
            </m:r>
          </m:e>
        </m:d>
      </m:oMath>
      <w:r>
        <w:rPr>
          <w:lang w:val="it-IT"/>
        </w:rPr>
        <w:t>, le soglie in log-space sono:</w:t>
      </w:r>
    </w:p>
    <w:p w14:paraId="4C1113F3" w14:textId="77777777" w:rsidR="000854B7" w:rsidRDefault="00C0462E">
      <w:pPr>
        <w:pStyle w:val="BodyText"/>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lo</m:t>
              </m:r>
            </m:sub>
            <m:sup>
              <m:r>
                <m:rPr>
                  <m:sty m:val="p"/>
                </m:rPr>
                <w:rPr>
                  <w:rFonts w:ascii="Cambria Math" w:hAnsi="Cambria Math"/>
                </w:rPr>
                <m:t>*</m:t>
              </m:r>
            </m:sup>
          </m:sSubSup>
          <m:r>
            <m:rPr>
              <m:sty m:val="p"/>
            </m:rPr>
            <w:rPr>
              <w:rFonts w:ascii="Cambria Math" w:hAnsi="Cambria Math"/>
            </w:rPr>
            <m:t>=ln</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L</m:t>
                      </m:r>
                    </m:e>
                    <m:sup>
                      <m:r>
                        <m:rPr>
                          <m:sty m:val="p"/>
                        </m:rPr>
                        <w:rPr>
                          <w:rFonts w:ascii="Cambria Math" w:hAnsi="Cambria Math"/>
                        </w:rPr>
                        <m:t>*</m:t>
                      </m:r>
                    </m:sup>
                  </m:sSup>
                </m:num>
                <m:den>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ens</m:t>
                      </m:r>
                    </m:sup>
                  </m:sSup>
                </m:den>
              </m:f>
            </m:e>
          </m:d>
        </m:oMath>
      </m:oMathPara>
    </w:p>
    <w:p w14:paraId="46373468" w14:textId="77777777" w:rsidR="000854B7" w:rsidRDefault="00C0462E">
      <w:pPr>
        <w:pStyle w:val="FirstParagraph"/>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hi</m:t>
              </m:r>
            </m:sub>
            <m:sup>
              <m:r>
                <m:rPr>
                  <m:sty m:val="p"/>
                </m:rPr>
                <w:rPr>
                  <w:rFonts w:ascii="Cambria Math" w:hAnsi="Cambria Math"/>
                </w:rPr>
                <m:t>*</m:t>
              </m:r>
            </m:sup>
          </m:sSubSup>
          <m:r>
            <m:rPr>
              <m:sty m:val="p"/>
            </m:rPr>
            <w:rPr>
              <w:rFonts w:ascii="Cambria Math" w:hAnsi="Cambria Math"/>
            </w:rPr>
            <m:t>=ln</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U</m:t>
                      </m:r>
                    </m:e>
                    <m:sup>
                      <m:r>
                        <m:rPr>
                          <m:sty m:val="p"/>
                        </m:rPr>
                        <w:rPr>
                          <w:rFonts w:ascii="Cambria Math" w:hAnsi="Cambria Math"/>
                        </w:rPr>
                        <m:t>*</m:t>
                      </m:r>
                    </m:sup>
                  </m:sSup>
                </m:num>
                <m:den>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ens</m:t>
                      </m:r>
                    </m:sup>
                  </m:sSup>
                </m:den>
              </m:f>
            </m:e>
          </m:d>
        </m:oMath>
      </m:oMathPara>
    </w:p>
    <w:p w14:paraId="4EE25F89" w14:textId="77777777" w:rsidR="000854B7" w:rsidRDefault="008242CC">
      <w:pPr>
        <w:pStyle w:val="FirstParagraph"/>
      </w:pPr>
      <w:r>
        <w:t>La probabilità empirica è:</w:t>
      </w:r>
    </w:p>
    <w:p w14:paraId="5D77D7DF" w14:textId="77777777" w:rsidR="000854B7" w:rsidRDefault="00C0462E">
      <w:pPr>
        <w:pStyle w:val="BodyText"/>
      </w:pPr>
      <m:oMathPara>
        <m:oMathParaPr>
          <m:jc m:val="center"/>
        </m:oMathParaPr>
        <m:oMath>
          <m:acc>
            <m:accPr>
              <m:ctrlPr>
                <w:rPr>
                  <w:rFonts w:ascii="Cambria Math" w:hAnsi="Cambria Math"/>
                </w:rPr>
              </m:ctrlPr>
            </m:accPr>
            <m:e>
              <m:r>
                <w:rPr>
                  <w:rFonts w:ascii="Cambria Math" w:hAnsi="Cambria Math"/>
                </w:rPr>
                <m:t>p</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m:rPr>
                      <m:sty m:val="b"/>
                    </m:rPr>
                    <w:rPr>
                      <w:rFonts w:ascii="Cambria Math" w:hAnsi="Cambria Math"/>
                    </w:rPr>
                    <m:t>1</m:t>
                  </m:r>
                </m:e>
                <m:sub>
                  <m:sSubSup>
                    <m:sSubSupPr>
                      <m:ctrlPr>
                        <w:rPr>
                          <w:rFonts w:ascii="Cambria Math" w:hAnsi="Cambria Math"/>
                        </w:rPr>
                      </m:ctrlPr>
                    </m:sSubSupPr>
                    <m:e>
                      <m:r>
                        <w:rPr>
                          <w:rFonts w:ascii="Cambria Math" w:hAnsi="Cambria Math"/>
                        </w:rPr>
                        <m:t>ε</m:t>
                      </m:r>
                    </m:e>
                    <m:sub>
                      <m:r>
                        <w:rPr>
                          <w:rFonts w:ascii="Cambria Math" w:hAnsi="Cambria Math"/>
                        </w:rPr>
                        <m:t>t</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ε</m:t>
                          </m:r>
                        </m:e>
                        <m:sub>
                          <m:r>
                            <w:rPr>
                              <w:rFonts w:ascii="Cambria Math" w:hAnsi="Cambria Math"/>
                            </w:rPr>
                            <m:t>lo</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hi</m:t>
                          </m:r>
                        </m:sub>
                        <m:sup>
                          <m:r>
                            <m:rPr>
                              <m:sty m:val="p"/>
                            </m:rPr>
                            <w:rPr>
                              <w:rFonts w:ascii="Cambria Math" w:hAnsi="Cambria Math"/>
                            </w:rPr>
                            <m:t>*</m:t>
                          </m:r>
                        </m:sup>
                      </m:sSubSup>
                    </m:e>
                  </m:d>
                </m:sub>
              </m:sSub>
            </m:e>
          </m:nary>
        </m:oMath>
      </m:oMathPara>
    </w:p>
    <w:p w14:paraId="59A15C54" w14:textId="77777777" w:rsidR="000854B7" w:rsidRDefault="008242CC">
      <w:pPr>
        <w:pStyle w:val="FirstParagraph"/>
      </w:pPr>
      <w:r>
        <w:t>con Wilson lower bound o Gaussian fallback analoghi al target price.</w:t>
      </w:r>
    </w:p>
    <w:p w14:paraId="1E5FE5F3" w14:textId="77777777" w:rsidR="000854B7" w:rsidRPr="00BE3538" w:rsidRDefault="008242CC">
      <w:pPr>
        <w:rPr>
          <w:lang w:val="it-IT"/>
        </w:rPr>
      </w:pPr>
      <w:r>
        <w:rPr>
          <w:lang w:val="it-IT"/>
        </w:rPr>
        <w:t>Cap di certezza a campione finito: quando il tasso di hit empirico è pari al 100% e la numerosità effettiva corretta per sovrapposizione è inferiore alla soglia di certezza (default 50), la probabilità mostrata dal metodo empirico non viene pubblicata come 100%: al suo posto viene mostrata la Wilson lower bound. Questo cap, già attivo per la probabilità sul prezzo target, è ora applicato in modo effettivo anche alla probabilità sull’intervallo utente (il controllo precedente confrontava un identificativo di metodo errato e non scattava mai); non si applica al percorso di fallback gaussiano. La diagnostica di campione ridotto riporta inoltre la numerosità del campione come numero intero.</w:t>
      </w:r>
    </w:p>
    <w:p w14:paraId="6005502D" w14:textId="77777777" w:rsidR="000854B7" w:rsidRDefault="00C0462E">
      <w:r>
        <w:pict w14:anchorId="664B53A3">
          <v:rect id="_x0000_i1042" style="width:0;height:1.5pt" o:hralign="center" o:hrstd="t" o:hr="t"/>
        </w:pict>
      </w:r>
    </w:p>
    <w:p w14:paraId="46E1B154" w14:textId="77777777" w:rsidR="000854B7" w:rsidRPr="00BE3538" w:rsidRDefault="008242CC">
      <w:pPr>
        <w:pStyle w:val="Heading1"/>
        <w:rPr>
          <w:lang w:val="it-IT"/>
        </w:rPr>
      </w:pPr>
      <w:bookmarkStart w:id="159" w:name="X86c9fd8c88f13d1d4b65c35aec9abeeb9884751"/>
      <w:bookmarkStart w:id="160" w:name="_Toc236387292"/>
      <w:bookmarkEnd w:id="147"/>
      <w:bookmarkEnd w:id="157"/>
      <w:r>
        <w:rPr>
          <w:lang w:val="it-IT"/>
        </w:rPr>
        <w:t>16. Metriche di accuratezza e diagnostiche quantitative di rischio</w:t>
      </w:r>
      <w:bookmarkEnd w:id="160"/>
    </w:p>
    <w:p w14:paraId="5B5CBB55" w14:textId="77777777" w:rsidR="000854B7" w:rsidRPr="00BE3538" w:rsidRDefault="008242CC">
      <w:pPr>
        <w:pStyle w:val="Heading2"/>
        <w:rPr>
          <w:lang w:val="it-IT"/>
        </w:rPr>
      </w:pPr>
      <w:bookmarkStart w:id="161" w:name="Xcb1948e069cdf8025bf63eda4d5d9f7602326de"/>
      <w:bookmarkStart w:id="162" w:name="_Toc236387293"/>
      <w:r>
        <w:rPr>
          <w:lang w:val="it-IT"/>
        </w:rPr>
        <w:t>16.1 Accuratezza su storia walk-forward ensemble</w:t>
      </w:r>
      <w:bookmarkEnd w:id="162"/>
    </w:p>
    <w:p w14:paraId="0F8B813A" w14:textId="77777777" w:rsidR="000854B7" w:rsidRPr="00BE3538" w:rsidRDefault="008242CC">
      <w:pPr>
        <w:pStyle w:val="FirstParagraph"/>
        <w:rPr>
          <w:lang w:val="it-IT"/>
        </w:rPr>
      </w:pPr>
      <w:r>
        <w:rPr>
          <w:lang w:val="it-IT"/>
        </w:rPr>
        <w:t>Se esiste una storia valida di previsione ensemble/realizzato, il sistema calcola:</w:t>
      </w:r>
    </w:p>
    <w:p w14:paraId="75E93D46" w14:textId="77777777" w:rsidR="000854B7" w:rsidRDefault="008242CC">
      <w:pPr>
        <w:pStyle w:val="BodyText"/>
      </w:pPr>
      <m:oMathPara>
        <m:oMathParaPr>
          <m:jc m:val="center"/>
        </m:oMathParaPr>
        <m:oMath>
          <m:r>
            <w:rPr>
              <w:rFonts w:ascii="Cambria Math" w:hAnsi="Cambria Math"/>
            </w: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e>
              </m:d>
            </m:e>
          </m:nary>
        </m:oMath>
      </m:oMathPara>
    </w:p>
    <w:p w14:paraId="0FE090E8" w14:textId="77777777" w:rsidR="000854B7" w:rsidRDefault="008242CC">
      <w:pPr>
        <w:pStyle w:val="FirstParagraph"/>
      </w:pPr>
      <m:oMathPara>
        <m:oMathParaPr>
          <m:jc m:val="center"/>
        </m:oMathParaPr>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e>
                      </m:d>
                    </m:e>
                    <m:sup>
                      <m:r>
                        <w:rPr>
                          <w:rFonts w:ascii="Cambria Math" w:hAnsi="Cambria Math"/>
                        </w:rPr>
                        <m:t>2</m:t>
                      </m:r>
                    </m:sup>
                  </m:sSup>
                </m:e>
              </m:nary>
            </m:e>
          </m:rad>
        </m:oMath>
      </m:oMathPara>
    </w:p>
    <w:p w14:paraId="3523CC1B" w14:textId="77777777" w:rsidR="000854B7" w:rsidRDefault="008242CC">
      <w:pPr>
        <w:pStyle w:val="FirstParagraph"/>
      </w:pPr>
      <m:oMathPara>
        <m:oMathParaPr>
          <m:jc m:val="center"/>
        </m:oMathParaPr>
        <m:oMath>
          <m:r>
            <w:rPr>
              <w:rFonts w:ascii="Cambria Math" w:hAnsi="Cambria Math"/>
            </w:rPr>
            <m:t>MAPE</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den>
              </m:f>
            </m:e>
          </m:nary>
        </m:oMath>
      </m:oMathPara>
    </w:p>
    <w:p w14:paraId="3959E7A6" w14:textId="77777777" w:rsidR="000854B7" w:rsidRDefault="008242CC">
      <w:pPr>
        <w:pStyle w:val="FirstParagraph"/>
      </w:pPr>
      <m:oMathPara>
        <m:oMathParaPr>
          <m:jc m:val="center"/>
        </m:oMathParaPr>
        <m:oMath>
          <m:r>
            <w:rPr>
              <w:rFonts w:ascii="Cambria Math" w:hAnsi="Cambria Math"/>
            </w:rPr>
            <m:t>sMAPE</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f>
                <m:fPr>
                  <m:ctrlPr>
                    <w:rPr>
                      <w:rFonts w:ascii="Cambria Math" w:hAnsi="Cambria Math"/>
                    </w:rPr>
                  </m:ctrlPr>
                </m:fPr>
                <m:num>
                  <m:r>
                    <w:rPr>
                      <w:rFonts w:ascii="Cambria Math" w:hAnsi="Cambria Math"/>
                    </w:rPr>
                    <m:t>2</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den>
              </m:f>
            </m:e>
          </m:nary>
        </m:oMath>
      </m:oMathPara>
    </w:p>
    <w:p w14:paraId="49189BDA" w14:textId="77777777" w:rsidR="000854B7" w:rsidRDefault="008242CC">
      <w:pPr>
        <w:pStyle w:val="Heading2"/>
      </w:pPr>
      <w:bookmarkStart w:id="163" w:name="strategia-long-only-vs-buy-and-hold"/>
      <w:bookmarkStart w:id="164" w:name="_Toc236387294"/>
      <w:bookmarkEnd w:id="161"/>
      <w:r>
        <w:t>16.2 Confronto contro benchmark Naive (Random Walk)</w:t>
      </w:r>
      <w:bookmarkEnd w:id="164"/>
    </w:p>
    <w:p w14:paraId="501FDE26" w14:textId="77777777" w:rsidR="000854B7" w:rsidRPr="00BE3538" w:rsidRDefault="008242CC">
      <w:pPr>
        <w:pStyle w:val="FirstParagraph"/>
        <w:rPr>
          <w:lang w:val="it-IT"/>
        </w:rPr>
      </w:pPr>
      <w:r>
        <w:rPr>
          <w:lang w:val="it-IT"/>
        </w:rPr>
        <w:t>Il motore di metriche, quando esiste una storia walk-forward valida dell'ensemble e una storia naive coerente (l'ultimo close osservato all'anchor come previsione), confronta le prestazioni dell'ensemble con quelle del benchmark naive sulle stesse coppie (previsione, realizzato).</w:t>
      </w:r>
    </w:p>
    <w:p w14:paraId="719A3D7B" w14:textId="77777777" w:rsidR="000854B7" w:rsidRPr="00BE3538" w:rsidRDefault="008242CC" w:rsidP="008242CC">
      <w:pPr>
        <w:numPr>
          <w:ilvl w:val="0"/>
          <w:numId w:val="22"/>
        </w:numPr>
        <w:rPr>
          <w:lang w:val="it-IT"/>
        </w:rPr>
      </w:pPr>
      <w:r>
        <w:rPr>
          <w:lang w:val="it-IT"/>
        </w:rPr>
        <w:t>Le metriche prodotte includono: MAPE naive, mediana del MAPE naive, RMSE percentuale naive, edge percentuale dell'ensemble sul benchmark naive su MAPE, mediana e RMSE, e i flag booleani che indicano se l'ensemble batte il benchmark sui rispettivi indicatori.</w:t>
      </w:r>
    </w:p>
    <w:p w14:paraId="4535842E" w14:textId="77777777" w:rsidR="000854B7" w:rsidRPr="00BE3538" w:rsidRDefault="008242CC" w:rsidP="008242CC">
      <w:pPr>
        <w:numPr>
          <w:ilvl w:val="0"/>
          <w:numId w:val="22"/>
        </w:numPr>
        <w:rPr>
          <w:lang w:val="it-IT"/>
        </w:rPr>
      </w:pPr>
      <w:r>
        <w:rPr>
          <w:lang w:val="it-IT"/>
        </w:rPr>
        <w:t>Questa è una valutazione di accuratezza relativa rispetto a un baseline da Random Walk; non è una strategia operativa e non produce rendimenti, posizioni o segnali di mercato.</w:t>
      </w:r>
    </w:p>
    <w:p w14:paraId="311CB327" w14:textId="77777777" w:rsidR="000854B7" w:rsidRPr="00BE3538" w:rsidRDefault="008242CC">
      <w:pPr>
        <w:pStyle w:val="Heading2"/>
        <w:rPr>
          <w:lang w:val="it-IT"/>
        </w:rPr>
      </w:pPr>
      <w:bookmarkStart w:id="165" w:name="sharpe-ratio-annualizzato"/>
      <w:bookmarkStart w:id="166" w:name="_Toc236387295"/>
      <w:bookmarkEnd w:id="163"/>
      <w:r>
        <w:rPr>
          <w:lang w:val="it-IT"/>
        </w:rPr>
        <w:lastRenderedPageBreak/>
        <w:t>16.3 Diagnostiche di bias direzionale</w:t>
      </w:r>
      <w:bookmarkEnd w:id="166"/>
    </w:p>
    <w:p w14:paraId="35119BDC" w14:textId="77777777" w:rsidR="000854B7" w:rsidRPr="00BE3538" w:rsidRDefault="008242CC">
      <w:pPr>
        <w:pStyle w:val="FirstParagraph"/>
        <w:rPr>
          <w:lang w:val="it-IT"/>
        </w:rPr>
      </w:pPr>
      <w:r>
        <w:rPr>
          <w:lang w:val="it-IT"/>
        </w:rPr>
        <w:t>Sulla stessa storia walk-forward, il motore di metriche calcola diagnostiche di bias direzionale: errore percentuale firmato medio e mediano, frequenza di sovrastima, frequenza di sottostima e classificazione del bias come sovrastima, sottostima o neutro.</w:t>
      </w:r>
    </w:p>
    <w:p w14:paraId="7F9525B4" w14:textId="77777777" w:rsidR="000854B7" w:rsidRDefault="008242CC">
      <w:pPr>
        <w:pStyle w:val="BodyText"/>
      </w:pPr>
      <w:r>
        <w:t>Queste diagnostiche servono a documentare la tendenza sistematica delle previsioni passate dell'ensemble; non sono performance di investimento e non sono Sharpe ratio, alpha o metriche di rendimento.</w:t>
      </w:r>
    </w:p>
    <w:p w14:paraId="17D461FB" w14:textId="77777777" w:rsidR="000854B7" w:rsidRPr="00BE3538" w:rsidRDefault="008242CC">
      <w:pPr>
        <w:pStyle w:val="Heading2"/>
        <w:rPr>
          <w:lang w:val="it-IT"/>
        </w:rPr>
      </w:pPr>
      <w:bookmarkStart w:id="167" w:name="summary-della-storia-prezzi"/>
      <w:bookmarkStart w:id="168" w:name="_Toc236387296"/>
      <w:bookmarkEnd w:id="165"/>
      <w:r>
        <w:rPr>
          <w:lang w:val="it-IT"/>
        </w:rPr>
        <w:t>16.4 Summary della storia prezzi</w:t>
      </w:r>
      <w:bookmarkEnd w:id="168"/>
    </w:p>
    <w:p w14:paraId="49BF89C3" w14:textId="77777777" w:rsidR="000854B7" w:rsidRPr="00BE3538" w:rsidRDefault="008242CC">
      <w:pPr>
        <w:pStyle w:val="FirstParagraph"/>
        <w:rPr>
          <w:lang w:val="it-IT"/>
        </w:rPr>
      </w:pPr>
      <w:r>
        <w:rPr>
          <w:lang w:val="it-IT"/>
        </w:rPr>
        <w:t>Il payload riporta anche:</w:t>
      </w:r>
    </w:p>
    <w:p w14:paraId="5414E4CA" w14:textId="77777777" w:rsidR="000854B7" w:rsidRDefault="008242CC" w:rsidP="008242CC">
      <w:pPr>
        <w:numPr>
          <w:ilvl w:val="0"/>
          <w:numId w:val="23"/>
        </w:numPr>
      </w:pPr>
      <w:r>
        <w:t>numero punti;</w:t>
      </w:r>
    </w:p>
    <w:p w14:paraId="409A0940" w14:textId="77777777" w:rsidR="000854B7" w:rsidRDefault="008242CC" w:rsidP="008242CC">
      <w:pPr>
        <w:numPr>
          <w:ilvl w:val="0"/>
          <w:numId w:val="23"/>
        </w:numPr>
      </w:pPr>
      <w:r>
        <w:t>ultimo close;</w:t>
      </w:r>
    </w:p>
    <w:p w14:paraId="7061BD5B" w14:textId="77777777" w:rsidR="000854B7" w:rsidRDefault="008242CC" w:rsidP="008242CC">
      <w:pPr>
        <w:numPr>
          <w:ilvl w:val="0"/>
          <w:numId w:val="23"/>
        </w:numPr>
      </w:pPr>
      <w:r>
        <w:t>min e max recenti;</w:t>
      </w:r>
    </w:p>
    <w:p w14:paraId="70AA357B" w14:textId="77777777" w:rsidR="000854B7" w:rsidRDefault="008242CC" w:rsidP="008242CC">
      <w:pPr>
        <w:numPr>
          <w:ilvl w:val="0"/>
          <w:numId w:val="23"/>
        </w:numPr>
      </w:pPr>
      <w:r>
        <w:t>ritorno 30d;</w:t>
      </w:r>
    </w:p>
    <w:p w14:paraId="4CD29F67" w14:textId="77777777" w:rsidR="000854B7" w:rsidRDefault="008242CC" w:rsidP="008242CC">
      <w:pPr>
        <w:numPr>
          <w:ilvl w:val="0"/>
          <w:numId w:val="23"/>
        </w:numPr>
      </w:pPr>
      <w:r>
        <w:t>volatilità 30d.</w:t>
      </w:r>
    </w:p>
    <w:p w14:paraId="473A05AA" w14:textId="77777777" w:rsidR="000854B7" w:rsidRPr="00BE3538" w:rsidRDefault="008242CC">
      <w:pPr>
        <w:pStyle w:val="Heading2"/>
        <w:rPr>
          <w:lang w:val="it-IT"/>
        </w:rPr>
      </w:pPr>
      <w:bookmarkStart w:id="169" w:name="_Toc236387297"/>
      <w:r>
        <w:rPr>
          <w:lang w:val="it-IT"/>
        </w:rPr>
        <w:t>16.5 Modulo di classificazione direzionale (opt-in)</w:t>
      </w:r>
      <w:bookmarkEnd w:id="169"/>
    </w:p>
    <w:p w14:paraId="17F81D08" w14:textId="77777777" w:rsidR="000854B7" w:rsidRPr="00BE3538" w:rsidRDefault="008242CC">
      <w:pPr>
        <w:pStyle w:val="FirstParagraph"/>
        <w:rPr>
          <w:lang w:val="it-IT"/>
        </w:rPr>
      </w:pPr>
      <w:r>
        <w:rPr>
          <w:lang w:val="it-IT"/>
        </w:rPr>
        <w:t>Il sistema espone un modulo opzionale di classificazione direzionale, attivabile su richiesta esplicita. Il modulo stima esclusivamente la probabilità che il prezzo di chiusura target sia superiore al prezzo di chiusura di riferimento (l’ultimo close osservato). Non è un segnale operativo, non è una raccomandazione e non produce indicazioni di acquisto, vendita o mantenimento. Quando il modulo non è attivo, il blocco direzionale resta presente nel risultato come non disponibile, con motivazione «disattivato su richiesta», senza alcun calcolo.</w:t>
      </w:r>
    </w:p>
    <w:p w14:paraId="247E8051" w14:textId="77777777" w:rsidR="000854B7" w:rsidRPr="00BE3538" w:rsidRDefault="008242CC">
      <w:pPr>
        <w:rPr>
          <w:lang w:val="it-IT"/>
        </w:rPr>
      </w:pPr>
      <w:r>
        <w:rPr>
          <w:lang w:val="it-IT"/>
        </w:rPr>
        <w:t>Il modulo riutilizza la storia di validazione walk-forward già prodotta dalla pipeline (le stesse coppie previsione ensemble / realizzato / riferimento naive descritte nelle sezioni 16.1 e 16.2) e richiede una libreria di machine learning; in sua assenza il blocco è marcato non disponibile per «libreria non installata».</w:t>
      </w:r>
    </w:p>
    <w:p w14:paraId="240D770C" w14:textId="77777777" w:rsidR="000854B7" w:rsidRPr="00BE3538" w:rsidRDefault="008242CC">
      <w:pPr>
        <w:pStyle w:val="Heading2"/>
        <w:rPr>
          <w:lang w:val="it-IT"/>
        </w:rPr>
      </w:pPr>
      <w:bookmarkStart w:id="170" w:name="_Toc236387298"/>
      <w:r>
        <w:rPr>
          <w:lang w:val="it-IT"/>
        </w:rPr>
        <w:t>16.6 Storia walk-forward dedicata e selezione atomica della tripla</w:t>
      </w:r>
      <w:bookmarkEnd w:id="170"/>
    </w:p>
    <w:p w14:paraId="339CD61C" w14:textId="77777777" w:rsidR="000854B7" w:rsidRPr="00BE3538" w:rsidRDefault="008242CC">
      <w:pPr>
        <w:pStyle w:val="FirstParagraph"/>
        <w:rPr>
          <w:lang w:val="it-IT"/>
        </w:rPr>
      </w:pPr>
      <w:r>
        <w:rPr>
          <w:lang w:val="it-IT"/>
        </w:rPr>
        <w:t xml:space="preserve">Quando la storia walk-forward dell’ensemble completo contiene un numero insufficiente di osservazioni per una validazione direzionale significativa, la piattaforma calcola una storia dedicata più densa, governata da una geometria adattiva all’orizzonte. I profili rapido, medio, lungo e molto lungo prevedono rispettivamente 43, 61, 81 e 101 anchor grezzi. Tali valori vengono aumentati quando necessario per garantire campioni minimi di validazione rispettivamente pari a 15, 18, 22 e 25 osservazioni. Il passo fra gli anchor è derivato dall’orizzonte e non può superarlo. I valori generali di ampiezza 200 e passo 3 restano applicabili esclusivamente come soluzione di riserva per profili non riconosciuti. Questa storia dedicata non influisce sulla calibrazione degli intervalli di predizione. Il numero effettivo di anchor è il massimo tra il valore previsto dal profilo, la numerosità minima complessiva e quattro volte il </w:t>
      </w:r>
      <w:r>
        <w:rPr>
          <w:lang w:val="it-IT"/>
        </w:rPr>
        <w:lastRenderedPageBreak/>
        <w:t>minimo del campione di validazione più uno. Con i parametri correnti, i valori effettivi sono rispettivamente 61, 73, 89 e 101.</w:t>
      </w:r>
    </w:p>
    <w:p w14:paraId="22CEC657" w14:textId="77777777" w:rsidR="000854B7" w:rsidRPr="00BE3538" w:rsidRDefault="008242CC">
      <w:pPr>
        <w:rPr>
          <w:lang w:val="it-IT"/>
        </w:rPr>
      </w:pPr>
      <w:r>
        <w:rPr>
          <w:lang w:val="it-IT"/>
        </w:rPr>
        <w:t>La storia è composta da tre serie allineate per anchor: previsioni, valori realizzati e riferimenti del benchmark Naive. La selezione tra storia dedicata e storia dell’ensemble completo è atomica: la tripla dedicata viene usata solo se tutte e tre le serie sono presenti, non vuote e di uguale lunghezza; in caso contrario si usano tutte e tre le serie dell’ensemble completo. Non è mai ammessa una selezione per-serie, che potrebbe accoppiare previsioni di una griglia di anchor con riferimenti di un’altra, producendo etichette errate senza alcun errore esplicito. La stessa regola vale per il riuso della cache: una tripla dedicata in cache viene riutilizzata solo se previsioni, realizzati e riferimenti naive sono tutti presenti e di pari lunghezza; una tripla parziale viene rifiutata e si ricade in modo sicuro sulla storia completa o sul ricalcolo.</w:t>
      </w:r>
    </w:p>
    <w:p w14:paraId="719BCD19" w14:textId="77777777" w:rsidR="000854B7" w:rsidRPr="00BE3538" w:rsidRDefault="008242CC">
      <w:pPr>
        <w:rPr>
          <w:lang w:val="it-IT"/>
        </w:rPr>
      </w:pPr>
      <w:r>
        <w:rPr>
          <w:lang w:val="it-IT"/>
        </w:rPr>
        <w:t>La preferenza fra storia dell’ensemble completo e storia dedicata più densa usa un doppio criterio corretto per sovrapposizione: la storia dell’ensemble completo viene usata come storia direzionale solo se è almeno equivalente su entrambi i conteggi — numero nominale di righe e numerosità effettiva corretta per sovrapposizione (sezione 16.9), ciascuna calcolata con il rispettivo passo degli anchor. Il confronto basato soltanto sul numero nominale di righe può selezionare una storia meno informativa sugli orizzonti lunghi. Per esempio, 51 anchor giornalieri coprono uno span di 50 giorni, mentre 43 anchor con passo pari a 3 coprono uno span di 126 giorni. La seconda configurazione può quindi fornire una numerosità effettiva corretta per sovrapposizione superiore, pur contenendo meno righe nominali.</w:t>
      </w:r>
    </w:p>
    <w:p w14:paraId="01181B97" w14:textId="77777777" w:rsidR="000854B7" w:rsidRPr="00BE3538" w:rsidRDefault="008242CC">
      <w:pPr>
        <w:rPr>
          <w:lang w:val="it-IT"/>
        </w:rPr>
      </w:pPr>
      <w:r>
        <w:rPr>
          <w:lang w:val="it-IT"/>
        </w:rPr>
        <w:t>Il passo degli anchor della storia selezionata viene propagato a valle insieme alla storia stessa: la fase di elaborazione degli intervalli di predizione espone sia il passo del walk-forward completo sia quello della storia dedicata, e il modulo direzionale riceve il passo coerente con la tripla effettivamente selezionata. Questo passo guida sia il purge gap della validazione cronologica (sezione 16.8) sia la numerosità effettiva corretta per sovrapposizione (sezione 16.9). La cache della storia dedicata memorizza anche il passo con cui la storia è stata calcolata; le registrazioni della cache precedenti, prive di questo campo, ricadono sul passo configurato corrente. Le soglie che governano la geometria della storia dedicata (campioni minimi, numerosità effettiva minima, holdout minimo per profilo) sono dichiarate nella configurazione centrale; i parametri di configurazione esterni continuano a sovrascriverne i default, mentre ampiezza e passo effettivi sono derivati per profilo e orizzonte come descritto sopra.</w:t>
      </w:r>
    </w:p>
    <w:p w14:paraId="14E72BBA" w14:textId="77777777" w:rsidR="000854B7" w:rsidRPr="00BE3538" w:rsidRDefault="008242CC">
      <w:pPr>
        <w:pStyle w:val="Heading2"/>
        <w:rPr>
          <w:lang w:val="it-IT"/>
        </w:rPr>
      </w:pPr>
      <w:bookmarkStart w:id="171" w:name="_Toc236387299"/>
      <w:r>
        <w:rPr>
          <w:lang w:val="it-IT"/>
        </w:rPr>
        <w:t>16.7 Evento target e feature</w:t>
      </w:r>
      <w:bookmarkEnd w:id="171"/>
    </w:p>
    <w:p w14:paraId="03853712" w14:textId="77777777" w:rsidR="000854B7" w:rsidRPr="00BE3538" w:rsidRDefault="008242CC">
      <w:pPr>
        <w:pStyle w:val="FirstParagraph"/>
        <w:rPr>
          <w:lang w:val="it-IT"/>
        </w:rPr>
      </w:pPr>
      <w:r>
        <w:rPr>
          <w:lang w:val="it-IT"/>
        </w:rPr>
        <w:t>Per ogni anchor storico al tempo t, con realizzo al tempo t+H, l’evento binario è definito come:</w:t>
      </w:r>
    </w:p>
    <w:p w14:paraId="289E6ADF" w14:textId="77777777" w:rsidR="000854B7" w:rsidRDefault="008242CC" w:rsidP="008242CC">
      <w:pPr>
        <w:numPr>
          <w:ilvl w:val="0"/>
          <w:numId w:val="23"/>
        </w:numPr>
        <w:rPr>
          <w:lang w:val="it-IT"/>
        </w:rPr>
      </w:pPr>
      <w:r>
        <w:rPr>
          <w:lang w:val="it-IT"/>
        </w:rPr>
        <w:t>y = 1 se il prezzo realizzato in t+H è superiore al prezzo di riferimento dell’anchor (l’ultimo close osservato in t, cioè la previsione naive / Random Walk);</w:t>
      </w:r>
    </w:p>
    <w:p w14:paraId="6076A71E" w14:textId="77777777" w:rsidR="000854B7" w:rsidRDefault="008242CC" w:rsidP="008242CC">
      <w:pPr>
        <w:numPr>
          <w:ilvl w:val="0"/>
          <w:numId w:val="23"/>
        </w:numPr>
        <w:rPr>
          <w:lang w:val="it-IT"/>
        </w:rPr>
      </w:pPr>
      <w:r>
        <w:rPr>
          <w:lang w:val="it-IT"/>
        </w:rPr>
        <w:t>y = 0 altrimenti.</w:t>
      </w:r>
    </w:p>
    <w:p w14:paraId="42F611A3" w14:textId="77777777" w:rsidR="000854B7" w:rsidRPr="00BE3538" w:rsidRDefault="008242CC">
      <w:pPr>
        <w:rPr>
          <w:lang w:val="it-IT"/>
        </w:rPr>
      </w:pPr>
      <w:r>
        <w:rPr>
          <w:lang w:val="it-IT"/>
        </w:rPr>
        <w:t>L’evento storico e l’evento pubblicato, P(target &gt; ref), coincidono per definizione. Prima del calcolo viene applicata una maschera di validità che richiede previsioni, realizzati e riferimenti tutti finiti e strettamente positivi.</w:t>
      </w:r>
    </w:p>
    <w:p w14:paraId="750F7360" w14:textId="77777777" w:rsidR="000854B7" w:rsidRPr="00BE3538" w:rsidRDefault="008242CC">
      <w:pPr>
        <w:rPr>
          <w:lang w:val="it-IT"/>
        </w:rPr>
      </w:pPr>
      <w:r>
        <w:rPr>
          <w:lang w:val="it-IT"/>
        </w:rPr>
        <w:lastRenderedPageBreak/>
        <w:t>La feature è una sola: il log-return implicito della previsione, log(previsione / riferimento). Una regressione logistica a feature singola sul log-return implicito coincide con una calibrazione di Platt monotòna del rendimento previsto: una mappa a due parametri, monotòna e auditabile, dalla magnitudine firmata del forecast alla probabilità dell’evento. Le feature aggiuntive usate in passato (valore assoluto del log-return e segno della direzione) sono state rimosse perché funzioni deterministiche della stessa quantità, non identificabili alle numerosità effettive disponibili.</w:t>
      </w:r>
    </w:p>
    <w:p w14:paraId="6CCA2FEB" w14:textId="77777777" w:rsidR="000854B7" w:rsidRPr="00BE3538" w:rsidRDefault="008242CC">
      <w:pPr>
        <w:pStyle w:val="Heading2"/>
        <w:rPr>
          <w:lang w:val="it-IT"/>
        </w:rPr>
      </w:pPr>
      <w:bookmarkStart w:id="172" w:name="_Toc236387300"/>
      <w:r>
        <w:rPr>
          <w:lang w:val="it-IT"/>
        </w:rPr>
        <w:t>16.8 Modello e validazione cronologica con purge gap</w:t>
      </w:r>
      <w:bookmarkEnd w:id="172"/>
    </w:p>
    <w:p w14:paraId="239D48ED" w14:textId="77777777" w:rsidR="000854B7" w:rsidRPr="00BE3538" w:rsidRDefault="008242CC">
      <w:pPr>
        <w:pStyle w:val="FirstParagraph"/>
        <w:rPr>
          <w:lang w:val="it-IT"/>
        </w:rPr>
      </w:pPr>
      <w:r>
        <w:rPr>
          <w:lang w:val="it-IT"/>
        </w:rPr>
        <w:t>Il modello che pubblica la probabilità è una regressione logistica non pesata e regolarizzata (standardizzazione delle feature seguita da una regressione logistica con ottimizzatore quasi-Newton, fino a 1000 iterazioni, regolarizzazione L2 con costante di regolarizzazione pari a 1,0). Non vengono usati pesi di classe: una logistica con pesi di classe equivale a stimare sotto un prior artificiale 50/50, spostando l’intercetta di circa il logaritmo del rapporto fra osservazioni negative e positive, e renderebbe non calibrate sia le probabilità pubblicate sia le metriche di Brier e log loss. La calibrazione alla frequenza empirica dell’evento è invece la proprietà richiesta a un prodotto di probabilità.</w:t>
      </w:r>
    </w:p>
    <w:p w14:paraId="64037DFE" w14:textId="77777777" w:rsidR="000854B7" w:rsidRPr="00BE3538" w:rsidRDefault="008242CC">
      <w:pPr>
        <w:rPr>
          <w:lang w:val="it-IT"/>
        </w:rPr>
      </w:pPr>
      <w:r>
        <w:rPr>
          <w:lang w:val="it-IT"/>
        </w:rPr>
        <w:t>La validazione è un holdout cronologico con purga. Gli anchor la cui finestra di realizzo si sovrappone al periodo di training vengono rimossi tramite un purge gap, dove s indica il passo fra anchor consecutivi, pari a</w:t>
      </w:r>
      <m:oMath>
        <m:d>
          <m:dPr>
            <m:begChr m:val="⌈"/>
            <m:endChr m:val="⌉"/>
            <m:ctrlPr>
              <w:rPr>
                <w:rFonts w:ascii="Cambria Math" w:hAnsi="Cambria Math"/>
              </w:rPr>
            </m:ctrlPr>
          </m:dPr>
          <m:e>
            <m:f>
              <m:fPr>
                <m:ctrlPr>
                  <w:rPr>
                    <w:rFonts w:ascii="Cambria Math" w:hAnsi="Cambria Math"/>
                  </w:rPr>
                </m:ctrlPr>
              </m:fPr>
              <m:num>
                <m:r>
                  <w:rPr>
                    <w:rFonts w:ascii="Cambria Math" w:hAnsi="Cambria Math"/>
                  </w:rPr>
                  <m:t>H</m:t>
                </m:r>
              </m:num>
              <m:den>
                <m:r>
                  <w:rPr>
                    <w:rFonts w:ascii="Cambria Math" w:hAnsi="Cambria Math"/>
                  </w:rPr>
                  <m:t>s</m:t>
                </m:r>
              </m:den>
            </m:f>
          </m:e>
        </m:d>
        <m:r>
          <m:rPr>
            <m:sty m:val="p"/>
          </m:rPr>
          <w:rPr>
            <w:rFonts w:ascii="Cambria Math" w:hAnsi="Cambria Math"/>
          </w:rPr>
          <m:t>- 1</m:t>
        </m:r>
      </m:oMath>
      <w:r>
        <w:rPr>
          <w:lang w:val="it-IT"/>
        </w:rPr>
        <w:t xml:space="preserve"> anchor tra fine training e inizio test, così che le metriche di holdout non siano gonfiate dalla condivisione dello stesso percorso di prezzo. Lo split è circa 75/25, con training minimo di 20 osservazioni e presenza di entrambe le classi nel training. Lo split è scelto solo sulle etichette di training: se la finestra di test risulta a classe singola, la validazione è riportata come non disponibile (insieme di test a classe singola), perché l’accuratezza su un test a classe unica misura solo la previsione della classe maggioritaria. Su orizzonti lunghi con storia breve la validazione diventa legittimamente non disponibile, ed è l’esito corretto e dichiarato.</w:t>
      </w:r>
    </w:p>
    <w:p w14:paraId="75056791" w14:textId="77777777" w:rsidR="000854B7" w:rsidRPr="00BE3538" w:rsidRDefault="008242CC">
      <w:pPr>
        <w:rPr>
          <w:lang w:val="it-IT"/>
        </w:rPr>
      </w:pPr>
      <w:r>
        <w:rPr>
          <w:lang w:val="it-IT"/>
        </w:rPr>
        <w:t xml:space="preserve">Sul test set la validazione produce: accuratezza, balanced accuracy, Brier score, log loss, AUC, oltre alla probabilità climatologica (la frequenza di base del solo periodo di training, nota ex ante e senza look-ahead), al Brier climatologico e al </w:t>
      </w:r>
    </w:p>
    <w:p w14:paraId="6B630DE6" w14:textId="77777777" w:rsidR="000854B7" w:rsidRDefault="00383D83">
      <w:pPr>
        <w:pStyle w:val="BodyText"/>
      </w:pPr>
      <m:oMathPara>
        <m:oMathParaPr>
          <m:jc m:val="center"/>
        </m:oMathParaPr>
        <m:oMath>
          <m:r>
            <w:rPr>
              <w:rFonts w:ascii="Cambria Math" w:hAnsi="Cambria Math"/>
            </w:rPr>
            <m:t>BSS</m:t>
          </m:r>
          <m:r>
            <m:rPr>
              <m:sty m:val="p"/>
            </m:rPr>
            <w:rPr>
              <w:rFonts w:ascii="Cambria Math" w:hAnsi="Cambria Math"/>
            </w:rPr>
            <m:t>=1 -</m:t>
          </m:r>
          <m:f>
            <m:fPr>
              <m:ctrlPr>
                <w:rPr>
                  <w:rFonts w:ascii="Cambria Math" w:hAnsi="Cambria Math"/>
                </w:rPr>
              </m:ctrlPr>
            </m:fPr>
            <m:num>
              <m:sSub>
                <m:sSubPr>
                  <m:ctrlPr>
                    <w:rPr>
                      <w:rFonts w:ascii="Cambria Math" w:hAnsi="Cambria Math"/>
                    </w:rPr>
                  </m:ctrlPr>
                </m:sSubPr>
                <m:e>
                  <m:r>
                    <w:rPr>
                      <w:rFonts w:ascii="Cambria Math" w:hAnsi="Cambria Math"/>
                    </w:rPr>
                    <m:t>Brier</m:t>
                  </m:r>
                </m:e>
                <m:sub>
                  <m:r>
                    <w:rPr>
                      <w:rFonts w:ascii="Cambria Math" w:hAnsi="Cambria Math"/>
                    </w:rPr>
                    <m:t>modello</m:t>
                  </m:r>
                </m:sub>
              </m:sSub>
            </m:num>
            <m:den>
              <m:sSub>
                <m:sSubPr>
                  <m:ctrlPr>
                    <w:rPr>
                      <w:rFonts w:ascii="Cambria Math" w:hAnsi="Cambria Math"/>
                    </w:rPr>
                  </m:ctrlPr>
                </m:sSubPr>
                <m:e>
                  <m:r>
                    <w:rPr>
                      <w:rFonts w:ascii="Cambria Math" w:hAnsi="Cambria Math"/>
                    </w:rPr>
                    <m:t>Brier</m:t>
                  </m:r>
                </m:e>
                <m:sub>
                  <m:r>
                    <w:rPr>
                      <w:rFonts w:ascii="Cambria Math" w:hAnsi="Cambria Math"/>
                    </w:rPr>
                    <m:t>climatologia</m:t>
                  </m:r>
                </m:sub>
              </m:sSub>
            </m:den>
          </m:f>
        </m:oMath>
      </m:oMathPara>
    </w:p>
    <w:p w14:paraId="521923DE" w14:textId="77777777" w:rsidR="000854B7" w:rsidRDefault="008242CC">
      <w:r>
        <w:t xml:space="preserve"> Il purge gap, lo step degli anchor e l’orizzonte sono riportati nel blocco di validazione per audit.</w:t>
      </w:r>
    </w:p>
    <w:p w14:paraId="2981EA78" w14:textId="77777777" w:rsidR="000854B7" w:rsidRPr="00BE3538" w:rsidRDefault="008242CC">
      <w:pPr>
        <w:pStyle w:val="Heading2"/>
        <w:rPr>
          <w:lang w:val="it-IT"/>
        </w:rPr>
      </w:pPr>
      <w:bookmarkStart w:id="173" w:name="_Toc236387301"/>
      <w:r>
        <w:rPr>
          <w:lang w:val="it-IT"/>
        </w:rPr>
        <w:t>16.9 Numerosità campionaria effettiva (overlap-adjusted)</w:t>
      </w:r>
      <w:bookmarkEnd w:id="173"/>
    </w:p>
    <w:p w14:paraId="780CC9DE" w14:textId="77777777" w:rsidR="000854B7" w:rsidRPr="00BE3538" w:rsidRDefault="008242CC">
      <w:pPr>
        <w:rPr>
          <w:lang w:val="it-IT"/>
        </w:rPr>
      </w:pPr>
      <w:r>
        <w:t>La numerosità campionaria effettiva corretta per sovrapposizione è calcolata mediante una regola intera e deterministica.</w:t>
      </w:r>
    </w:p>
    <w:p w14:paraId="1DA94668" w14:textId="77777777" w:rsidR="000854B7" w:rsidRDefault="008242CC">
      <w:r>
        <w:t>Quando il passo fra gli anchor è maggiore o uguale all’orizzonte, la numerosità effettiva coincide con il numero nominale delle osservazioni.</w:t>
      </w:r>
    </w:p>
    <w:p w14:paraId="01FEC7E5" w14:textId="77777777" w:rsidR="000854B7" w:rsidRDefault="008242CC">
      <w:r>
        <w:lastRenderedPageBreak/>
        <w:t>Quando il passo è inferiore all’orizzonte, la numerosità effettiva è pari al minimo fra il numero nominale delle osservazioni e il numero di orizzonti completi contenuti nello span temporale osservato, aumentato di uno.</w:t>
      </w:r>
    </w:p>
    <w:p w14:paraId="264753F1" w14:textId="77777777" w:rsidR="000854B7" w:rsidRDefault="00C0462E">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eff</m:t>
                  </m:r>
                </m:sub>
              </m:sSub>
              <m:r>
                <m:rPr>
                  <m:sty m:val="p"/>
                </m:rPr>
                <w:rPr>
                  <w:rFonts w:ascii="Cambria Math" w:hAnsi="Cambria Math"/>
                </w:rPr>
                <m:t>=n,  se s ≥ H</m:t>
              </m:r>
            </m:e>
            <m:e>
              <m:sSub>
                <m:sSubPr>
                  <m:ctrlPr>
                    <w:rPr>
                      <w:rFonts w:ascii="Cambria Math" w:hAnsi="Cambria Math"/>
                    </w:rPr>
                  </m:ctrlPr>
                </m:sSubPr>
                <m:e>
                  <m:r>
                    <w:rPr>
                      <w:rFonts w:ascii="Cambria Math" w:hAnsi="Cambria Math"/>
                    </w:rPr>
                    <m:t>n</m:t>
                  </m:r>
                </m:e>
                <m:sub>
                  <m:r>
                    <w:rPr>
                      <w:rFonts w:ascii="Cambria Math" w:hAnsi="Cambria Math"/>
                    </w:rPr>
                    <m:t>eff</m:t>
                  </m:r>
                </m:sub>
              </m:sSub>
              <m:r>
                <m:rPr>
                  <m:sty m:val="p"/>
                </m:rPr>
                <w:rPr>
                  <w:rFonts w:ascii="Cambria Math" w:hAnsi="Cambria Math"/>
                </w:rPr>
                <m:t>=</m:t>
              </m:r>
              <m:r>
                <w:rPr>
                  <w:rFonts w:ascii="Cambria Math" w:hAnsi="Cambria Math"/>
                </w:rPr>
                <m:t>min</m:t>
              </m:r>
              <m:d>
                <m:dPr>
                  <m:begChr m:val="{"/>
                  <m:sepChr m:val=","/>
                  <m:endChr m:val="}"/>
                  <m:ctrlPr>
                    <w:rPr>
                      <w:rFonts w:ascii="Cambria Math" w:hAnsi="Cambria Math"/>
                    </w:rPr>
                  </m:ctrlPr>
                </m:dPr>
                <m:e>
                  <m:r>
                    <w:rPr>
                      <w:rFonts w:ascii="Cambria Math" w:hAnsi="Cambria Math"/>
                    </w:rPr>
                    <m:t>n</m:t>
                  </m:r>
                </m:e>
                <m:e>
                  <m:d>
                    <m:dPr>
                      <m:begChr m:val="⌊"/>
                      <m:endChr m:val="⌋"/>
                      <m:ctrlPr>
                        <w:rPr>
                          <w:rFonts w:ascii="Cambria Math" w:hAnsi="Cambria Math"/>
                        </w:rPr>
                      </m:ctrlPr>
                    </m:dPr>
                    <m:e>
                      <m:f>
                        <m:fPr>
                          <m:ctrlPr>
                            <w:rPr>
                              <w:rFonts w:ascii="Cambria Math" w:hAnsi="Cambria Math"/>
                            </w:rPr>
                          </m:ctrlPr>
                        </m:fPr>
                        <m:num>
                          <m:r>
                            <w:rPr>
                              <w:rFonts w:ascii="Cambria Math" w:hAnsi="Cambria Math"/>
                            </w:rPr>
                            <m:t>(n-1)s</m:t>
                          </m:r>
                        </m:num>
                        <m:den>
                          <m:r>
                            <w:rPr>
                              <w:rFonts w:ascii="Cambria Math" w:hAnsi="Cambria Math"/>
                            </w:rPr>
                            <m:t>H</m:t>
                          </m:r>
                        </m:den>
                      </m:f>
                    </m:e>
                  </m:d>
                  <m:r>
                    <m:rPr>
                      <m:sty m:val="p"/>
                    </m:rPr>
                    <w:rPr>
                      <w:rFonts w:ascii="Cambria Math" w:hAnsi="Cambria Math"/>
                    </w:rPr>
                    <m:t>+1</m:t>
                  </m:r>
                </m:e>
              </m:d>
              <m:r>
                <m:rPr>
                  <m:sty m:val="p"/>
                </m:rPr>
                <w:rPr>
                  <w:rFonts w:ascii="Cambria Math" w:hAnsi="Cambria Math"/>
                </w:rPr>
                <m:t>,  se s &lt; H</m:t>
              </m:r>
            </m:e>
          </m:eqArr>
        </m:oMath>
      </m:oMathPara>
    </w:p>
    <w:p w14:paraId="196BFD6D" w14:textId="77777777" w:rsidR="000854B7" w:rsidRDefault="008242CC">
      <w:r>
        <w:t>Il risultato è un numero intero e non viene ottenuto tramite arrotondamento al valore più vicino.</w:t>
      </w:r>
    </w:p>
    <w:p w14:paraId="5EE603E8" w14:textId="77777777" w:rsidR="000854B7" w:rsidRPr="00BE3538" w:rsidRDefault="008242CC">
      <w:pPr>
        <w:pStyle w:val="Heading2"/>
        <w:rPr>
          <w:lang w:val="it-IT"/>
        </w:rPr>
      </w:pPr>
      <w:bookmarkStart w:id="174" w:name="_Toc236387302"/>
      <w:r>
        <w:rPr>
          <w:lang w:val="it-IT"/>
        </w:rPr>
        <w:t>16.10 Gate di affidabilità: pubblicazione o soppressione della probabilità</w:t>
      </w:r>
      <w:bookmarkEnd w:id="174"/>
    </w:p>
    <w:p w14:paraId="3930B5CC" w14:textId="77777777" w:rsidR="000854B7" w:rsidRPr="00BE3538" w:rsidRDefault="008242CC">
      <w:pPr>
        <w:pStyle w:val="FirstParagraph"/>
        <w:rPr>
          <w:lang w:val="it-IT"/>
        </w:rPr>
      </w:pPr>
      <w:r>
        <w:rPr>
          <w:lang w:val="it-IT"/>
        </w:rPr>
        <w:t>La probabilità prospettica viene pubblicata solo se sono superati tutti i seguenti controlli, i cui valori-soglia sono dichiarati in configurazione (sezione 16.12):</w:t>
      </w:r>
    </w:p>
    <w:p w14:paraId="1CBB16C6" w14:textId="77777777" w:rsidR="000854B7" w:rsidRDefault="008242CC" w:rsidP="008242CC">
      <w:pPr>
        <w:numPr>
          <w:ilvl w:val="0"/>
          <w:numId w:val="23"/>
        </w:numPr>
        <w:rPr>
          <w:lang w:val="it-IT"/>
        </w:rPr>
      </w:pPr>
      <w:r>
        <w:rPr>
          <w:lang w:val="it-IT"/>
        </w:rPr>
        <w:t>numerosità nominale ≥ soglia minima di campioni;</w:t>
      </w:r>
    </w:p>
    <w:p w14:paraId="50655E3B" w14:textId="77777777" w:rsidR="000854B7" w:rsidRDefault="008242CC" w:rsidP="008242CC">
      <w:pPr>
        <w:numPr>
          <w:ilvl w:val="0"/>
          <w:numId w:val="23"/>
        </w:numPr>
        <w:rPr>
          <w:lang w:val="it-IT"/>
        </w:rPr>
      </w:pPr>
      <w:r>
        <w:rPr>
          <w:lang w:val="it-IT"/>
        </w:rPr>
        <w:t>presenza di entrambe le classi nella storia;</w:t>
      </w:r>
    </w:p>
    <w:p w14:paraId="5BDCCF07" w14:textId="77777777" w:rsidR="000854B7" w:rsidRDefault="008242CC" w:rsidP="008242CC">
      <w:pPr>
        <w:numPr>
          <w:ilvl w:val="0"/>
          <w:numId w:val="23"/>
        </w:numPr>
        <w:rPr>
          <w:lang w:val="it-IT"/>
        </w:rPr>
      </w:pPr>
      <w:r>
        <w:rPr>
          <w:lang w:val="it-IT"/>
        </w:rPr>
        <w:t>ciascuna classe ≥ soglia minima per classe (altrimenti l’esito è segnalato come bilanciamento di classe insufficiente);</w:t>
      </w:r>
    </w:p>
    <w:p w14:paraId="40FF3854" w14:textId="77777777" w:rsidR="000854B7" w:rsidRDefault="008242CC" w:rsidP="008242CC">
      <w:pPr>
        <w:numPr>
          <w:ilvl w:val="0"/>
          <w:numId w:val="23"/>
        </w:numPr>
        <w:rPr>
          <w:lang w:val="it-IT"/>
        </w:rPr>
      </w:pPr>
      <w:r>
        <w:rPr>
          <w:lang w:val="it-IT"/>
        </w:rPr>
        <w:t>validazione cronologica disponibile;</w:t>
      </w:r>
    </w:p>
    <w:p w14:paraId="1A20C0DD" w14:textId="77777777" w:rsidR="000854B7" w:rsidRDefault="008242CC" w:rsidP="008242CC">
      <w:pPr>
        <w:numPr>
          <w:ilvl w:val="0"/>
          <w:numId w:val="23"/>
        </w:numPr>
        <w:rPr>
          <w:lang w:val="it-IT"/>
        </w:rPr>
      </w:pPr>
      <w:r>
        <w:rPr>
          <w:lang w:val="it-IT"/>
        </w:rPr>
        <w:t>accuratezza di validazione ≥ soglia minima;</w:t>
      </w:r>
    </w:p>
    <w:p w14:paraId="7593A9A9" w14:textId="77777777" w:rsidR="000854B7" w:rsidRDefault="008242CC" w:rsidP="008242CC">
      <w:pPr>
        <w:numPr>
          <w:ilvl w:val="0"/>
          <w:numId w:val="23"/>
        </w:numPr>
        <w:rPr>
          <w:lang w:val="it-IT"/>
        </w:rPr>
      </w:pPr>
      <w:r>
        <w:rPr>
          <w:lang w:val="it-IT"/>
        </w:rPr>
        <w:t>balanced accuracy ≥ soglia minima, quando definita;</w:t>
      </w:r>
    </w:p>
    <w:p w14:paraId="3CE0AE42" w14:textId="77777777" w:rsidR="000854B7" w:rsidRDefault="008242CC" w:rsidP="008242CC">
      <w:pPr>
        <w:numPr>
          <w:ilvl w:val="0"/>
          <w:numId w:val="23"/>
        </w:numPr>
        <w:rPr>
          <w:lang w:val="it-IT"/>
        </w:rPr>
      </w:pPr>
      <w:r>
        <w:rPr>
          <w:lang w:val="it-IT"/>
        </w:rPr>
        <w:t>Brier skill score ≥ soglia minima, quando definito;</w:t>
      </w:r>
    </w:p>
    <w:p w14:paraId="1289E92E" w14:textId="77777777" w:rsidR="000854B7" w:rsidRDefault="008242CC" w:rsidP="008242CC">
      <w:pPr>
        <w:numPr>
          <w:ilvl w:val="0"/>
          <w:numId w:val="23"/>
        </w:numPr>
        <w:rPr>
          <w:lang w:val="it-IT"/>
        </w:rPr>
      </w:pPr>
      <w:r>
        <w:rPr>
          <w:lang w:val="it-IT"/>
        </w:rPr>
        <w:t>numerosità effettiva ≥ soglia minima.</w:t>
      </w:r>
    </w:p>
    <w:p w14:paraId="4FC33CF6" w14:textId="77777777" w:rsidR="000854B7" w:rsidRPr="00BE3538" w:rsidRDefault="008242CC">
      <w:pPr>
        <w:rPr>
          <w:lang w:val="it-IT"/>
        </w:rPr>
      </w:pPr>
      <w:r>
        <w:rPr>
          <w:lang w:val="it-IT"/>
        </w:rPr>
        <w:t>Se almeno un controllo non è superato, il blocco resta disponibile ma la probabilità è soppressa: la probabilità che il prezzo superi il riferimento resta non valorizzata, la probabilità è marcata non affidabile, con motivazione «probabilità calcolata ma soppressa per validazione non affidabile» e l’elenco auditabile delle cause. Il sistema preferisce sempre “non stimabile” o “soppressa per affidabilità” a un numero fragile.</w:t>
      </w:r>
    </w:p>
    <w:p w14:paraId="10068C80" w14:textId="77777777" w:rsidR="000854B7" w:rsidRPr="00BE3538" w:rsidRDefault="008242CC">
      <w:pPr>
        <w:rPr>
          <w:lang w:val="it-IT"/>
        </w:rPr>
      </w:pPr>
      <w:r>
        <w:rPr>
          <w:lang w:val="it-IT"/>
        </w:rPr>
        <w:t>Se tutti i controlli sono superati, il modello finale viene addestrato su tutte le osservazioni valide e produce: la probabilità che il prezzo target superi il riferimento P(target &gt; ref), la probabilità complementare, la confidenza direzionale come massimo fra le due e la direzione prevista (sopra oppure pari/sotto il prezzo corrente). La probabilità viene marcata affidabile.</w:t>
      </w:r>
    </w:p>
    <w:p w14:paraId="6648C9E3" w14:textId="77777777" w:rsidR="000854B7" w:rsidRPr="00BE3538" w:rsidRDefault="008242CC">
      <w:pPr>
        <w:pStyle w:val="Heading2"/>
        <w:rPr>
          <w:lang w:val="it-IT"/>
        </w:rPr>
      </w:pPr>
      <w:bookmarkStart w:id="175" w:name="_Toc236387303"/>
      <w:r>
        <w:rPr>
          <w:lang w:val="it-IT"/>
        </w:rPr>
        <w:t>16.11 Diagnostiche aggiuntive (hit rate grezzo e stima empirica di Jeffreys)</w:t>
      </w:r>
      <w:bookmarkEnd w:id="175"/>
    </w:p>
    <w:p w14:paraId="1175FCEF" w14:textId="77777777" w:rsidR="000854B7" w:rsidRPr="00BE3538" w:rsidRDefault="008242CC">
      <w:pPr>
        <w:pStyle w:val="FirstParagraph"/>
        <w:rPr>
          <w:lang w:val="it-IT"/>
        </w:rPr>
      </w:pPr>
      <w:r>
        <w:rPr>
          <w:lang w:val="it-IT"/>
        </w:rPr>
        <w:t>Oltre alla probabilità del classificatore, il modulo espone due diagnostiche deterministiche, mai pubblicate come numero principale nel report cliente:</w:t>
      </w:r>
    </w:p>
    <w:p w14:paraId="76750CC6" w14:textId="77777777" w:rsidR="000854B7" w:rsidRDefault="008242CC" w:rsidP="008242CC">
      <w:pPr>
        <w:numPr>
          <w:ilvl w:val="0"/>
          <w:numId w:val="23"/>
        </w:numPr>
        <w:rPr>
          <w:lang w:val="it-IT"/>
        </w:rPr>
      </w:pPr>
      <w:r>
        <w:rPr>
          <w:lang w:val="it-IT"/>
        </w:rPr>
        <w:t xml:space="preserve">tasso di concordanza direzionale grezzo: la frequenza di concordanza tra direzione prevista dall’ensemble e direzione realizzata su ogni anchor storico, cioè la media dell’indicatore 1{previsione &gt; riferimento} uguale a 1{realizzato &gt; riferimento}. È il vero </w:t>
      </w:r>
      <w:r>
        <w:rPr>
          <w:lang w:val="it-IT"/>
        </w:rPr>
        <w:lastRenderedPageBreak/>
        <w:t>hit rate direzionale grezzo dell’ensemble, calcolato su campioni sovrapposti, distinto dall’accuratezza holdout del classificatore;</w:t>
      </w:r>
    </w:p>
    <w:p w14:paraId="037811BA" w14:textId="77777777" w:rsidR="000854B7" w:rsidRDefault="008242CC" w:rsidP="008242CC">
      <w:pPr>
        <w:numPr>
          <w:ilvl w:val="0"/>
          <w:numId w:val="23"/>
        </w:numPr>
        <w:rPr>
          <w:lang w:val="it-IT"/>
        </w:rPr>
      </w:pPr>
      <w:r>
        <w:rPr>
          <w:lang w:val="it-IT"/>
        </w:rPr>
        <w:t>probabilità empirica dell’evento: una stima empirica della probabilità dell’evento secondo il posterior di Jeffreys, (k + 0,5) / (m + 1), condizionata alle sole righe storiche la cui direzione di forecast coincide con quella della previsione corrente, accompagnata da un intervallo di credibilità Beta equal-tailed. È una stima empirica auditabile, marcata affidabile solo quando la sua numerosità effettiva supera la soglia minima, e non sostituisce la probabilità del classificatore nel report.</w:t>
      </w:r>
    </w:p>
    <w:p w14:paraId="304CC18C" w14:textId="77777777" w:rsidR="000854B7" w:rsidRPr="00BE3538" w:rsidRDefault="008242CC">
      <w:pPr>
        <w:pStyle w:val="Heading2"/>
        <w:rPr>
          <w:lang w:val="it-IT"/>
        </w:rPr>
      </w:pPr>
      <w:bookmarkStart w:id="176" w:name="_Toc236387304"/>
      <w:r>
        <w:rPr>
          <w:lang w:val="it-IT"/>
        </w:rPr>
        <w:t>16.12 Parametri di configurazione del modulo direzionale</w:t>
      </w:r>
      <w:bookmarkEnd w:id="176"/>
    </w:p>
    <w:p w14:paraId="0BA9DB73" w14:textId="77777777" w:rsidR="000854B7" w:rsidRPr="00BE3538" w:rsidRDefault="008242CC">
      <w:pPr>
        <w:pStyle w:val="FirstParagraph"/>
        <w:rPr>
          <w:lang w:val="it-IT"/>
        </w:rPr>
      </w:pPr>
      <w:r>
        <w:rPr>
          <w:lang w:val="it-IT"/>
        </w:rPr>
        <w:t>Tutte le soglie che decidono la pubblicazione o la soppressione della probabilità sono dichiarate nei parametri di configurazione e sovrascrivibili da variabile d’ambiente:</w:t>
      </w:r>
    </w:p>
    <w:p w14:paraId="0E54781D" w14:textId="77777777" w:rsidR="000854B7" w:rsidRDefault="008242CC" w:rsidP="008242CC">
      <w:pPr>
        <w:numPr>
          <w:ilvl w:val="0"/>
          <w:numId w:val="23"/>
        </w:numPr>
        <w:rPr>
          <w:lang w:val="it-IT"/>
        </w:rPr>
      </w:pPr>
      <w:r>
        <w:rPr>
          <w:lang w:val="it-IT"/>
        </w:rPr>
        <w:t>numerosità nominale minima (default 40);</w:t>
      </w:r>
    </w:p>
    <w:p w14:paraId="59909FE3" w14:textId="77777777" w:rsidR="000854B7" w:rsidRDefault="008242CC" w:rsidP="008242CC">
      <w:pPr>
        <w:numPr>
          <w:ilvl w:val="0"/>
          <w:numId w:val="23"/>
        </w:numPr>
        <w:rPr>
          <w:lang w:val="it-IT"/>
        </w:rPr>
      </w:pPr>
      <w:r>
        <w:rPr>
          <w:lang w:val="it-IT"/>
        </w:rPr>
        <w:t>osservazioni minime per ciascuna classe (default 5);</w:t>
      </w:r>
    </w:p>
    <w:p w14:paraId="1C52BFE1" w14:textId="77777777" w:rsidR="000854B7" w:rsidRDefault="008242CC" w:rsidP="008242CC">
      <w:pPr>
        <w:numPr>
          <w:ilvl w:val="0"/>
          <w:numId w:val="23"/>
        </w:numPr>
        <w:rPr>
          <w:lang w:val="it-IT"/>
        </w:rPr>
      </w:pPr>
      <w:r>
        <w:rPr>
          <w:lang w:val="it-IT"/>
        </w:rPr>
        <w:t>accuratezza di validazione minima (default 0,50);</w:t>
      </w:r>
    </w:p>
    <w:p w14:paraId="2D97CA3F" w14:textId="77777777" w:rsidR="000854B7" w:rsidRDefault="008242CC" w:rsidP="008242CC">
      <w:pPr>
        <w:numPr>
          <w:ilvl w:val="0"/>
          <w:numId w:val="23"/>
        </w:numPr>
        <w:rPr>
          <w:lang w:val="it-IT"/>
        </w:rPr>
      </w:pPr>
      <w:r>
        <w:rPr>
          <w:lang w:val="it-IT"/>
        </w:rPr>
        <w:t>balanced accuracy minima (default 0,50);</w:t>
      </w:r>
    </w:p>
    <w:p w14:paraId="33368C82" w14:textId="77777777" w:rsidR="000854B7" w:rsidRDefault="008242CC" w:rsidP="008242CC">
      <w:pPr>
        <w:numPr>
          <w:ilvl w:val="0"/>
          <w:numId w:val="23"/>
        </w:numPr>
        <w:rPr>
          <w:lang w:val="it-IT"/>
        </w:rPr>
      </w:pPr>
      <w:r>
        <w:rPr>
          <w:lang w:val="it-IT"/>
        </w:rPr>
        <w:t>numerosità effettiva minima corretta per sovrapposizione (default 10);</w:t>
      </w:r>
    </w:p>
    <w:p w14:paraId="4EB924DA" w14:textId="77777777" w:rsidR="000854B7" w:rsidRDefault="008242CC" w:rsidP="008242CC">
      <w:pPr>
        <w:numPr>
          <w:ilvl w:val="0"/>
          <w:numId w:val="23"/>
        </w:numPr>
        <w:rPr>
          <w:lang w:val="it-IT"/>
        </w:rPr>
      </w:pPr>
      <w:r>
        <w:rPr>
          <w:lang w:val="it-IT"/>
        </w:rPr>
        <w:t>Brier skill score minimo rispetto alla climatologia (default 0,0);</w:t>
      </w:r>
    </w:p>
    <w:p w14:paraId="2FC79FEE" w14:textId="77777777" w:rsidR="000854B7" w:rsidRDefault="008242CC" w:rsidP="008242CC">
      <w:pPr>
        <w:numPr>
          <w:ilvl w:val="0"/>
          <w:numId w:val="23"/>
        </w:numPr>
        <w:rPr>
          <w:lang w:val="it-IT"/>
        </w:rPr>
      </w:pPr>
      <w:r>
        <w:rPr>
          <w:lang w:val="it-IT"/>
        </w:rPr>
        <w:t>geometria della storia walk-forward dedicata: 43 anchor per il profilo rapido, 61 per il profilo medio, 81 per il profilo lungo e 101 per il profilo molto lungo, con passo adattivo all’orizzonte; i parametri di configurazione ampiezza 200 / passo 3 restano come fallback per profili non riconosciuti.</w:t>
      </w:r>
    </w:p>
    <w:p w14:paraId="184F340C" w14:textId="77777777" w:rsidR="000854B7" w:rsidRDefault="008242CC" w:rsidP="008242CC">
      <w:pPr>
        <w:numPr>
          <w:ilvl w:val="0"/>
          <w:numId w:val="23"/>
        </w:numPr>
        <w:rPr>
          <w:lang w:val="it-IT"/>
        </w:rPr>
      </w:pPr>
      <w:r>
        <w:rPr>
          <w:lang w:val="it-IT"/>
        </w:rPr>
        <w:t>attivazione della probabilità direzionale derivata dal modello, abilitata per impostazione predefinita mediante un controllo dedicato (sezione 16.13).</w:t>
      </w:r>
    </w:p>
    <w:p w14:paraId="318C67E2" w14:textId="77777777" w:rsidR="000854B7" w:rsidRPr="00BE3538" w:rsidRDefault="008242CC">
      <w:pPr>
        <w:rPr>
          <w:lang w:val="it-IT"/>
        </w:rPr>
      </w:pPr>
      <w:r>
        <w:rPr>
          <w:lang w:val="it-IT"/>
        </w:rPr>
        <w:t>Tutte le soglie del modulo, compresi i parametri della storia walk-forward dedicata e l’interruttore del fallback model-implied, sono dichiarati nella configurazione centrale del backend; i parametri di configurazione esterni possono sostituire i valori predefiniti, così che la politica di pubblicazione resti auditabile in un unico punto.</w:t>
      </w:r>
    </w:p>
    <w:p w14:paraId="727A136D" w14:textId="77777777" w:rsidR="000854B7" w:rsidRPr="00BE3538" w:rsidRDefault="008242CC">
      <w:pPr>
        <w:pStyle w:val="Heading2"/>
        <w:rPr>
          <w:lang w:val="it-IT"/>
        </w:rPr>
      </w:pPr>
      <w:bookmarkStart w:id="177" w:name="_Toc236387305"/>
      <w:r>
        <w:rPr>
          <w:lang w:val="it-IT"/>
        </w:rPr>
        <w:t>16.13 Probabilità direzionale derivata dal modello (fallback residuale)</w:t>
      </w:r>
      <w:bookmarkEnd w:id="177"/>
    </w:p>
    <w:p w14:paraId="504843FE" w14:textId="77777777" w:rsidR="000854B7" w:rsidRPr="00BE3538" w:rsidRDefault="008242CC">
      <w:pPr>
        <w:pStyle w:val="FirstParagraph"/>
        <w:rPr>
          <w:lang w:val="it-IT"/>
        </w:rPr>
      </w:pPr>
      <w:r>
        <w:rPr>
          <w:lang w:val="it-IT"/>
        </w:rPr>
        <w:t>Quando il modulo direzionale è attivo, accanto al classificatore validato la piattaforma calcola sempre anche una probabilità direzionale «derivata dal modello» (model-implied): una trasformazione deterministica della previsione puntuale pubblicata e della distribuzione calibrata degli errori di previsione walk-forward. Il calcolo riusa lo stesso motore della probabilità sul prezzo target richiesta dall’utente (sezione 15.2), con la soglia fissata al prezzo di riferimento: sui residui logaritmici de-biased ε0 = ε − mediana(ε), con ε = ln(realizzato / previsto), la probabilità pubblicata è P(target &gt; ref) = P(ε0 ≥ ln(R/F)), dove R è il prezzo di riferimento e F la previsione puntuale combinata.</w:t>
      </w:r>
    </w:p>
    <w:p w14:paraId="7F6549CD" w14:textId="77777777" w:rsidR="000854B7" w:rsidRPr="00BE3538" w:rsidRDefault="008242CC">
      <w:pPr>
        <w:rPr>
          <w:lang w:val="it-IT"/>
        </w:rPr>
      </w:pPr>
      <w:r>
        <w:rPr>
          <w:lang w:val="it-IT"/>
        </w:rPr>
        <w:lastRenderedPageBreak/>
        <w:t>Il fallback viene calcolato sulla storia walk-forward dell’ensemble completo — non sulla tripla dedicata della sezione 16.6 — per coerenza esatta con l’intervallo di predizione e con la probabilità sul prezzo target. Il suo stato epistemico coincide quindi con quello dell’intervallo di predizione (stessa distribuzione di residui): non è l’output di un classificatore validato in modo indipendente, è sempre dichiarato come non validato in modo indipendente, viene pubblicato sotto un’etichetta «derivata dal modello» separata e non valorizza mai il campo della probabilità validata. Il floor minimo di storia è lo stesso floor effettivo applicato alla probabilità sul prezzo target lato cliente: il minimo fra la soglia di storia minima del motore PI (default 50) e max(5, n/3), dove n è la lunghezza della storia walk-forward disponibile. Il blocco viene comunque calcolato a ogni run con modulo direzionale attivo, così che l’audit possa sempre confrontare i due metodi.</w:t>
      </w:r>
    </w:p>
    <w:p w14:paraId="6BCD3834" w14:textId="77777777" w:rsidR="000854B7" w:rsidRPr="00BE3538" w:rsidRDefault="008242CC">
      <w:pPr>
        <w:rPr>
          <w:lang w:val="it-IT"/>
        </w:rPr>
      </w:pPr>
      <w:r>
        <w:rPr>
          <w:lang w:val="it-IT"/>
        </w:rPr>
        <w:t>Convenzione sui pareggi: il motore conta i residui esattamente sulla soglia come «sopra» (modalità prezzo maggiore o uguale al target, sezione 15.2), mentre l’evento del classificatore è strettamente target &gt; riferimento; la discrepanza è confinata all’uguaglianza esatta di prezzo ed è sotto la precisione di visualizzazione.</w:t>
      </w:r>
    </w:p>
    <w:p w14:paraId="3AF2111C" w14:textId="77777777" w:rsidR="000854B7" w:rsidRPr="00BE3538" w:rsidRDefault="008242CC">
      <w:pPr>
        <w:rPr>
          <w:lang w:val="it-IT"/>
        </w:rPr>
      </w:pPr>
      <w:r>
        <w:rPr>
          <w:lang w:val="it-IT"/>
        </w:rPr>
        <w:t>Guardia di bordo a campione finito: un campione finito di residui non giustifica mai una probabilità pubblicata esattamente pari a 0% o 100%. Se il motore emette comunque un valore di bordo (anche dopo il fallback gaussiano zero-hit e il cap di certezza), il valore viene sostituito dalla media a posteriori di Jeffreys alla numerosità nominale dei residui: 0,5/(n+1) per il bordo inferiore e (n+0,5)/(n+1) per quello superiore. L’avvenuta applicazione della guardia è segnalata da un flag dedicato nelle diagnostiche.</w:t>
      </w:r>
    </w:p>
    <w:p w14:paraId="73874080" w14:textId="77777777" w:rsidR="000854B7" w:rsidRPr="00BE3538" w:rsidRDefault="008242CC">
      <w:pPr>
        <w:rPr>
          <w:lang w:val="it-IT"/>
        </w:rPr>
      </w:pPr>
      <w:r>
        <w:rPr>
          <w:lang w:val="it-IT"/>
        </w:rPr>
        <w:t>Intervallo di credibilità corretto per sovrapposizione: accanto alla probabilità viene emesso un intervallo di credibilità di Jeffreys equal-tailed al 95%, calcolato sul conteggio empirico di superamento riscalato alla numerosità effettiva corretta per sovrapposizione (stessa formula della sezione 16.9, applicata ai residui con il passo del walk-forward completo). La Wilson lower bound nominale resta riportata accanto per coerenza con il motore, ma tratta i residui sovrapposti come indipendenti e sovrastima la precisione sugli orizzonti lunghi: l’intervallo di Jeffreys sui conteggi effettivi è la dichiarazione di evidenza onesta su tali orizzonti.</w:t>
      </w:r>
    </w:p>
    <w:p w14:paraId="26C26CD5" w14:textId="77777777" w:rsidR="000854B7" w:rsidRPr="00BE3538" w:rsidRDefault="008242CC">
      <w:pPr>
        <w:rPr>
          <w:lang w:val="it-IT"/>
        </w:rPr>
      </w:pPr>
      <w:r>
        <w:rPr>
          <w:lang w:val="it-IT"/>
        </w:rPr>
        <w:t>Il blocco model-implied riporta inoltre: il metodo (superamento calibrato sui residui, centrato sulla previsione puntuale), il numero di residui nominali ed effettivi, la soglia logaritmica ln(R/F), il bias mediano logaritmico, la deviazione standard dei residui, il passo degli anchor e una nota professionale. Il fallback è governato da un interruttore di configurazione dedicato (default attivo; sezione 16.12) e non emette mai raccomandazioni di investimento né indicazioni di acquisto, vendita o mantenimento. Sugli orizzonti lunghi interviene inoltre un pianificatore di evidenza direzionale ex-ante, che classifica la fattibilità in cinque stati: logistica validata fattibile; validata non fattibile ma model-implied fattibile; model-implied a bassa evidenza; solo diagnostica di base rate; non stimabile per limite fisico di storia. Quando la validazione del classificatore non è fattibile ma l’evidenza model-implied lo è, la piattaforma calcola una storia walk-forward dedicata «long-span» con passo raccomandato pari a circa un terzo dell’orizzonte (mai superiore a H) e span limitato a 9 orizzonti (9×H), così che la probabilità model-implied poggi su finestre di errore con evidenza indipendente sufficiente; questa storia è cacheata come le altre e il suo passo viene propagato ai calcoli corretti per sovrapposizione.</w:t>
      </w:r>
    </w:p>
    <w:p w14:paraId="0BD5E473" w14:textId="77777777" w:rsidR="00035F7E" w:rsidRDefault="008242CC">
      <w:r>
        <w:t>Diagnostica di base rate direzionale storica</w:t>
      </w:r>
    </w:p>
    <w:p w14:paraId="27A9C4AE" w14:textId="77777777" w:rsidR="00035F7E" w:rsidRDefault="008242CC">
      <w:r>
        <w:lastRenderedPageBreak/>
        <w:t xml:space="preserve">Il sistema calcola la diagnostica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t+H</m:t>
                </m:r>
              </m:sub>
            </m:sSub>
            <m:r>
              <m:rPr>
                <m:sty m:val="p"/>
              </m:rP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t</m:t>
                </m:r>
              </m:sub>
            </m:sSub>
          </m:e>
        </m:d>
      </m:oMath>
      <w:r>
        <w:t xml:space="preserve"> su coppie non sovrapposte della serie storica. Questa è una frequenza storica incondizionata. Non è una probabilità di classificatore prospettica.</w:t>
      </w:r>
    </w:p>
    <w:p w14:paraId="36EB03D4" w14:textId="77777777" w:rsidR="00035F7E" w:rsidRDefault="008242CC">
      <w:r>
        <w:t>Non è assegnata al campo di probabilità direzionale pubblicato principale. Non è aggregata nella probabilità headline di portafoglio. È soppressa quando il numero minimo di coppie non sovrapposte non è disponibile: il minimo corrente è 20 coppie. È esclusivamente diagnostica.</w:t>
      </w:r>
    </w:p>
    <w:p w14:paraId="70FEB3D4" w14:textId="77777777" w:rsidR="00035F7E" w:rsidRDefault="008242CC">
      <w:r>
        <w:t>Non descrivere questa diagnostica come una probabilità di previsione indipendentemente validata.</w:t>
      </w:r>
    </w:p>
    <w:p w14:paraId="7645C7B8" w14:textId="77777777" w:rsidR="000854B7" w:rsidRPr="00BE3538" w:rsidRDefault="008242CC">
      <w:pPr>
        <w:pStyle w:val="Heading2"/>
        <w:rPr>
          <w:lang w:val="it-IT"/>
        </w:rPr>
      </w:pPr>
      <w:bookmarkStart w:id="178" w:name="_Toc236387306"/>
      <w:r>
        <w:rPr>
          <w:lang w:val="it-IT"/>
        </w:rPr>
        <w:t>16.14 Risoluzione della pubblicazione: precedenza del classificatore validato</w:t>
      </w:r>
      <w:bookmarkEnd w:id="178"/>
    </w:p>
    <w:p w14:paraId="6E0BD9D9" w14:textId="77777777" w:rsidR="000854B7" w:rsidRPr="00BE3538" w:rsidRDefault="008242CC">
      <w:pPr>
        <w:pStyle w:val="FirstParagraph"/>
        <w:rPr>
          <w:lang w:val="it-IT"/>
        </w:rPr>
      </w:pPr>
      <w:r>
        <w:rPr>
          <w:lang w:val="it-IT"/>
        </w:rPr>
        <w:t>La scelta del metodo che pubblica P(target &gt; ref) ha un’unica fonte di verità con precedenza validated-first: la probabilità del classificatore logistico validato vince sempre; la probabilità model-implied viene usata solo quando quella validata non è pubblicata; altrimenti non viene pubblicato nulla. I due metodi non vengono mai miscelati e il fallback non riempie mai retroattivamente il campo della probabilità validata.</w:t>
      </w:r>
    </w:p>
    <w:p w14:paraId="57B14B59" w14:textId="77777777" w:rsidR="000854B7" w:rsidRPr="00BE3538" w:rsidRDefault="008242CC">
      <w:pPr>
        <w:rPr>
          <w:lang w:val="it-IT"/>
        </w:rPr>
      </w:pPr>
      <w:r>
        <w:rPr>
          <w:lang w:val="it-IT"/>
        </w:rPr>
        <w:t>Il blocco direzionale espone due campi di risoluzione, valorizzati nello stage di assemblaggio del payload: il metodo di probabilità (classificatore validato, model-implied residuale, oppure nessuno) e lo stato di pubblicazione (pubblicata validata, pubblicata derivata dal modello, non pubblicata). Report e audit usano esclusivamente questi campi per distinguere una probabilità validata da una derivata dal modello, così che la selezione non possa divergere fra i diversi renderer.</w:t>
      </w:r>
    </w:p>
    <w:p w14:paraId="47A4765D" w14:textId="77777777" w:rsidR="000854B7" w:rsidRDefault="00C0462E">
      <w:r>
        <w:pict w14:anchorId="72D47924">
          <v:rect id="_x0000_i1043" style="width:0;height:1.5pt" o:hralign="center" o:hrstd="t" o:hr="t"/>
        </w:pict>
      </w:r>
    </w:p>
    <w:p w14:paraId="0B5DB03F" w14:textId="77777777" w:rsidR="00035F7E" w:rsidRDefault="008242CC">
      <w:pPr>
        <w:pStyle w:val="Heading2"/>
      </w:pPr>
      <w:bookmarkStart w:id="179" w:name="_Toc236387307"/>
      <w:r>
        <w:t>16.15 Sintesi: i tre sistemi di anchor del motore</w:t>
      </w:r>
      <w:bookmarkEnd w:id="179"/>
    </w:p>
    <w:p w14:paraId="243F07ED" w14:textId="77777777" w:rsidR="00035F7E" w:rsidRDefault="008242CC">
      <w:pPr>
        <w:pStyle w:val="FirstParagraph"/>
      </w:pPr>
      <w:r>
        <w:t>Il motore usa tre meccanismi di anchor concettualmente distinti, con input, scopo e output diversi. Nessuno dei tre è una variante degli altri: operano su dati diversi e alimentano parti diverse del payload finale.</w:t>
      </w:r>
    </w:p>
    <w:p w14:paraId="211FDAED" w14:textId="77777777" w:rsidR="00035F7E" w:rsidRDefault="008242CC">
      <w:r>
        <w:rPr>
          <w:b/>
        </w:rPr>
        <w:t>A) Anchor di backtest storico (sezione 9) — per singolo modello</w:t>
      </w:r>
    </w:p>
    <w:p w14:paraId="5E1E890B" w14:textId="77777777" w:rsidR="00035F7E" w:rsidRDefault="008242CC">
      <w:pPr>
        <w:pStyle w:val="FirstParagraph"/>
      </w:pPr>
      <w:r>
        <w:t>Opera sulla serie prezzi grezza, un modello alla volta: per ogni trial tronca la storia a un indice anchor, rifitta quel singolo modello e confronta la previsione con il valore realizzato. Il numero di trial è determinato dal campo numero-obiettivo di prove del profilo di backtest riportato nella tabella della sezione 9.2. Output: l'errore storico per modello, utilizzato dal motore di pesatura dell'ensemble descritto nella sezione 10. È il sistema più costoso perché gira separatamente per ciascun modello attivo.</w:t>
      </w:r>
    </w:p>
    <w:p w14:paraId="547C47C2" w14:textId="77777777" w:rsidR="00035F7E" w:rsidRDefault="008242CC">
      <w:r>
        <w:rPr>
          <w:b/>
        </w:rPr>
        <w:t>B) Anchor di calibrazione walk-forward dell'ensemble (sezioni 14.1–15.2) — per gli intervalli di predizione (PI)</w:t>
      </w:r>
    </w:p>
    <w:p w14:paraId="3ED9B25F" w14:textId="77777777" w:rsidR="00035F7E" w:rsidRDefault="008242CC">
      <w:pPr>
        <w:pStyle w:val="FirstParagraph"/>
      </w:pPr>
      <w:r>
        <w:t xml:space="preserve">Opera sull'ensemble già pesato (non sui modelli singoli): ricalcola la previsione combinata a ogni anchor di una griglia più rada, usando la stessa profondità massima e passo della richiesta (con fallback ai default di profilo dello stage di contesto). Quando il sottoinsieme di modelli usato per il PI coincide con l'ensemble completo, questa storia viene spesso riutilizzata dalla cache o ricombinata dai trial per-modello già calcolati, senza un nuovo fit. Output: i residui di </w:t>
      </w:r>
      <w:r>
        <w:lastRenderedPageBreak/>
        <w:t>calibrazione con cui si costruiscono gli intervalli di predizione della sezione 14 e le probabilità su prezzo target e intervallo utente della sezione 15.</w:t>
      </w:r>
    </w:p>
    <w:p w14:paraId="409CB8A2" w14:textId="77777777" w:rsidR="00035F7E" w:rsidRDefault="008242CC">
      <w:r>
        <w:rPr>
          <w:b/>
        </w:rPr>
        <w:t>C) Anchor di walk-forward direzionale (sezione 16.6) — per il modulo di accuratezza direzionale (DA) e le probabilità derivate</w:t>
      </w:r>
    </w:p>
    <w:p w14:paraId="5763FBB0" w14:textId="77777777" w:rsidR="00035F7E" w:rsidRDefault="008242CC">
      <w:pPr>
        <w:pStyle w:val="FirstParagraph"/>
      </w:pPr>
      <w:r>
        <w:t>Opera anch'esso sull'ensemble pesato, ma con una griglia dedicata più densa quando la storia dell'ensemble completo non raggiunge una numerosità campionaria effettiva sufficiente (criterio di sezione 16.9, corretto per sovrapposizione). La geometria di questa griglia dedicata è adattiva: il numero target di anchor è fissato per profilo di backtest, il passo è derivato dall’orizzonte per soddisfare la numerosità effettiva minima, e le soglie che la governano sono dichiarate nella configurazione centrale del motore (le variabili d’ambiente omonime continuano a sovrascriverne i default). Il vincolo che governa questi valori è il numero minimo di osservazioni valide richiesto dal classificatore logistico direzionale: sotto tale soglia il modulo non pubblica alcuna probabilità validata («campione insufficiente», sezione 16.10). Output: l'evento binario di direzione per anchor, da cui derivano il tasso di concordanza direzionale grezzo della sezione 16.11 e la probabilità validata del classificatore descritta nelle sezioni 16.5–16.10. La probabilità model-implied della sezione 16.13 utilizza invece la storia walk-forward dell'ensemble completo, come dichiarato nella relativa metodologia, e non deve essere descritta come dipendente dalla tripla direzionale dedicata.</w:t>
      </w:r>
    </w:p>
    <w:p w14:paraId="31BB6ACD" w14:textId="77777777" w:rsidR="00035F7E" w:rsidRDefault="008242CC">
      <w:r>
        <w:rPr>
          <w:b/>
        </w:rPr>
        <w:t>Relazione fra i tre sistemi</w:t>
      </w:r>
    </w:p>
    <w:p w14:paraId="7DFD0878" w14:textId="77777777" w:rsidR="00035F7E" w:rsidRDefault="008242CC">
      <w:r>
        <w:t>La storia PI è ricostruita dal sistema walk-forward dell'ensemble (B), non da trial arbitrari del backtest per-modello (A). I tre sistemi sono distinti: (A) backtest storico per-modello che determina i pesi base dell'ensemble; (B) validazione walk-forward dell'ensemble che calibra gli intervalli di predizione; (C) anchor direzionali dedicati per le probabilità direzionali.</w:t>
      </w:r>
    </w:p>
    <w:p w14:paraId="6F3AE72A" w14:textId="77777777" w:rsidR="00035F7E" w:rsidRDefault="008242CC">
      <w:pPr>
        <w:pStyle w:val="FirstParagraph"/>
      </w:pPr>
      <w:r>
        <w:t>I tre sistemi non si sommano semplicemente: il sistema A è indipendente e sempre eseguito una volta per modello; i sistemi B e C condividono la stessa storia di base quando questa è già abbastanza densa (sezione 16.6), ed è solo quando la densità richiesta per la validazione direzionale eccede quella già disponibile che il sistema C esegue un walk-forward supplementare dedicato. La profondità di ciascun sistema cresce con il profilo di backtest (fast → medium → long → molto lungo), ma con tassi di crescita indipendenti perché ciascuno risponde a un vincolo statistico diverso: il sistema A al numero-obiettivo di prove del profilo, il sistema B alla profondità di richiesta/contesto, il sistema C al minimo di osservazioni valide richiesto dal classificatore direzionale.</w:t>
      </w:r>
    </w:p>
    <w:p w14:paraId="41C334F6" w14:textId="77777777" w:rsidR="000854B7" w:rsidRPr="00BE3538" w:rsidRDefault="008242CC">
      <w:pPr>
        <w:pStyle w:val="Heading1"/>
        <w:rPr>
          <w:lang w:val="it-IT"/>
        </w:rPr>
      </w:pPr>
      <w:bookmarkStart w:id="180" w:name="payload-finale-e-semantica-operativa"/>
      <w:bookmarkStart w:id="181" w:name="_Toc236387308"/>
      <w:bookmarkEnd w:id="159"/>
      <w:bookmarkEnd w:id="167"/>
      <w:r>
        <w:rPr>
          <w:lang w:val="it-IT"/>
        </w:rPr>
        <w:t>17. Payload finale e semantica operativa</w:t>
      </w:r>
      <w:bookmarkEnd w:id="181"/>
    </w:p>
    <w:p w14:paraId="78D3A133" w14:textId="77777777" w:rsidR="000854B7" w:rsidRPr="00BE3538" w:rsidRDefault="008242CC">
      <w:pPr>
        <w:pStyle w:val="FirstParagraph"/>
        <w:rPr>
          <w:lang w:val="it-IT"/>
        </w:rPr>
      </w:pPr>
      <w:r>
        <w:rPr>
          <w:lang w:val="it-IT"/>
        </w:rPr>
        <w:t>Il risultato finale espone, tra gli altri, i seguenti blocchi concettuali:</w:t>
      </w:r>
    </w:p>
    <w:p w14:paraId="69DC0794" w14:textId="77777777" w:rsidR="000854B7" w:rsidRDefault="008242CC" w:rsidP="008242CC">
      <w:pPr>
        <w:numPr>
          <w:ilvl w:val="0"/>
          <w:numId w:val="24"/>
        </w:numPr>
      </w:pPr>
      <w:r>
        <w:rPr>
          <w:b/>
          <w:bCs/>
        </w:rPr>
        <w:t>forecast puntuale</w:t>
      </w:r>
      <w:r>
        <w:t>: previsione puntuale combinata;</w:t>
      </w:r>
    </w:p>
    <w:p w14:paraId="391BA1E4" w14:textId="77777777" w:rsidR="000854B7" w:rsidRDefault="008242CC" w:rsidP="008242CC">
      <w:pPr>
        <w:numPr>
          <w:ilvl w:val="0"/>
          <w:numId w:val="24"/>
        </w:numPr>
      </w:pPr>
      <w:r>
        <w:rPr>
          <w:b/>
          <w:bCs/>
        </w:rPr>
        <w:t>panel modelli</w:t>
      </w:r>
      <w:r>
        <w:t>: previsioni per modello, pesi dei modelli, stato di esecuzione dei modelli, diagnostica per modello;</w:t>
      </w:r>
    </w:p>
    <w:p w14:paraId="741E7B98" w14:textId="77777777" w:rsidR="000854B7" w:rsidRDefault="008242CC" w:rsidP="008242CC">
      <w:pPr>
        <w:numPr>
          <w:ilvl w:val="0"/>
          <w:numId w:val="24"/>
        </w:numPr>
      </w:pPr>
      <w:r>
        <w:rPr>
          <w:b/>
          <w:bCs/>
        </w:rPr>
        <w:lastRenderedPageBreak/>
        <w:t>evidenza di backtest</w:t>
      </w:r>
      <w:r>
        <w:t>: errore medio di backtest, errore di backtest recente, stabilità dei pesi, confronto col benchmark di riferimento;</w:t>
      </w:r>
    </w:p>
    <w:p w14:paraId="50787945" w14:textId="77777777" w:rsidR="000854B7" w:rsidRDefault="008242CC" w:rsidP="008242CC">
      <w:pPr>
        <w:numPr>
          <w:ilvl w:val="0"/>
          <w:numId w:val="24"/>
        </w:numPr>
      </w:pPr>
      <w:r>
        <w:rPr>
          <w:b/>
          <w:bCs/>
        </w:rPr>
        <w:t>qualità dati</w:t>
      </w:r>
      <w:r>
        <w:t>: integrità dei dati, sintesi della storia prezzi;</w:t>
      </w:r>
    </w:p>
    <w:p w14:paraId="38D11A11" w14:textId="77777777" w:rsidR="000854B7" w:rsidRDefault="008242CC" w:rsidP="008242CC">
      <w:pPr>
        <w:numPr>
          <w:ilvl w:val="0"/>
          <w:numId w:val="24"/>
        </w:numPr>
      </w:pPr>
      <w:r>
        <w:rPr>
          <w:b/>
          <w:bCs/>
        </w:rPr>
        <w:t>intervalli e probabilità </w:t>
      </w:r>
      <w:r>
        <w:t>: intervallo di predizione, probabilità sul prezzo target, probabilità sull’intervallo utente, politica dell’intervallo di predizione;</w:t>
      </w:r>
    </w:p>
    <w:p w14:paraId="48E1DB63" w14:textId="77777777" w:rsidR="000854B7" w:rsidRDefault="008242CC" w:rsidP="008242CC">
      <w:pPr>
        <w:numPr>
          <w:ilvl w:val="0"/>
          <w:numId w:val="24"/>
        </w:numPr>
      </w:pPr>
      <w:r>
        <w:rPr>
          <w:b/>
          <w:bCs/>
        </w:rPr>
        <w:t>audit processo</w:t>
      </w:r>
      <w:r>
        <w:t>: controlli di processo, audit di processo;</w:t>
      </w:r>
    </w:p>
    <w:p w14:paraId="1BAA3D4F" w14:textId="77777777" w:rsidR="000854B7" w:rsidRDefault="008242CC" w:rsidP="008242CC">
      <w:pPr>
        <w:numPr>
          <w:ilvl w:val="0"/>
          <w:numId w:val="24"/>
        </w:numPr>
      </w:pPr>
      <w:r>
        <w:rPr>
          <w:b/>
          <w:bCs/>
        </w:rPr>
        <w:t>simulation block</w:t>
      </w:r>
      <w:r>
        <w:t>: confronto ex post in modalità time-travel;</w:t>
      </w:r>
    </w:p>
    <w:p w14:paraId="6CFEB918" w14:textId="77777777" w:rsidR="000854B7" w:rsidRDefault="008242CC" w:rsidP="008242CC">
      <w:pPr>
        <w:numPr>
          <w:ilvl w:val="0"/>
          <w:numId w:val="24"/>
        </w:numPr>
        <w:rPr>
          <w:lang w:val="it-IT"/>
        </w:rPr>
      </w:pPr>
      <w:r>
        <w:rPr>
          <w:b/>
          <w:bCs/>
          <w:lang w:val="it-IT"/>
        </w:rPr>
        <w:t>blocco direzionale: classificazione direzionale (opzionale, attivo solo su richiesta esplicita; sezioni 16.5–16.14);</w:t>
      </w:r>
    </w:p>
    <w:p w14:paraId="030FACCF" w14:textId="77777777" w:rsidR="000854B7" w:rsidRDefault="008242CC" w:rsidP="008242CC">
      <w:pPr>
        <w:numPr>
          <w:ilvl w:val="0"/>
          <w:numId w:val="24"/>
        </w:numPr>
      </w:pPr>
      <w:r>
        <w:rPr>
          <w:b/>
          <w:bCs/>
        </w:rPr>
        <w:t>report</w:t>
      </w:r>
      <w:r>
        <w:t>: eventuale link al report.</w:t>
      </w:r>
    </w:p>
    <w:p w14:paraId="0B6521A6" w14:textId="77777777" w:rsidR="000854B7" w:rsidRPr="00BE3538" w:rsidRDefault="008242CC">
      <w:pPr>
        <w:pStyle w:val="FirstParagraph"/>
        <w:rPr>
          <w:lang w:val="it-IT"/>
        </w:rPr>
      </w:pPr>
      <w:r>
        <w:rPr>
          <w:lang w:val="it-IT"/>
        </w:rPr>
        <w:t>Importante: il payload è più ricco delle vecchie descrizioni API statiche. È quindi scorretto documentarlo con un esempio minimale che ometta la semantica di diagnostica per modello, politica dell’intervallo di predizione o stato dell’intervallo di predizione.</w:t>
      </w:r>
    </w:p>
    <w:p w14:paraId="41C8835F" w14:textId="77777777" w:rsidR="000854B7" w:rsidRPr="00F61132" w:rsidRDefault="000854B7">
      <w:pPr>
        <w:rPr>
          <w:lang w:val="it-IT"/>
        </w:rPr>
      </w:pPr>
      <w:bookmarkStart w:id="182" w:name="api-pubbliche-effettivamente-esposte"/>
      <w:bookmarkStart w:id="183" w:name="route-non-montate"/>
      <w:bookmarkEnd w:id="180"/>
    </w:p>
    <w:p w14:paraId="4464A879" w14:textId="77777777" w:rsidR="00035F7E" w:rsidRDefault="008242CC">
      <w:pPr>
        <w:pStyle w:val="Heading2"/>
      </w:pPr>
      <w:bookmarkStart w:id="184" w:name="_Toc236387309"/>
      <w:r>
        <w:t>17.1 Modalità di report del percorso single-asset</w:t>
      </w:r>
      <w:bookmarkEnd w:id="184"/>
    </w:p>
    <w:p w14:paraId="649FF3C2" w14:textId="77777777" w:rsidR="00035F7E" w:rsidRDefault="008242CC">
      <w:r>
        <w:t>Nel percorso single-asset l’utente può selezionare una delle seguenti modalità di produzione documentale:</w:t>
      </w:r>
    </w:p>
    <w:p w14:paraId="67575674" w14:textId="77777777" w:rsidR="00035F7E" w:rsidRDefault="008242CC">
      <w:pPr>
        <w:numPr>
          <w:ilvl w:val="0"/>
          <w:numId w:val="1"/>
        </w:numPr>
      </w:pPr>
      <w:r>
        <w:t>• solo pacchetto destinato al cliente, privo delle diagnostiche interne riservate;</w:t>
      </w:r>
    </w:p>
    <w:p w14:paraId="1C9C9F72" w14:textId="77777777" w:rsidR="00035F7E" w:rsidRDefault="008242CC">
      <w:pPr>
        <w:numPr>
          <w:ilvl w:val="0"/>
          <w:numId w:val="1"/>
        </w:numPr>
      </w:pPr>
      <w:r>
        <w:t>• solo pacchetto di validazione interna;</w:t>
      </w:r>
    </w:p>
    <w:p w14:paraId="3F9DA331" w14:textId="77777777" w:rsidR="00035F7E" w:rsidRDefault="008242CC">
      <w:pPr>
        <w:numPr>
          <w:ilvl w:val="0"/>
          <w:numId w:val="1"/>
        </w:numPr>
      </w:pPr>
      <w:r>
        <w:t>• pacchetto destinato al cliente e pacchetto interno prodotti separatamente;</w:t>
      </w:r>
    </w:p>
    <w:p w14:paraId="1D8A7348" w14:textId="77777777" w:rsidR="00035F7E" w:rsidRDefault="008242CC">
      <w:pPr>
        <w:numPr>
          <w:ilvl w:val="0"/>
          <w:numId w:val="1"/>
        </w:numPr>
      </w:pPr>
      <w:r>
        <w:t>• modalità unificata legacy, governata anche dalla richiesta di includere l’audit interno.</w:t>
      </w:r>
    </w:p>
    <w:p w14:paraId="63755AE2" w14:textId="77777777" w:rsidR="00035F7E" w:rsidRDefault="008242CC">
      <w:r>
        <w:t>Una modalità non riconosciuta ricade nella modalità unificata legacy.</w:t>
      </w:r>
    </w:p>
    <w:p w14:paraId="282C861E" w14:textId="77777777" w:rsidR="00035F7E" w:rsidRDefault="008242CC">
      <w:r>
        <w:t>Questa scelta riguarda esclusivamente il percorso single-asset. In Portfolio Mode le elaborazioni dei singoli strumenti non generano report individuali; il processo coordinatore produce il pacchetto Portfolio complessivo.</w:t>
      </w:r>
    </w:p>
    <w:p w14:paraId="4F21E398" w14:textId="77777777" w:rsidR="000854B7" w:rsidRPr="00BE3538" w:rsidRDefault="008242CC">
      <w:pPr>
        <w:pStyle w:val="Heading1"/>
        <w:rPr>
          <w:lang w:val="it-IT"/>
        </w:rPr>
      </w:pPr>
      <w:bookmarkStart w:id="185" w:name="_Toc236387310"/>
      <w:bookmarkEnd w:id="182"/>
      <w:bookmarkEnd w:id="183"/>
      <w:r>
        <w:rPr>
          <w:lang w:val="it-IT"/>
        </w:rPr>
        <w:t>18. Deduplicazione job, progress e cache</w:t>
      </w:r>
      <w:bookmarkEnd w:id="185"/>
    </w:p>
    <w:p w14:paraId="62252EFC" w14:textId="77777777" w:rsidR="000854B7" w:rsidRPr="00BE3538" w:rsidRDefault="008242CC">
      <w:pPr>
        <w:pStyle w:val="Heading2"/>
        <w:rPr>
          <w:lang w:val="it-IT"/>
        </w:rPr>
      </w:pPr>
      <w:bookmarkStart w:id="186" w:name="deduplicazione-richieste-identiche"/>
      <w:bookmarkStart w:id="187" w:name="_Toc236387311"/>
      <w:r>
        <w:rPr>
          <w:lang w:val="it-IT"/>
        </w:rPr>
        <w:t>18.1 Deduplicazione richieste identiche</w:t>
      </w:r>
      <w:bookmarkEnd w:id="187"/>
    </w:p>
    <w:p w14:paraId="4788618C" w14:textId="77777777" w:rsidR="000854B7" w:rsidRPr="00BE3538" w:rsidRDefault="008242CC">
      <w:pPr>
        <w:pStyle w:val="FirstParagraph"/>
        <w:rPr>
          <w:lang w:val="it-IT"/>
        </w:rPr>
      </w:pPr>
      <w:r>
        <w:rPr>
          <w:lang w:val="it-IT"/>
        </w:rPr>
        <w:t>Una firma deterministica della richiesta normalizzata impedisce di avviare contemporaneamente due elaborazioni attive identiche. Se una richiesta identica è già in corso, il sistema restituisce l'identificativo della richiesta già esistente.</w:t>
      </w:r>
    </w:p>
    <w:p w14:paraId="56131631" w14:textId="77777777" w:rsidR="000854B7" w:rsidRPr="00BE3538" w:rsidRDefault="008242CC">
      <w:pPr>
        <w:pStyle w:val="Heading2"/>
        <w:rPr>
          <w:lang w:val="it-IT"/>
        </w:rPr>
      </w:pPr>
      <w:bookmarkStart w:id="188" w:name="eta"/>
      <w:bookmarkStart w:id="189" w:name="_Toc236387312"/>
      <w:bookmarkEnd w:id="186"/>
      <w:r>
        <w:rPr>
          <w:lang w:val="it-IT"/>
        </w:rPr>
        <w:lastRenderedPageBreak/>
        <w:t>18.2 ETA</w:t>
      </w:r>
      <w:bookmarkEnd w:id="189"/>
    </w:p>
    <w:p w14:paraId="354749F1" w14:textId="77777777" w:rsidR="000854B7" w:rsidRPr="00BE3538" w:rsidRDefault="008242CC">
      <w:pPr>
        <w:pStyle w:val="FirstParagraph"/>
        <w:rPr>
          <w:lang w:val="it-IT"/>
        </w:rPr>
      </w:pPr>
      <w:r>
        <w:rPr>
          <w:lang w:val="it-IT"/>
        </w:rPr>
        <w:t>Lo stato job include una stima del tempo residuo basata su:</w:t>
      </w:r>
    </w:p>
    <w:p w14:paraId="0AEC6ADC" w14:textId="77777777" w:rsidR="000854B7" w:rsidRDefault="00C0462E">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tot</m:t>
              </m:r>
            </m:sub>
            <m:sup>
              <m:r>
                <w:rPr>
                  <w:rFonts w:ascii="Cambria Math" w:hAnsi="Cambria Math"/>
                </w:rPr>
                <m:t>est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elapsed</m:t>
                  </m:r>
                </m:sub>
              </m:sSub>
            </m:num>
            <m:den>
              <m:r>
                <w:rPr>
                  <w:rFonts w:ascii="Cambria Math" w:hAnsi="Cambria Math"/>
                </w:rPr>
                <m:t>progress</m:t>
              </m:r>
              <m:r>
                <m:rPr>
                  <m:sty m:val="p"/>
                </m:rPr>
                <w:rPr>
                  <w:rFonts w:ascii="Cambria Math" w:hAnsi="Cambria Math"/>
                </w:rPr>
                <m:t>/</m:t>
              </m:r>
              <m:r>
                <w:rPr>
                  <w:rFonts w:ascii="Cambria Math" w:hAnsi="Cambria Math"/>
                </w:rPr>
                <m:t>100</m:t>
              </m:r>
            </m:den>
          </m:f>
        </m:oMath>
      </m:oMathPara>
    </w:p>
    <w:p w14:paraId="2ACC3844" w14:textId="77777777" w:rsidR="000854B7" w:rsidRDefault="008242CC">
      <w:pPr>
        <w:pStyle w:val="FirstParagraph"/>
      </w:pPr>
      <m:oMathPara>
        <m:oMathParaPr>
          <m:jc m:val="center"/>
        </m:oMathParaPr>
        <m:oMath>
          <m:r>
            <w:rPr>
              <w:rFonts w:ascii="Cambria Math" w:hAnsi="Cambria Math"/>
            </w:rPr>
            <m:t>ETA</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tot</m:t>
              </m:r>
            </m:sub>
            <m:sup>
              <m:r>
                <w:rPr>
                  <w:rFonts w:ascii="Cambria Math" w:hAnsi="Cambria Math"/>
                </w:rPr>
                <m:t>est</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elapsed</m:t>
              </m:r>
            </m:sub>
          </m:sSub>
        </m:oMath>
      </m:oMathPara>
    </w:p>
    <w:p w14:paraId="779740F9" w14:textId="77777777" w:rsidR="000854B7" w:rsidRPr="00BE3538" w:rsidRDefault="008242CC">
      <w:pPr>
        <w:pStyle w:val="FirstParagraph"/>
        <w:rPr>
          <w:lang w:val="it-IT"/>
        </w:rPr>
      </w:pPr>
      <w:r>
        <w:rPr>
          <w:lang w:val="it-IT"/>
        </w:rPr>
        <w:t>quando la percentuale di avanzamento è compresa fra 0 e 100 e il job non è ancora concluso.</w:t>
      </w:r>
    </w:p>
    <w:p w14:paraId="00A47A1C" w14:textId="77777777" w:rsidR="000854B7" w:rsidRPr="00BE3538" w:rsidRDefault="008242CC">
      <w:pPr>
        <w:pStyle w:val="Heading2"/>
        <w:rPr>
          <w:lang w:val="it-IT"/>
        </w:rPr>
      </w:pPr>
      <w:bookmarkStart w:id="190" w:name="_Toc236387313"/>
      <w:bookmarkEnd w:id="188"/>
      <w:r>
        <w:rPr>
          <w:lang w:val="it-IT"/>
        </w:rPr>
        <w:t>18.3 Cache pesi</w:t>
      </w:r>
      <w:bookmarkEnd w:id="190"/>
    </w:p>
    <w:p w14:paraId="40ED3C25" w14:textId="77777777" w:rsidR="000854B7" w:rsidRPr="00BE3538" w:rsidRDefault="008242CC">
      <w:pPr>
        <w:pStyle w:val="FirstParagraph"/>
        <w:rPr>
          <w:lang w:val="it-IT"/>
        </w:rPr>
      </w:pPr>
      <w:r>
        <w:rPr>
          <w:lang w:val="it-IT"/>
        </w:rPr>
        <w:t>La cache dei pesi è memorizzata in un archivio locale persistente. Può essere utilizzato anche un archivio strutturato alternativo, selezionabile tramite configurazione. Ogni registrazione memorizza:</w:t>
      </w:r>
    </w:p>
    <w:p w14:paraId="68292537" w14:textId="77777777" w:rsidR="000854B7" w:rsidRDefault="008242CC" w:rsidP="008242CC">
      <w:pPr>
        <w:numPr>
          <w:ilvl w:val="0"/>
          <w:numId w:val="25"/>
        </w:numPr>
      </w:pPr>
      <w:r>
        <w:t>ticker;</w:t>
      </w:r>
    </w:p>
    <w:p w14:paraId="0D85A91E" w14:textId="77777777" w:rsidR="00035F7E" w:rsidRDefault="008242CC">
      <w:pPr>
        <w:rPr>
          <w:lang w:val="it-IT"/>
        </w:rPr>
      </w:pPr>
      <w:r>
        <w:t>pesi;</w:t>
      </w:r>
    </w:p>
    <w:p w14:paraId="5BB59A38" w14:textId="77777777" w:rsidR="000854B7" w:rsidRDefault="008242CC" w:rsidP="008242CC">
      <w:pPr>
        <w:numPr>
          <w:ilvl w:val="0"/>
          <w:numId w:val="25"/>
        </w:numPr>
      </w:pPr>
      <w:r>
        <w:t>errori di backtest;</w:t>
      </w:r>
    </w:p>
    <w:p w14:paraId="60EA4AA1" w14:textId="77777777" w:rsidR="000854B7" w:rsidRDefault="008242CC" w:rsidP="008242CC">
      <w:pPr>
        <w:numPr>
          <w:ilvl w:val="0"/>
          <w:numId w:val="25"/>
        </w:numPr>
      </w:pPr>
      <w:r>
        <w:t>errori recenti;</w:t>
      </w:r>
    </w:p>
    <w:p w14:paraId="173DFF19" w14:textId="77777777" w:rsidR="000854B7" w:rsidRDefault="008242CC" w:rsidP="008242CC">
      <w:pPr>
        <w:numPr>
          <w:ilvl w:val="0"/>
          <w:numId w:val="25"/>
        </w:numPr>
      </w:pPr>
      <w:r>
        <w:t>metadati;</w:t>
      </w:r>
    </w:p>
    <w:p w14:paraId="4070182E" w14:textId="77777777" w:rsidR="000854B7" w:rsidRDefault="008242CC" w:rsidP="008242CC">
      <w:pPr>
        <w:numPr>
          <w:ilvl w:val="0"/>
          <w:numId w:val="25"/>
        </w:numPr>
      </w:pPr>
      <w:r>
        <w:t>data di creazione.</w:t>
      </w:r>
    </w:p>
    <w:p w14:paraId="275C7C19" w14:textId="77777777" w:rsidR="000854B7" w:rsidRPr="00BE3538" w:rsidRDefault="008242CC">
      <w:pPr>
        <w:pStyle w:val="FirstParagraph"/>
        <w:rPr>
          <w:lang w:val="it-IT"/>
        </w:rPr>
      </w:pPr>
      <w:r>
        <w:rPr>
          <w:lang w:val="it-IT"/>
        </w:rPr>
        <w:t>La chiave della cache è una firma deterministica costruita a partire dal ticker, dai modelli selezionati, dalle caratteristiche stagionali, dalla dimensione e dalla data finale della serie, dall’orizzonte operativo, dal profilo di backtest, dalla relativa finestra temporale, dal mercato, dal paese, dalla classe dell’asset e dall’origine del dataset. In questo modo, pesi calcolati su una determinata sorgente non possono essere riutilizzati per lo stesso simbolo su una sorgente differente. I parametri di campionamento non partecipano alla costruzione della chiave, ma restano documentati nei metadati.</w:t>
      </w:r>
    </w:p>
    <w:p w14:paraId="22118754" w14:textId="77777777" w:rsidR="000854B7" w:rsidRDefault="000854B7"/>
    <w:p w14:paraId="1581567E" w14:textId="77777777" w:rsidR="000854B7" w:rsidRPr="00BE3538" w:rsidRDefault="008242CC">
      <w:pPr>
        <w:pStyle w:val="Heading1"/>
        <w:rPr>
          <w:lang w:val="it-IT"/>
        </w:rPr>
      </w:pPr>
      <w:bookmarkStart w:id="191" w:name="sintesi-normativa-finale"/>
      <w:bookmarkStart w:id="192" w:name="_Toc236387314"/>
      <w:r>
        <w:rPr>
          <w:lang w:val="it-IT"/>
        </w:rPr>
        <w:t>19. Sintesi normativa finale</w:t>
      </w:r>
      <w:bookmarkEnd w:id="192"/>
    </w:p>
    <w:p w14:paraId="1DDFE35C" w14:textId="77777777" w:rsidR="000854B7" w:rsidRPr="00BE3538" w:rsidRDefault="008242CC">
      <w:pPr>
        <w:pStyle w:val="FirstParagraph"/>
        <w:rPr>
          <w:lang w:val="it-IT"/>
        </w:rPr>
      </w:pPr>
      <w:r>
        <w:rPr>
          <w:lang w:val="it-IT"/>
        </w:rPr>
        <w:t xml:space="preserve">Il sistema può essere descritto, in modo corretto e completo, come una piattaforma quantitativa di supporto alle decisioni e validazione. Il sistema include: ingestione validata di dataset del cliente; routing di frequenza per modello; previsione a livello di modello; backtesting storico deterministico; pesatura robusta tail-aware; miscela opzionale di pesi appresi adattivi; controlli outlier del pannello di forecast; costruzione geometrica dell'ensemble in spazio log-return; storia di validazione walk-forward; intervalli di predizione empirici basati sui residui; probabilità target e di intervallo; percorsi di probabilità direzionale validati o esplicitamente qualificati; Portfolio Mode con correlazione, covarianza, volatilità, contributo al rischio, drawdown, VaR, Expected </w:t>
      </w:r>
      <w:r>
        <w:rPr>
          <w:lang w:val="it-IT"/>
        </w:rPr>
        <w:lastRenderedPageBreak/>
        <w:t>Shortfall, volatilità downside e concentrazione; report separati per il cliente e di validazione interna.</w:t>
      </w:r>
    </w:p>
    <w:p w14:paraId="3122141E" w14:textId="77777777" w:rsidR="000854B7" w:rsidRPr="00BE3538" w:rsidRDefault="008242CC">
      <w:pPr>
        <w:pStyle w:val="BodyText"/>
        <w:rPr>
          <w:lang w:val="it-IT"/>
        </w:rPr>
      </w:pPr>
      <w:r>
        <w:rPr>
          <w:lang w:val="it-IT"/>
        </w:rPr>
        <w:t>1. La pipeline di forecasting di produzione richiede un dataset caricato e validato dal cliente. I dati Bloomberg predefiniti o integrati sono riservati a strumenti offline, batch, di sviluppo o time-travel esplicitamente autorizzati e non costituiscono il percorso di input normale per i clienti di produzione.</w:t>
      </w:r>
    </w:p>
    <w:p w14:paraId="036A989F" w14:textId="77777777" w:rsidR="000854B7" w:rsidRPr="00BE3538" w:rsidRDefault="008242CC">
      <w:pPr>
        <w:pStyle w:val="BodyText"/>
        <w:rPr>
          <w:lang w:val="it-IT"/>
        </w:rPr>
      </w:pPr>
      <w:r>
        <w:rPr>
          <w:lang w:val="it-IT"/>
        </w:rPr>
        <w:t xml:space="preserve">2. </w:t>
      </w:r>
      <w:r>
        <w:rPr>
          <w:b/>
          <w:bCs/>
          <w:lang w:val="it-IT"/>
        </w:rPr>
        <w:t>Routing di frequenza</w:t>
      </w:r>
      <w:r>
        <w:rPr>
          <w:lang w:val="it-IT"/>
        </w:rPr>
        <w:t xml:space="preserve"> deterministico per regime di orizzonte e per modello.</w:t>
      </w:r>
    </w:p>
    <w:p w14:paraId="2B6DB772" w14:textId="77777777" w:rsidR="000854B7" w:rsidRPr="00BE3538" w:rsidRDefault="008242CC">
      <w:pPr>
        <w:pStyle w:val="BodyText"/>
        <w:rPr>
          <w:lang w:val="it-IT"/>
        </w:rPr>
      </w:pPr>
      <w:r>
        <w:rPr>
          <w:lang w:val="it-IT"/>
        </w:rPr>
        <w:t>3. Ensemble weighting tail-aware a legge di potenza inversa, con penalità su p90/p95/skewness/kurtosis/bias e blend 65/35 fra storico completo e finestra recente (fallback a MAPE puro senza statistiche di coda).</w:t>
      </w:r>
    </w:p>
    <w:p w14:paraId="2B236649" w14:textId="77777777" w:rsidR="000854B7" w:rsidRPr="00BE3538" w:rsidRDefault="008242CC">
      <w:pPr>
        <w:pStyle w:val="BodyText"/>
        <w:rPr>
          <w:lang w:val="it-IT"/>
        </w:rPr>
      </w:pPr>
      <w:r>
        <w:rPr>
          <w:lang w:val="it-IT"/>
        </w:rPr>
        <w:t>4. Backtest expanding-window profile-based con anchor selezionati su griglia calendariale deterministica (epoca di riferimento fissa, passo proporzionale all'orizzonte) e pool di sostituzione deterministico, con escalation per-modello.</w:t>
      </w:r>
    </w:p>
    <w:p w14:paraId="0817B825" w14:textId="77777777" w:rsidR="000854B7" w:rsidRPr="00BE3538" w:rsidRDefault="008242CC">
      <w:pPr>
        <w:pStyle w:val="BodyText"/>
        <w:rPr>
          <w:lang w:val="it-IT"/>
        </w:rPr>
      </w:pPr>
      <w:r>
        <w:rPr>
          <w:lang w:val="it-IT"/>
        </w:rPr>
        <w:t>5. Prediction intervals empirici in log-space, frequency-aware, con finestra adattiva, quantili asimmetrici con stima parametrica a code pesanti (t-Student/Cornish-Fisher) per campioni sotto 200 residui, pesatura recency/vol-regime, clamp horizon-aware (base=0.085), downgrade di confidenza quando la copertura in-sample diverge dal target nominale, e recentering disattivato per intervalli asimmetrici calibrati.</w:t>
      </w:r>
    </w:p>
    <w:p w14:paraId="11000AB5" w14:textId="77777777" w:rsidR="000854B7" w:rsidRPr="00BE3538" w:rsidRDefault="008242CC">
      <w:pPr>
        <w:pStyle w:val="BodyText"/>
        <w:rPr>
          <w:lang w:val="it-IT"/>
        </w:rPr>
      </w:pPr>
      <w:r>
        <w:rPr>
          <w:lang w:val="it-IT"/>
        </w:rPr>
        <w:t>6. Probability engine costruito sugli stessi residui logaritmici de-biased del PI engine.</w:t>
      </w:r>
    </w:p>
    <w:p w14:paraId="49A77C1F" w14:textId="77777777" w:rsidR="000854B7" w:rsidRPr="00BE3538" w:rsidRDefault="008242CC">
      <w:pPr>
        <w:pStyle w:val="BodyText"/>
        <w:rPr>
          <w:lang w:val="it-IT"/>
        </w:rPr>
      </w:pPr>
      <w:r>
        <w:rPr>
          <w:lang w:val="it-IT"/>
        </w:rPr>
        <w:t>7. Metriche di accuratezza e diagnostiche quantitative di rischio storiche derivate dalla storia walk-forward del forecast ensemble.</w:t>
      </w:r>
    </w:p>
    <w:p w14:paraId="39519E35" w14:textId="77777777" w:rsidR="000854B7" w:rsidRPr="00BE3538" w:rsidRDefault="008242CC">
      <w:pPr>
        <w:pStyle w:val="BodyText"/>
        <w:rPr>
          <w:lang w:val="it-IT"/>
        </w:rPr>
      </w:pPr>
      <w:r>
        <w:rPr>
          <w:lang w:val="it-IT"/>
        </w:rPr>
        <w:t>8. Audit di processo e report costruiti a valle del payload quantitativo.</w:t>
      </w:r>
    </w:p>
    <w:p w14:paraId="0B2F3525" w14:textId="77777777" w:rsidR="008242CC" w:rsidRDefault="008242CC">
      <w:pPr>
        <w:pStyle w:val="Heading1"/>
        <w:pageBreakBefore/>
        <w:rPr>
          <w:lang w:val="it-IT"/>
        </w:rPr>
      </w:pPr>
      <w:bookmarkStart w:id="193" w:name="_Toc236387315"/>
      <w:bookmarkEnd w:id="191"/>
      <w:r>
        <w:rPr>
          <w:lang w:val="it-IT"/>
        </w:rPr>
        <w:lastRenderedPageBreak/>
        <w:t>20. Portfolio Mode</w:t>
      </w:r>
      <w:bookmarkEnd w:id="193"/>
    </w:p>
    <w:p w14:paraId="2D167069" w14:textId="77777777" w:rsidR="008242CC" w:rsidRDefault="008242CC">
      <w:pPr>
        <w:pStyle w:val="Heading2"/>
        <w:rPr>
          <w:lang w:val="it-IT"/>
        </w:rPr>
      </w:pPr>
      <w:bookmarkStart w:id="194" w:name="_Toc236387316"/>
      <w:r>
        <w:rPr>
          <w:lang w:val="it-IT"/>
        </w:rPr>
        <w:t>20.1 Panoramica</w:t>
      </w:r>
      <w:bookmarkEnd w:id="194"/>
    </w:p>
    <w:p w14:paraId="50E326D0" w14:textId="77777777" w:rsidR="008242CC" w:rsidRDefault="008242CC">
      <w:pPr>
        <w:pStyle w:val="FirstParagraph"/>
        <w:rPr>
          <w:lang w:val="it-IT"/>
        </w:rPr>
      </w:pPr>
      <w:r>
        <w:rPr>
          <w:lang w:val="it-IT"/>
        </w:rPr>
        <w:t>Portfolio Mode è la modalità multi-asset dell’applicazione. Consente di analizzare un paniere di due o più strumenti finanziari calcolando correlazione storica, volatilità, contributo al rischio (decomposizione di Euler), drawdown storico e una previsione aggregata del rendimento atteso del portafoglio. L’intera sequenza — dalla raccolta dati alla generazione del report — viene eseguita interamente lato server, garantendo il completamento anche se il browser viene minimizzato o sospeso durante l’elaborazione.</w:t>
      </w:r>
    </w:p>
    <w:p w14:paraId="3554DC05" w14:textId="77777777" w:rsidR="00035F7E" w:rsidRDefault="008242CC">
      <w:pPr>
        <w:pStyle w:val="Heading2"/>
      </w:pPr>
      <w:bookmarkStart w:id="195" w:name="_Toc236387317"/>
      <w:r>
        <w:t>20.2 Flusso operativo dell’interfaccia</w:t>
      </w:r>
      <w:bookmarkEnd w:id="195"/>
    </w:p>
    <w:p w14:paraId="13897938" w14:textId="77777777" w:rsidR="00035F7E" w:rsidRDefault="008242CC">
      <w:r>
        <w:t>L’utente accede alla scheda Portfolio Mode e configura i parametri necessari prima di avviare il job coordinato lato server.</w:t>
      </w:r>
    </w:p>
    <w:p w14:paraId="1BFC252C" w14:textId="77777777" w:rsidR="00035F7E" w:rsidRDefault="008242CC">
      <w:r>
        <w:rPr>
          <w:b/>
        </w:rPr>
        <w:t>Ticker</w:t>
      </w:r>
    </w:p>
    <w:p w14:paraId="332ADBEE" w14:textId="77777777" w:rsidR="00035F7E" w:rsidRDefault="008242CC">
      <w:r>
        <w:t>L’utente inserisce uno o più ticker separati da virgola, punto e virgola o nuova riga. Gli spazi interni restano validi perché possono appartenere a identificativi Bloomberg completi. I duplicati vengono rifiutati o rimossi prima dell’avvio e ogni input deve risolversi in modo univoco in un ticker canonico presente nel dataset cliente.</w:t>
      </w:r>
    </w:p>
    <w:p w14:paraId="0E44163A" w14:textId="77777777" w:rsidR="00035F7E" w:rsidRDefault="008242CC">
      <w:r>
        <w:rPr>
          <w:b/>
        </w:rPr>
        <w:t>Finestra delle analisi storiche</w:t>
      </w:r>
    </w:p>
    <w:p w14:paraId="65155D99" w14:textId="77777777" w:rsidR="00035F7E" w:rsidRDefault="008242CC">
      <w:r>
        <w:t>L’utente seleziona la finestra temporale usata per correlazione, volatilità, drawdown e altre diagnostiche storiche. La frequenza nativa richiesta viene determinata dalla lunghezza della finestra.</w:t>
      </w:r>
    </w:p>
    <w:p w14:paraId="7FB4AF10" w14:textId="77777777" w:rsidR="00035F7E" w:rsidRDefault="008242CC">
      <w:r>
        <w:rPr>
          <w:b/>
        </w:rPr>
        <w:t>Pesi di portafoglio</w:t>
      </w:r>
    </w:p>
    <w:p w14:paraId="51ACFC03" w14:textId="77777777" w:rsidR="00035F7E" w:rsidRDefault="008242CC">
      <w:r>
        <w:t>Sono disponibili:</w:t>
      </w:r>
    </w:p>
    <w:p w14:paraId="744CDB06" w14:textId="77777777" w:rsidR="00035F7E" w:rsidRDefault="008242CC">
      <w:pPr>
        <w:numPr>
          <w:ilvl w:val="0"/>
          <w:numId w:val="1"/>
        </w:numPr>
      </w:pPr>
      <w:r>
        <w:t>• modalità Equal, con peso iniziale 1/N;</w:t>
      </w:r>
    </w:p>
    <w:p w14:paraId="437B7083" w14:textId="77777777" w:rsidR="00035F7E" w:rsidRDefault="008242CC">
      <w:pPr>
        <w:numPr>
          <w:ilvl w:val="0"/>
          <w:numId w:val="1"/>
        </w:numPr>
      </w:pPr>
      <w:r>
        <w:t>• modalità Custom, con pesi espliciti non negativi.</w:t>
      </w:r>
    </w:p>
    <w:p w14:paraId="71982AD4" w14:textId="77777777" w:rsidR="00035F7E" w:rsidRDefault="008242CC">
      <w:r>
        <w:t>La modalità Custom accetta una somma iniziale entro la tolleranza |Σᵢwᵢ − 1| ≤ 0,01 e normalizza poi deterministicamente i pesi a somma esatta pari a 1.</w:t>
      </w:r>
    </w:p>
    <w:p w14:paraId="75AFEDAA" w14:textId="77777777" w:rsidR="00035F7E" w:rsidRDefault="008242CC">
      <w:r>
        <w:rPr>
          <w:b/>
        </w:rPr>
        <w:t>Statistiche selezionabili</w:t>
      </w:r>
    </w:p>
    <w:p w14:paraId="793D8D43" w14:textId="77777777" w:rsidR="00035F7E" w:rsidRDefault="008242CC">
      <w:r>
        <w:t>L’utente può richiedere i blocchi quantitativi supportati, inclusi correlazione, volatilità, contributo al rischio, rapporto di diversificazione, drawdown, VaR, Expected Shortfall, volatilità downside, concentrazione e aggregazione delle previsioni.</w:t>
      </w:r>
    </w:p>
    <w:p w14:paraId="496142F1" w14:textId="77777777" w:rsidR="00035F7E" w:rsidRDefault="008242CC">
      <w:r>
        <w:rPr>
          <w:b/>
        </w:rPr>
        <w:t>Impostazioni forecast</w:t>
      </w:r>
    </w:p>
    <w:p w14:paraId="3351FE47" w14:textId="77777777" w:rsidR="00035F7E" w:rsidRDefault="008242CC">
      <w:r>
        <w:lastRenderedPageBreak/>
        <w:t>L’utente configura la data target, i modelli, il profilo di backtest, la storia di validazione walk-forward, il modulo direzionale e gli eventuali parametri per ticker relativi a prediction interval, target price e intervallo utente.</w:t>
      </w:r>
    </w:p>
    <w:p w14:paraId="6B94C4C1" w14:textId="77777777" w:rsidR="00035F7E" w:rsidRDefault="008242CC">
      <w:r>
        <w:rPr>
          <w:b/>
        </w:rPr>
        <w:t>Esecuzione</w:t>
      </w:r>
    </w:p>
    <w:p w14:paraId="454D0D95" w14:textId="77777777" w:rsidR="00035F7E" w:rsidRDefault="008242CC">
      <w:r>
        <w:t>L’intera operazione viene avviata come un singolo job Portfolio lato server. Il parent job coordina i forecast per ticker, le analisi storiche richieste, l’aggregazione e la generazione dei report.</w:t>
      </w:r>
    </w:p>
    <w:p w14:paraId="380EF581" w14:textId="77777777" w:rsidR="00035F7E" w:rsidRDefault="008242CC">
      <w:r>
        <w:t>Al termine delle elaborazioni per ticker, il parent job separa deterministicamente i risultati validi da quelli non validi. Se rimangono almeno due ticker con forecast valido, l’elaborazione prosegue utilizzando esclusivamente l’universo effettivamente calcolabile. I ticker falliti vengono esclusi dai report destinati al cliente, dai pesi e dalle statistiche di portafoglio; i pesi residui vengono rinormalizzati deterministicamente. La causa tecnica, il ticker interessato e l’azione applicata vengono conservati esclusivamente nel report di validazione interna. I deliverable destinati al cliente non mostrano stack trace, warning tecnici o messaggi relativi ai ticker esclusi. Se rimangono meno di due ticker validi, il portafoglio non è calcolabile e il job termina con uno stato di errore senza pubblicare risultati quantitativi incompleti.</w:t>
      </w:r>
    </w:p>
    <w:p w14:paraId="30ED30AD" w14:textId="77777777" w:rsidR="00035F7E" w:rsidRDefault="008242CC">
      <w:r>
        <w:t>L’interfaccia corrente non espone un controllo operativo denominato «Report unificato ON/OFF». Il parent job produce un unico pacchetto Portfolio coordinato.</w:t>
      </w:r>
    </w:p>
    <w:p w14:paraId="16713C62" w14:textId="77777777" w:rsidR="008242CC" w:rsidRDefault="008242CC">
      <w:pPr>
        <w:pStyle w:val="Heading2"/>
        <w:rPr>
          <w:lang w:val="it-IT"/>
        </w:rPr>
      </w:pPr>
      <w:bookmarkStart w:id="196" w:name="_Toc236387318"/>
      <w:r>
        <w:rPr>
          <w:lang w:val="it-IT"/>
        </w:rPr>
        <w:t>20.3 Frequenza adattiva dei rendimenti</w:t>
      </w:r>
      <w:bookmarkEnd w:id="196"/>
    </w:p>
    <w:p w14:paraId="112645C9" w14:textId="77777777" w:rsidR="008242CC" w:rsidRDefault="008242CC">
      <w:pPr>
        <w:pStyle w:val="FirstParagraph"/>
        <w:rPr>
          <w:lang w:val="it-IT"/>
        </w:rPr>
      </w:pPr>
      <w:r>
        <w:rPr>
          <w:lang w:val="it-IT"/>
        </w:rPr>
        <w:t>La frequenza dei rendimenti usati per il calcolo di correlazione e volatilità viene scelta automaticamente in funzione dell’ampiezza della finestra storica, garantendo un numero statisticamente adeguato di osservazioni senza che il segnale venga dominato dal rumore giornaliero su orizzonti pluriennali. Portfolio Mode richiede al dataset cliente la frequenza nativa coerente con la finestra selezionata. Per finestre inferiori a 9 mesi utilizza la serie daily; per finestre da 9 mesi inclusi a meno di 48 mesi utilizza la serie weekly; per finestre pari o superiori a 48 mesi utilizza la serie monthly. Il caricamento avviene tramite il percorso frequency-aware della sorgente dati selezionata. Non è quindi corretto descrivere il calcolo di portafoglio come un processo che parte sempre dalla serie daily e ricampiona localmente tutte le frequenze.</w:t>
      </w:r>
    </w:p>
    <w:p w14:paraId="044FDCC1" w14:textId="77777777" w:rsidR="008242CC" w:rsidRDefault="008242CC">
      <w:pPr>
        <w:pStyle w:val="BodyText"/>
        <w:rPr>
          <w:lang w:val="it-IT"/>
        </w:rPr>
      </w:pPr>
      <w:r>
        <w:rPr>
          <w:b/>
          <w:bCs/>
          <w:lang w:val="it-IT"/>
        </w:rPr>
        <w:t xml:space="preserve">Finestra &lt; 9 mesi: </w:t>
      </w:r>
      <w:r>
        <w:rPr>
          <w:lang w:val="it-IT"/>
        </w:rPr>
        <w:t>rendimenti giornalieri (~252 periodi/anno). Fattore di annualizzazione della volatilità: √252.</w:t>
      </w:r>
    </w:p>
    <w:p w14:paraId="06D49C74" w14:textId="77777777" w:rsidR="008242CC" w:rsidRDefault="008242CC">
      <w:pPr>
        <w:pStyle w:val="BodyText"/>
        <w:rPr>
          <w:lang w:val="it-IT"/>
        </w:rPr>
      </w:pPr>
      <w:r>
        <w:rPr>
          <w:b/>
          <w:bCs/>
          <w:lang w:val="it-IT"/>
        </w:rPr>
        <w:t>Finestra 9 ≤ mesi &lt; 48: rendimenti settimanali campionati ogni venerdì (~52 periodi/anno). Fattore di annualizzazione: √52.</w:t>
      </w:r>
    </w:p>
    <w:p w14:paraId="2582B46E" w14:textId="77777777" w:rsidR="008242CC" w:rsidRDefault="008242CC">
      <w:pPr>
        <w:pStyle w:val="BodyText"/>
        <w:rPr>
          <w:lang w:val="it-IT"/>
        </w:rPr>
      </w:pPr>
      <w:r>
        <w:rPr>
          <w:b/>
          <w:bCs/>
          <w:lang w:val="it-IT"/>
        </w:rPr>
        <w:t>Finestra ≥ 48 mesi: rendimenti mensili (~12 periodi/anno). Fattore di annualizzazione: √12. Il numero minimo di osservazioni sovrapposte richiesto per procedere con il calcolo è 20; al di sotto il sistema restituisce un errore con richiesta di estendere la finestra.</w:t>
      </w:r>
    </w:p>
    <w:p w14:paraId="2250B2D5" w14:textId="77777777" w:rsidR="008242CC" w:rsidRDefault="008242CC">
      <w:pPr>
        <w:pStyle w:val="Heading2"/>
        <w:rPr>
          <w:lang w:val="it-IT"/>
        </w:rPr>
      </w:pPr>
      <w:bookmarkStart w:id="197" w:name="_Toc236387319"/>
      <w:r>
        <w:rPr>
          <w:lang w:val="it-IT"/>
        </w:rPr>
        <w:t>20.4 Pesi di portafoglio e decomposizione del rischio</w:t>
      </w:r>
      <w:bookmarkEnd w:id="197"/>
    </w:p>
    <w:p w14:paraId="0CE96B2D" w14:textId="77777777" w:rsidR="008242CC" w:rsidRDefault="008242CC">
      <w:pPr>
        <w:pStyle w:val="FirstParagraph"/>
        <w:rPr>
          <w:lang w:val="it-IT"/>
        </w:rPr>
      </w:pPr>
      <w:r>
        <w:rPr>
          <w:lang w:val="it-IT"/>
        </w:rPr>
        <w:t xml:space="preserve">La modalità Equal assegna inizialmente peso 1/N a ciascun asset. La modalità Custom richiede pesi espliciti, finiti e non negativi; la somma iniziale è accettata quando |Σᵢwᵢ − 1| ≤ 0,01. Dopo la validazione iniziale, i pesi vengono normalizzati deterministicamente affinché la somma utilizzata nei calcoli sia esattamente pari a 1. Se un ticker viene escluso perché non ha prodotto </w:t>
      </w:r>
      <w:r>
        <w:rPr>
          <w:lang w:val="it-IT"/>
        </w:rPr>
        <w:lastRenderedPageBreak/>
        <w:t>un forecast valido, il relativo peso viene rimosso e i pesi degli strumenti superstiti vengono rinormalizzati sull’universo effettivamente calcolabile, anche nella modalità Custom. L’esclusione di un ticker con peso esplicito non genera da sola un errore bloccante. Se la somma dei pesi superstiti è nulla, non finita o altrimenti inutilizzabile, il sistema applica pesi uguali ai ticker validi. La correzione finale dell’ultimo peso assicura che la somma numerica sia esattamente pari a 1.</w:t>
      </w:r>
    </w:p>
    <w:p w14:paraId="71C14FFF" w14:textId="77777777" w:rsidR="008242CC" w:rsidRDefault="008242CC">
      <w:pPr>
        <w:pStyle w:val="BodyText"/>
        <w:rPr>
          <w:lang w:val="it-IT"/>
        </w:rPr>
      </w:pPr>
      <w:r>
        <w:rPr>
          <w:lang w:val="it-IT"/>
        </w:rPr>
        <w:t>Dati i pesi w e la matrice di covarianza annualizzata Σ, la volatilità di portafoglio è σp = √(wᵀΣw). Il contributo al rischio assoluto di ciascun asset i è calcolato tramite decomposizione di Euler: RC</w:t>
      </w:r>
      <w:r>
        <w:rPr>
          <w:vertAlign w:val="subscript"/>
          <w:lang w:val="it-IT"/>
        </w:rPr>
        <w:t>i</w:t>
      </w:r>
      <w:r>
        <w:rPr>
          <w:lang w:val="it-IT"/>
        </w:rPr>
        <w:t xml:space="preserve"> = w</w:t>
      </w:r>
      <w:r>
        <w:rPr>
          <w:vertAlign w:val="subscript"/>
          <w:lang w:val="it-IT"/>
        </w:rPr>
        <w:t>i</w:t>
      </w:r>
      <w:r>
        <w:rPr>
          <w:lang w:val="it-IT"/>
        </w:rPr>
        <w:t xml:space="preserve"> × (Σw)</w:t>
      </w:r>
      <w:r>
        <w:rPr>
          <w:vertAlign w:val="subscript"/>
          <w:lang w:val="it-IT"/>
        </w:rPr>
        <w:t>i</w:t>
      </w:r>
      <w:r>
        <w:rPr>
          <w:lang w:val="it-IT"/>
        </w:rPr>
        <w:t xml:space="preserve"> / σp, dove (Σw)</w:t>
      </w:r>
      <w:r>
        <w:rPr>
          <w:vertAlign w:val="subscript"/>
          <w:lang w:val="it-IT"/>
        </w:rPr>
        <w:t>i</w:t>
      </w:r>
      <w:r>
        <w:rPr>
          <w:lang w:val="it-IT"/>
        </w:rPr>
        <w:t xml:space="preserve"> è l’i-esimo elemento del prodotto matrice-vettore. La somma dei contributi assoluti coincide per costruzione con σp. Il contributo percentuale RC%</w:t>
      </w:r>
      <w:r>
        <w:rPr>
          <w:vertAlign w:val="subscript"/>
          <w:lang w:val="it-IT"/>
        </w:rPr>
        <w:t>i</w:t>
      </w:r>
      <w:r>
        <w:rPr>
          <w:lang w:val="it-IT"/>
        </w:rPr>
        <w:t xml:space="preserve"> esprime la quota del rischio totale attribuibile all’asset i.</w:t>
      </w:r>
    </w:p>
    <w:p w14:paraId="2026E1C0" w14:textId="77777777" w:rsidR="008242CC" w:rsidRDefault="008242CC">
      <w:pPr>
        <w:pStyle w:val="Heading2"/>
        <w:rPr>
          <w:lang w:val="it-IT"/>
        </w:rPr>
      </w:pPr>
      <w:bookmarkStart w:id="198" w:name="_Toc236387320"/>
      <w:r>
        <w:rPr>
          <w:lang w:val="it-IT"/>
        </w:rPr>
        <w:t>20.5 Statistiche calcolate e guida interpretativa non vincolante</w:t>
      </w:r>
      <w:bookmarkEnd w:id="198"/>
    </w:p>
    <w:p w14:paraId="0EAF3CD3" w14:textId="77777777" w:rsidR="008242CC" w:rsidRDefault="008242CC">
      <w:pPr>
        <w:pStyle w:val="FirstParagraph"/>
        <w:rPr>
          <w:lang w:val="it-IT"/>
        </w:rPr>
      </w:pPr>
      <w:r>
        <w:rPr>
          <w:lang w:val="it-IT"/>
        </w:rPr>
        <w:t>La tabella seguente descrive ogni statistica prodotta dalla Portfolio Mode, includendo la formula di calcolo, il significato quantitativo, un'indicazione interpretativa non vincolante e le condizioni che richiedono contestualizzazione:</w:t>
      </w:r>
    </w:p>
    <w:tbl>
      <w:tblPr>
        <w:tblW w:w="9360" w:type="dxa"/>
        <w:tblLook w:val="04A0" w:firstRow="1" w:lastRow="0" w:firstColumn="1" w:lastColumn="0" w:noHBand="0" w:noVBand="1"/>
      </w:tblPr>
      <w:tblGrid>
        <w:gridCol w:w="1994"/>
        <w:gridCol w:w="2801"/>
        <w:gridCol w:w="2021"/>
        <w:gridCol w:w="2544"/>
      </w:tblGrid>
      <w:tr w:rsidR="00035F7E" w14:paraId="083D2A5C" w14:textId="77777777">
        <w:trPr>
          <w:tblHeader/>
        </w:trPr>
        <w:tc>
          <w:tcPr>
            <w:tcW w:w="2000" w:type="dxa"/>
            <w:shd w:val="clear" w:color="auto" w:fill="1F4E79"/>
          </w:tcPr>
          <w:p w14:paraId="73BD155C" w14:textId="77777777" w:rsidR="00035F7E" w:rsidRDefault="008242CC">
            <w:pPr>
              <w:jc w:val="center"/>
              <w:rPr>
                <w:b/>
                <w:bCs/>
                <w:color w:val="FFFFFF"/>
                <w:lang w:val="it-IT"/>
              </w:rPr>
            </w:pPr>
            <w:r>
              <w:rPr>
                <w:b/>
                <w:bCs/>
                <w:color w:val="FFFFFF"/>
                <w:lang w:val="it-IT"/>
              </w:rPr>
              <w:t>Statistica</w:t>
            </w:r>
          </w:p>
        </w:tc>
        <w:tc>
          <w:tcPr>
            <w:tcW w:w="2600" w:type="dxa"/>
            <w:shd w:val="clear" w:color="auto" w:fill="1F4E79"/>
          </w:tcPr>
          <w:p w14:paraId="37E958CB" w14:textId="77777777" w:rsidR="00035F7E" w:rsidRDefault="008242CC">
            <w:pPr>
              <w:jc w:val="center"/>
              <w:rPr>
                <w:b/>
                <w:bCs/>
                <w:color w:val="FFFFFF"/>
                <w:lang w:val="it-IT"/>
              </w:rPr>
            </w:pPr>
            <w:r>
              <w:rPr>
                <w:b/>
                <w:bCs/>
                <w:color w:val="FFFFFF"/>
                <w:lang w:val="it-IT"/>
              </w:rPr>
              <w:t>Descrizione e formula</w:t>
            </w:r>
          </w:p>
        </w:tc>
        <w:tc>
          <w:tcPr>
            <w:tcW w:w="2080" w:type="dxa"/>
            <w:shd w:val="clear" w:color="auto" w:fill="1F4E79"/>
          </w:tcPr>
          <w:p w14:paraId="0E002CA8" w14:textId="77777777" w:rsidR="00035F7E" w:rsidRDefault="008242CC">
            <w:pPr>
              <w:jc w:val="center"/>
              <w:rPr>
                <w:b/>
                <w:bCs/>
                <w:color w:val="FFFFFF"/>
                <w:lang w:val="it-IT"/>
              </w:rPr>
            </w:pPr>
            <w:r>
              <w:rPr>
                <w:b/>
                <w:bCs/>
                <w:color w:val="FFFFFF"/>
                <w:lang w:val="it-IT"/>
              </w:rPr>
              <w:t>Indicazione interpretativa non vincolante</w:t>
            </w:r>
          </w:p>
        </w:tc>
        <w:tc>
          <w:tcPr>
            <w:tcW w:w="2680" w:type="dxa"/>
            <w:shd w:val="clear" w:color="auto" w:fill="1F4E79"/>
          </w:tcPr>
          <w:p w14:paraId="37BDD264" w14:textId="77777777" w:rsidR="00035F7E" w:rsidRDefault="008242CC">
            <w:pPr>
              <w:jc w:val="center"/>
              <w:rPr>
                <w:b/>
                <w:bCs/>
                <w:color w:val="FFFFFF"/>
                <w:lang w:val="it-IT"/>
              </w:rPr>
            </w:pPr>
            <w:r>
              <w:rPr>
                <w:b/>
                <w:bCs/>
                <w:color w:val="FFFFFF"/>
                <w:lang w:val="it-IT"/>
              </w:rPr>
              <w:t>Condizioni da contestualizzare</w:t>
            </w:r>
          </w:p>
        </w:tc>
      </w:tr>
      <w:tr w:rsidR="00035F7E" w14:paraId="201FDC17" w14:textId="77777777">
        <w:tc>
          <w:tcPr>
            <w:tcW w:w="2000" w:type="dxa"/>
            <w:shd w:val="clear" w:color="auto" w:fill="D5E8F0"/>
          </w:tcPr>
          <w:p w14:paraId="2D8ED1B5" w14:textId="77777777" w:rsidR="00035F7E" w:rsidRDefault="008242CC">
            <w:pPr>
              <w:rPr>
                <w:b/>
                <w:bCs/>
                <w:lang w:val="it-IT"/>
              </w:rPr>
            </w:pPr>
            <w:r>
              <w:rPr>
                <w:b/>
                <w:bCs/>
                <w:lang w:val="it-IT"/>
              </w:rPr>
              <w:t>Correlazione media di coppia</w:t>
            </w:r>
          </w:p>
        </w:tc>
        <w:tc>
          <w:tcPr>
            <w:tcW w:w="2600" w:type="dxa"/>
          </w:tcPr>
          <w:p w14:paraId="5B0FCEC4" w14:textId="77777777" w:rsidR="00035F7E" w:rsidRDefault="008242CC">
            <w:pPr>
              <w:rPr>
                <w:lang w:val="it-IT"/>
              </w:rPr>
            </w:pPr>
            <w:r>
              <w:rPr>
                <w:lang w:val="it-IT"/>
              </w:rPr>
              <w:t>Media della correlazione di Pearson sui log-return tra tutte le coppie di asset (triangolo superiore della matrice di correlazione). Varia tra -1 e +1.</w:t>
            </w:r>
          </w:p>
        </w:tc>
        <w:tc>
          <w:tcPr>
            <w:tcW w:w="2080" w:type="dxa"/>
          </w:tcPr>
          <w:p w14:paraId="087C1005" w14:textId="77777777" w:rsidR="00035F7E" w:rsidRDefault="008242CC">
            <w:pPr>
              <w:rPr>
                <w:lang w:val="it-IT"/>
              </w:rPr>
            </w:pPr>
            <w:r>
              <w:rPr>
                <w:lang w:val="it-IT"/>
              </w:rPr>
              <w:t>Inferiore a 0,50 (bassa correlazione media tra asset del paniere)</w:t>
            </w:r>
          </w:p>
        </w:tc>
        <w:tc>
          <w:tcPr>
            <w:tcW w:w="2680" w:type="dxa"/>
          </w:tcPr>
          <w:p w14:paraId="1A7F48FD" w14:textId="77777777" w:rsidR="00035F7E" w:rsidRDefault="008242CC">
            <w:pPr>
              <w:rPr>
                <w:lang w:val="it-IT"/>
              </w:rPr>
            </w:pPr>
            <w:r>
              <w:rPr>
                <w:lang w:val="it-IT"/>
              </w:rPr>
              <w:t>≥ 0,80: diversificazione fortemente limitata. L’interfaccia mostra un avviso esplicito. Valori negativi indicano una relazione storica inversa tra gli asset e possono ridurre la covarianza aggregata, a parità delle altre condizioni.</w:t>
            </w:r>
          </w:p>
        </w:tc>
      </w:tr>
      <w:tr w:rsidR="00035F7E" w14:paraId="6EC56285" w14:textId="77777777">
        <w:tc>
          <w:tcPr>
            <w:tcW w:w="2000" w:type="dxa"/>
            <w:shd w:val="clear" w:color="auto" w:fill="EBF5FB"/>
          </w:tcPr>
          <w:p w14:paraId="014B3175" w14:textId="77777777" w:rsidR="00035F7E" w:rsidRDefault="008242CC">
            <w:pPr>
              <w:rPr>
                <w:b/>
                <w:bCs/>
                <w:lang w:val="it-IT"/>
              </w:rPr>
            </w:pPr>
            <w:r>
              <w:rPr>
                <w:b/>
                <w:bCs/>
                <w:lang w:val="it-IT"/>
              </w:rPr>
              <w:t>Volatilità per ticker</w:t>
            </w:r>
          </w:p>
        </w:tc>
        <w:tc>
          <w:tcPr>
            <w:tcW w:w="2600" w:type="dxa"/>
          </w:tcPr>
          <w:p w14:paraId="3CB4F37A" w14:textId="77777777" w:rsidR="00035F7E" w:rsidRDefault="008242CC">
            <w:pPr>
              <w:rPr>
                <w:lang w:val="it-IT"/>
              </w:rPr>
            </w:pPr>
            <w:r>
              <w:rPr>
                <w:lang w:val="it-IT"/>
              </w:rPr>
              <w:t>Deviazione standard annualizzata dei log-return: σ</w:t>
            </w:r>
            <w:r>
              <w:rPr>
                <w:vertAlign w:val="subscript"/>
                <w:lang w:val="it-IT"/>
              </w:rPr>
              <w:t>i</w:t>
            </w:r>
            <w:r>
              <w:rPr>
                <w:lang w:val="it-IT"/>
              </w:rPr>
              <w:t xml:space="preserve"> = std(r</w:t>
            </w:r>
            <w:r>
              <w:rPr>
                <w:vertAlign w:val="subscript"/>
                <w:lang w:val="it-IT"/>
              </w:rPr>
              <w:t>i</w:t>
            </w:r>
            <w:r>
              <w:rPr>
                <w:lang w:val="it-IT"/>
              </w:rPr>
              <w:t>) × √(periodi/anno). Espressa come decimale (0,25 = 25% di volatilità annualizzata).</w:t>
            </w:r>
          </w:p>
        </w:tc>
        <w:tc>
          <w:tcPr>
            <w:tcW w:w="2080" w:type="dxa"/>
          </w:tcPr>
          <w:p w14:paraId="04ED5BFA" w14:textId="77777777" w:rsidR="00035F7E" w:rsidRDefault="008242CC">
            <w:pPr>
              <w:rPr>
                <w:lang w:val="it-IT"/>
              </w:rPr>
            </w:pPr>
            <w:r>
              <w:rPr>
                <w:lang w:val="it-IT"/>
              </w:rPr>
              <w:t>Dipende dall’asset class. Azionario large-cap: 15-25% tipico. Obbligazionario investment-grade: 3-8%.</w:t>
            </w:r>
          </w:p>
        </w:tc>
        <w:tc>
          <w:tcPr>
            <w:tcW w:w="2680" w:type="dxa"/>
          </w:tcPr>
          <w:p w14:paraId="20EE3DCB" w14:textId="77777777" w:rsidR="00035F7E" w:rsidRDefault="008242CC">
            <w:pPr>
              <w:rPr>
                <w:lang w:val="it-IT"/>
              </w:rPr>
            </w:pPr>
            <w:r>
              <w:rPr>
                <w:lang w:val="it-IT"/>
              </w:rPr>
              <w:t>&gt; 50%: livello di volatilità elevato. Il valore richiede contestualizzazione rispetto alla classe di attività, alla finestra temporale e ai limiti di rischio applicabili.</w:t>
            </w:r>
          </w:p>
        </w:tc>
      </w:tr>
      <w:tr w:rsidR="00035F7E" w14:paraId="2249BA24" w14:textId="77777777">
        <w:tc>
          <w:tcPr>
            <w:tcW w:w="2000" w:type="dxa"/>
            <w:shd w:val="clear" w:color="auto" w:fill="D5E8F0"/>
          </w:tcPr>
          <w:p w14:paraId="256176FD" w14:textId="77777777" w:rsidR="00035F7E" w:rsidRDefault="008242CC">
            <w:pPr>
              <w:rPr>
                <w:b/>
                <w:bCs/>
                <w:lang w:val="it-IT"/>
              </w:rPr>
            </w:pPr>
            <w:r>
              <w:rPr>
                <w:b/>
                <w:bCs/>
                <w:lang w:val="it-IT"/>
              </w:rPr>
              <w:t>Volatilità di portafoglio</w:t>
            </w:r>
          </w:p>
        </w:tc>
        <w:tc>
          <w:tcPr>
            <w:tcW w:w="2600" w:type="dxa"/>
          </w:tcPr>
          <w:p w14:paraId="271E8654" w14:textId="77777777" w:rsidR="00035F7E" w:rsidRDefault="008242CC">
            <w:pPr>
              <w:rPr>
                <w:lang w:val="it-IT"/>
              </w:rPr>
            </w:pPr>
            <w:r>
              <w:rPr>
                <w:lang w:val="it-IT"/>
              </w:rPr>
              <w:t xml:space="preserve">σp = √(wᵀΣw), dove Σ è la matrice di covarianza annualizzata dei log-return e w il vettore dei </w:t>
            </w:r>
            <w:r>
              <w:rPr>
                <w:lang w:val="it-IT"/>
              </w:rPr>
              <w:lastRenderedPageBreak/>
              <w:t>pesi. Tiene conto delle correlazioni tra asset.</w:t>
            </w:r>
          </w:p>
        </w:tc>
        <w:tc>
          <w:tcPr>
            <w:tcW w:w="2080" w:type="dxa"/>
          </w:tcPr>
          <w:p w14:paraId="591403C1" w14:textId="77777777" w:rsidR="00035F7E" w:rsidRDefault="008242CC">
            <w:pPr>
              <w:rPr>
                <w:lang w:val="it-IT"/>
              </w:rPr>
            </w:pPr>
            <w:r>
              <w:rPr>
                <w:lang w:val="it-IT"/>
              </w:rPr>
              <w:lastRenderedPageBreak/>
              <w:t xml:space="preserve">Inferiore alla media ponderata delle volatilità individuali: ciò </w:t>
            </w:r>
            <w:r>
              <w:rPr>
                <w:lang w:val="it-IT"/>
              </w:rPr>
              <w:lastRenderedPageBreak/>
              <w:t>indica beneficio effettivo dalla diversificazione.</w:t>
            </w:r>
          </w:p>
        </w:tc>
        <w:tc>
          <w:tcPr>
            <w:tcW w:w="2680" w:type="dxa"/>
          </w:tcPr>
          <w:p w14:paraId="6FE0E8A3" w14:textId="77777777" w:rsidR="00035F7E" w:rsidRDefault="008242CC">
            <w:pPr>
              <w:rPr>
                <w:lang w:val="it-IT"/>
              </w:rPr>
            </w:pPr>
            <w:r>
              <w:rPr>
                <w:lang w:val="it-IT"/>
              </w:rPr>
              <w:lastRenderedPageBreak/>
              <w:t xml:space="preserve">σp ≈ media ponderata: correlazioni elevate annullano il beneficio della composizione. </w:t>
            </w:r>
            <w:r>
              <w:rPr>
                <w:lang w:val="it-IT"/>
              </w:rPr>
              <w:lastRenderedPageBreak/>
              <w:t>σp = media ponderata implica DR = 1,00.</w:t>
            </w:r>
          </w:p>
        </w:tc>
      </w:tr>
      <w:tr w:rsidR="00035F7E" w14:paraId="16B16F1F" w14:textId="77777777">
        <w:tc>
          <w:tcPr>
            <w:tcW w:w="2000" w:type="dxa"/>
            <w:shd w:val="clear" w:color="auto" w:fill="EBF5FB"/>
          </w:tcPr>
          <w:p w14:paraId="0176B38D" w14:textId="77777777" w:rsidR="00035F7E" w:rsidRDefault="008242CC">
            <w:pPr>
              <w:rPr>
                <w:b/>
                <w:bCs/>
                <w:lang w:val="it-IT"/>
              </w:rPr>
            </w:pPr>
            <w:r>
              <w:rPr>
                <w:b/>
                <w:bCs/>
                <w:lang w:val="it-IT"/>
              </w:rPr>
              <w:lastRenderedPageBreak/>
              <w:t>Rapporto di diversificazione</w:t>
            </w:r>
          </w:p>
        </w:tc>
        <w:tc>
          <w:tcPr>
            <w:tcW w:w="2600" w:type="dxa"/>
          </w:tcPr>
          <w:p w14:paraId="41D2CBBD" w14:textId="77777777" w:rsidR="00035F7E" w:rsidRDefault="008242CC">
            <w:pPr>
              <w:rPr>
                <w:lang w:val="it-IT"/>
              </w:rPr>
            </w:pPr>
            <w:r>
              <w:rPr>
                <w:lang w:val="it-IT"/>
              </w:rPr>
              <w:t>DR = (Σ</w:t>
            </w:r>
            <w:r>
              <w:rPr>
                <w:vertAlign w:val="subscript"/>
                <w:lang w:val="it-IT"/>
              </w:rPr>
              <w:t>i</w:t>
            </w:r>
            <w:r>
              <w:rPr>
                <w:lang w:val="it-IT"/>
              </w:rPr>
              <w:t xml:space="preserve"> w</w:t>
            </w:r>
            <w:r>
              <w:rPr>
                <w:vertAlign w:val="subscript"/>
                <w:lang w:val="it-IT"/>
              </w:rPr>
              <w:t>i</w:t>
            </w:r>
            <w:r>
              <w:rPr>
                <w:lang w:val="it-IT"/>
              </w:rPr>
              <w:t xml:space="preserve"> × σ</w:t>
            </w:r>
            <w:r>
              <w:rPr>
                <w:vertAlign w:val="subscript"/>
                <w:lang w:val="it-IT"/>
              </w:rPr>
              <w:t>i</w:t>
            </w:r>
            <w:r>
              <w:rPr>
                <w:lang w:val="it-IT"/>
              </w:rPr>
              <w:t>) / σp. Rapporto tra la media ponderata delle volatilità individuali e la volatilità del portafoglio. DR = 1 indica assenza di diversificazione; DR &gt; 1 indica beneficio dalla decorrelazione tra asset.</w:t>
            </w:r>
          </w:p>
        </w:tc>
        <w:tc>
          <w:tcPr>
            <w:tcW w:w="2080" w:type="dxa"/>
          </w:tcPr>
          <w:p w14:paraId="4EDEEF3F" w14:textId="77777777" w:rsidR="00035F7E" w:rsidRDefault="008242CC">
            <w:pPr>
              <w:rPr>
                <w:lang w:val="it-IT"/>
              </w:rPr>
            </w:pPr>
            <w:r>
              <w:rPr>
                <w:lang w:val="it-IT"/>
              </w:rPr>
              <w:t>&gt; 1,30: maggiore beneficio di diversificazione osservato. &gt; 1,50: livello più elevato rispetto al campione. &gt; 2,00: indicazione descrittiva di portafoglio.</w:t>
            </w:r>
          </w:p>
        </w:tc>
        <w:tc>
          <w:tcPr>
            <w:tcW w:w="2680" w:type="dxa"/>
          </w:tcPr>
          <w:p w14:paraId="598D242B" w14:textId="77777777" w:rsidR="00035F7E" w:rsidRDefault="008242CC">
            <w:pPr>
              <w:rPr>
                <w:lang w:val="it-IT"/>
              </w:rPr>
            </w:pPr>
            <w:r>
              <w:rPr>
                <w:lang w:val="it-IT"/>
              </w:rPr>
              <w:t>≈ 1,00 o inferiore a 1,10: asset fortemente correlati, la composizione non riduce il rischio rispetto al singolo strumento. La composizione presenta un beneficio di diversificazione limitato.</w:t>
            </w:r>
          </w:p>
        </w:tc>
      </w:tr>
      <w:tr w:rsidR="00035F7E" w14:paraId="155C9CB2" w14:textId="77777777">
        <w:tc>
          <w:tcPr>
            <w:tcW w:w="2000" w:type="dxa"/>
            <w:shd w:val="clear" w:color="auto" w:fill="D5E8F0"/>
          </w:tcPr>
          <w:p w14:paraId="3000C883" w14:textId="77777777" w:rsidR="00035F7E" w:rsidRDefault="008242CC">
            <w:pPr>
              <w:rPr>
                <w:b/>
                <w:bCs/>
                <w:lang w:val="it-IT"/>
              </w:rPr>
            </w:pPr>
            <w:r>
              <w:rPr>
                <w:b/>
                <w:bCs/>
                <w:lang w:val="it-IT"/>
              </w:rPr>
              <w:t>Contributo al rischio %</w:t>
            </w:r>
          </w:p>
        </w:tc>
        <w:tc>
          <w:tcPr>
            <w:tcW w:w="2600" w:type="dxa"/>
          </w:tcPr>
          <w:p w14:paraId="291911AC" w14:textId="77777777" w:rsidR="00035F7E" w:rsidRDefault="008242CC">
            <w:pPr>
              <w:rPr>
                <w:lang w:val="it-IT"/>
              </w:rPr>
            </w:pPr>
            <w:r>
              <w:rPr>
                <w:lang w:val="it-IT"/>
              </w:rPr>
              <w:t>Quota del rischio totale di portafoglio attribuibile a ciascun asset, decomposizione di Euler: RC%</w:t>
            </w:r>
            <w:r>
              <w:rPr>
                <w:vertAlign w:val="subscript"/>
                <w:lang w:val="it-IT"/>
              </w:rPr>
              <w:t>i</w:t>
            </w:r>
            <w:r>
              <w:rPr>
                <w:lang w:val="it-IT"/>
              </w:rPr>
              <w:t xml:space="preserve"> = w</w:t>
            </w:r>
            <w:r>
              <w:rPr>
                <w:vertAlign w:val="subscript"/>
                <w:lang w:val="it-IT"/>
              </w:rPr>
              <w:t>i</w:t>
            </w:r>
            <w:r>
              <w:rPr>
                <w:lang w:val="it-IT"/>
              </w:rPr>
              <w:t xml:space="preserve"> × (Σw)</w:t>
            </w:r>
            <w:r>
              <w:rPr>
                <w:vertAlign w:val="subscript"/>
                <w:lang w:val="it-IT"/>
              </w:rPr>
              <w:t>i</w:t>
            </w:r>
            <w:r>
              <w:rPr>
                <w:lang w:val="it-IT"/>
              </w:rPr>
              <w:t xml:space="preserve"> / σp². La somma delle RC% vale sempre 100%.</w:t>
            </w:r>
          </w:p>
        </w:tc>
        <w:tc>
          <w:tcPr>
            <w:tcW w:w="2080" w:type="dxa"/>
          </w:tcPr>
          <w:p w14:paraId="41C7C349" w14:textId="77777777" w:rsidR="00035F7E" w:rsidRDefault="008242CC">
            <w:pPr>
              <w:rPr>
                <w:lang w:val="it-IT"/>
              </w:rPr>
            </w:pPr>
            <w:r>
              <w:rPr>
                <w:lang w:val="it-IT"/>
              </w:rPr>
              <w:t>Una distribuzione meno concentrata presenta contributi al rischio più uniformi. La condizione RC%</w:t>
            </w:r>
            <w:r>
              <w:rPr>
                <w:vertAlign w:val="subscript"/>
                <w:lang w:val="it-IT"/>
              </w:rPr>
              <w:t>i</w:t>
            </w:r>
            <w:r>
              <w:rPr>
                <w:lang w:val="it-IT"/>
              </w:rPr>
              <w:t xml:space="preserve"> ≈ 1/N descrive una configurazione di risk parity teorica, non un obiettivo universale.</w:t>
            </w:r>
          </w:p>
        </w:tc>
        <w:tc>
          <w:tcPr>
            <w:tcW w:w="2680" w:type="dxa"/>
          </w:tcPr>
          <w:p w14:paraId="279B8C28" w14:textId="77777777" w:rsidR="00035F7E" w:rsidRDefault="008242CC">
            <w:pPr>
              <w:rPr>
                <w:lang w:val="it-IT"/>
              </w:rPr>
            </w:pPr>
            <w:r>
              <w:rPr>
                <w:lang w:val="it-IT"/>
              </w:rPr>
              <w:t>Un asset con RC% &gt; 60%: il portafoglio è di fatto mono-asset nonostante l’allocazione nominale. Il rischio risulta fortemente concentrato su un singolo asset.</w:t>
            </w:r>
          </w:p>
        </w:tc>
      </w:tr>
      <w:tr w:rsidR="00035F7E" w14:paraId="11FC1E86" w14:textId="77777777">
        <w:tc>
          <w:tcPr>
            <w:tcW w:w="2000" w:type="dxa"/>
            <w:shd w:val="clear" w:color="auto" w:fill="EBF5FB"/>
          </w:tcPr>
          <w:p w14:paraId="1CF41B0E" w14:textId="77777777" w:rsidR="00035F7E" w:rsidRDefault="008242CC">
            <w:pPr>
              <w:rPr>
                <w:b/>
                <w:bCs/>
                <w:lang w:val="it-IT"/>
              </w:rPr>
            </w:pPr>
            <w:r>
              <w:rPr>
                <w:b/>
                <w:bCs/>
                <w:lang w:val="it-IT"/>
              </w:rPr>
              <w:t>Drawdown massimo</w:t>
            </w:r>
          </w:p>
        </w:tc>
        <w:tc>
          <w:tcPr>
            <w:tcW w:w="2600" w:type="dxa"/>
          </w:tcPr>
          <w:p w14:paraId="5BBE9903" w14:textId="77777777" w:rsidR="00035F7E" w:rsidRDefault="008242CC">
            <w:pPr>
              <w:rPr>
                <w:lang w:val="it-IT"/>
              </w:rPr>
            </w:pPr>
            <w:r>
              <w:rPr>
                <w:lang w:val="it-IT"/>
              </w:rPr>
              <w:t>Calo percentuale massimo dal picco al minimo sulla serie di rendimenti semplici pesata del portafoglio. Calcolato sul periodo storico selezionato. Valore negativo espresso come decimale (es. -0,25 = -25%).</w:t>
            </w:r>
          </w:p>
        </w:tc>
        <w:tc>
          <w:tcPr>
            <w:tcW w:w="2080" w:type="dxa"/>
          </w:tcPr>
          <w:p w14:paraId="3A00F962" w14:textId="77777777" w:rsidR="00035F7E" w:rsidRDefault="008242CC">
            <w:pPr>
              <w:rPr>
                <w:lang w:val="it-IT"/>
              </w:rPr>
            </w:pPr>
            <w:r>
              <w:rPr>
                <w:lang w:val="it-IT"/>
              </w:rPr>
              <w:t xml:space="preserve">Le soglie osservate dipendono dalla classe di attività, dalla composizione e dalla finestra temporale. I livelli −20% e −35% sono riferimenti </w:t>
            </w:r>
            <w:r>
              <w:rPr>
                <w:lang w:val="it-IT"/>
              </w:rPr>
              <w:lastRenderedPageBreak/>
              <w:t>contestuali e non soglie universali di adeguatezza.</w:t>
            </w:r>
          </w:p>
        </w:tc>
        <w:tc>
          <w:tcPr>
            <w:tcW w:w="2680" w:type="dxa"/>
          </w:tcPr>
          <w:p w14:paraId="526BF0A7" w14:textId="77777777" w:rsidR="00035F7E" w:rsidRDefault="008242CC">
            <w:pPr>
              <w:rPr>
                <w:lang w:val="it-IT"/>
              </w:rPr>
            </w:pPr>
            <w:r>
              <w:rPr>
                <w:lang w:val="it-IT"/>
              </w:rPr>
              <w:lastRenderedPageBreak/>
              <w:t>&lt; -50%: drawdown storico di ampiezza elevata nella finestra analizzata. Un benchmark coerente con la classe di attività fornisce ulteriore contesto descrittivo.</w:t>
            </w:r>
          </w:p>
        </w:tc>
      </w:tr>
      <w:tr w:rsidR="00035F7E" w14:paraId="3CE874BB" w14:textId="77777777">
        <w:tc>
          <w:tcPr>
            <w:tcW w:w="2000" w:type="dxa"/>
            <w:shd w:val="clear" w:color="auto" w:fill="D5E8F0"/>
          </w:tcPr>
          <w:p w14:paraId="102BA4B8" w14:textId="77777777" w:rsidR="00035F7E" w:rsidRDefault="008242CC">
            <w:pPr>
              <w:rPr>
                <w:b/>
                <w:bCs/>
                <w:lang w:val="it-IT"/>
              </w:rPr>
            </w:pPr>
            <w:r>
              <w:rPr>
                <w:b/>
                <w:bCs/>
                <w:lang w:val="it-IT"/>
              </w:rPr>
              <w:t>Drawdown corrente</w:t>
            </w:r>
          </w:p>
        </w:tc>
        <w:tc>
          <w:tcPr>
            <w:tcW w:w="2600" w:type="dxa"/>
          </w:tcPr>
          <w:p w14:paraId="755AD67F" w14:textId="77777777" w:rsidR="00035F7E" w:rsidRDefault="008242CC">
            <w:pPr>
              <w:rPr>
                <w:lang w:val="it-IT"/>
              </w:rPr>
            </w:pPr>
            <w:r>
              <w:rPr>
                <w:lang w:val="it-IT"/>
              </w:rPr>
              <w:t>Distanza percentuale dal massimo storico al valore corrente del portafoglio nell’ultima data della finestra. Zero indica che il portafoglio è ai massimi della finestra analizzata.</w:t>
            </w:r>
          </w:p>
        </w:tc>
        <w:tc>
          <w:tcPr>
            <w:tcW w:w="2080" w:type="dxa"/>
          </w:tcPr>
          <w:p w14:paraId="38E3B40F" w14:textId="77777777" w:rsidR="00035F7E" w:rsidRDefault="008242CC">
            <w:pPr>
              <w:rPr>
                <w:lang w:val="it-IT"/>
              </w:rPr>
            </w:pPr>
            <w:r>
              <w:rPr>
                <w:lang w:val="it-IT"/>
              </w:rPr>
              <w:t>Un valore pari a 0,00 indica che il portafoglio si trova sul massimo della finestra osservata. Il livello −5% è riportato esclusivamente come riferimento descrittivo contestuale.</w:t>
            </w:r>
          </w:p>
        </w:tc>
        <w:tc>
          <w:tcPr>
            <w:tcW w:w="2680" w:type="dxa"/>
          </w:tcPr>
          <w:p w14:paraId="127F68E9" w14:textId="77777777" w:rsidR="00035F7E" w:rsidRDefault="008242CC">
            <w:pPr>
              <w:rPr>
                <w:lang w:val="it-IT"/>
              </w:rPr>
            </w:pPr>
            <w:r>
              <w:rPr>
                <w:lang w:val="it-IT"/>
              </w:rPr>
              <w:t>&lt; -15%: drawdown corrente di ampiezza elevata rispetto al massimo della finestra osservata. Il dato richiede contestualizzazione rispetto al mercato, alla classe di attività e alla finestra temporale.</w:t>
            </w:r>
          </w:p>
        </w:tc>
      </w:tr>
      <w:tr w:rsidR="00035F7E" w14:paraId="59783A75" w14:textId="77777777">
        <w:tc>
          <w:tcPr>
            <w:tcW w:w="2000" w:type="dxa"/>
            <w:shd w:val="clear" w:color="auto" w:fill="EBF5FB"/>
          </w:tcPr>
          <w:p w14:paraId="3CD30BB7" w14:textId="77777777" w:rsidR="00035F7E" w:rsidRDefault="008242CC">
            <w:pPr>
              <w:rPr>
                <w:b/>
                <w:bCs/>
                <w:lang w:val="it-IT"/>
              </w:rPr>
            </w:pPr>
            <w:r>
              <w:rPr>
                <w:b/>
                <w:bCs/>
                <w:lang w:val="it-IT"/>
              </w:rPr>
              <w:t>Durata max drawdown</w:t>
            </w:r>
          </w:p>
        </w:tc>
        <w:tc>
          <w:tcPr>
            <w:tcW w:w="2600" w:type="dxa"/>
          </w:tcPr>
          <w:p w14:paraId="077546E6" w14:textId="77777777" w:rsidR="00035F7E" w:rsidRDefault="008242CC">
            <w:pPr>
              <w:rPr>
                <w:lang w:val="it-IT"/>
              </w:rPr>
            </w:pPr>
            <w:r>
              <w:rPr>
                <w:lang w:val="it-IT"/>
              </w:rPr>
              <w:t>Numero massimo di periodi consecutivi in cui il portafoglio è rimasto “sott’acqua” (sotto il precedente massimo storico). Espressa nell’unità della frequenza selezionata (giorni/settimane/mesi).</w:t>
            </w:r>
          </w:p>
        </w:tc>
        <w:tc>
          <w:tcPr>
            <w:tcW w:w="2080" w:type="dxa"/>
          </w:tcPr>
          <w:p w14:paraId="392D89BF" w14:textId="77777777" w:rsidR="00035F7E" w:rsidRDefault="008242CC">
            <w:pPr>
              <w:rPr>
                <w:lang w:val="it-IT"/>
              </w:rPr>
            </w:pPr>
            <w:r>
              <w:rPr>
                <w:lang w:val="it-IT"/>
              </w:rPr>
              <w:t>Una durata ridotta rispetto alla finestra totale descrive un recupero storico più rapido dei massimi. Il significato dipende dalla frequenza e dall’orizzonte analizzati.</w:t>
            </w:r>
          </w:p>
        </w:tc>
        <w:tc>
          <w:tcPr>
            <w:tcW w:w="2680" w:type="dxa"/>
          </w:tcPr>
          <w:p w14:paraId="230A33F6" w14:textId="77777777" w:rsidR="00035F7E" w:rsidRDefault="008242CC">
            <w:pPr>
              <w:rPr>
                <w:lang w:val="it-IT"/>
              </w:rPr>
            </w:pPr>
            <w:r>
              <w:rPr>
                <w:lang w:val="it-IT"/>
              </w:rPr>
              <w:t>Durata &gt; 50% della finestra totale: il portafoglio è rimasto sotto il precedente massimo per la maggior parte del periodo osservato. Il dato descrive la persistenza storica del drawdown senza formulare previsioni sul recupero futuro.</w:t>
            </w:r>
          </w:p>
        </w:tc>
      </w:tr>
      <w:tr w:rsidR="00035F7E" w14:paraId="06AFD0A5" w14:textId="77777777">
        <w:tc>
          <w:tcPr>
            <w:tcW w:w="2000" w:type="dxa"/>
            <w:shd w:val="clear" w:color="auto" w:fill="D5E8F0"/>
          </w:tcPr>
          <w:p w14:paraId="74678F64" w14:textId="77777777" w:rsidR="00035F7E" w:rsidRDefault="008242CC">
            <w:pPr>
              <w:rPr>
                <w:b/>
                <w:bCs/>
                <w:lang w:val="it-IT"/>
              </w:rPr>
            </w:pPr>
            <w:r>
              <w:rPr>
                <w:b/>
                <w:bCs/>
                <w:lang w:val="it-IT"/>
              </w:rPr>
              <w:t>Rendimento atteso totale</w:t>
            </w:r>
          </w:p>
        </w:tc>
        <w:tc>
          <w:tcPr>
            <w:tcW w:w="2600" w:type="dxa"/>
          </w:tcPr>
          <w:p w14:paraId="43F4D6F4" w14:textId="77777777" w:rsidR="00035F7E" w:rsidRDefault="008242CC">
            <w:pPr>
              <w:rPr>
                <w:lang w:val="it-IT"/>
              </w:rPr>
            </w:pPr>
            <w:r>
              <w:rPr>
                <w:lang w:val="it-IT"/>
              </w:rPr>
              <w:t>Aggregazione deterministica: R</w:t>
            </w:r>
            <w:r>
              <w:rPr>
                <w:vertAlign w:val="subscript"/>
                <w:lang w:val="it-IT"/>
              </w:rPr>
              <w:t>port</w:t>
            </w:r>
            <w:r>
              <w:rPr>
                <w:lang w:val="it-IT"/>
              </w:rPr>
              <w:t xml:space="preserve"> = Σ</w:t>
            </w:r>
            <w:r>
              <w:rPr>
                <w:vertAlign w:val="subscript"/>
                <w:lang w:val="it-IT"/>
              </w:rPr>
              <w:t>i</w:t>
            </w:r>
            <w:r>
              <w:rPr>
                <w:lang w:val="it-IT"/>
              </w:rPr>
              <w:t xml:space="preserve"> w</w:t>
            </w:r>
            <w:r>
              <w:rPr>
                <w:vertAlign w:val="subscript"/>
                <w:lang w:val="it-IT"/>
              </w:rPr>
              <w:t>i</w:t>
            </w:r>
            <w:r>
              <w:rPr>
                <w:lang w:val="it-IT"/>
              </w:rPr>
              <w:t xml:space="preserve"> × (forecast</w:t>
            </w:r>
            <w:r>
              <w:rPr>
                <w:vertAlign w:val="subscript"/>
                <w:lang w:val="it-IT"/>
              </w:rPr>
              <w:t>i</w:t>
            </w:r>
            <w:r>
              <w:rPr>
                <w:lang w:val="it-IT"/>
              </w:rPr>
              <w:t xml:space="preserve"> / ref</w:t>
            </w:r>
            <w:r>
              <w:rPr>
                <w:vertAlign w:val="subscript"/>
                <w:lang w:val="it-IT"/>
              </w:rPr>
              <w:t>price,i</w:t>
            </w:r>
            <w:r>
              <w:rPr>
                <w:lang w:val="it-IT"/>
              </w:rPr>
              <w:t xml:space="preserve"> - 1). Combinazione lineare pesata dei rendimenti impliciti per-ticker. Non costituisce raccomandazione di investimento.</w:t>
            </w:r>
          </w:p>
        </w:tc>
        <w:tc>
          <w:tcPr>
            <w:tcW w:w="2080" w:type="dxa"/>
          </w:tcPr>
          <w:p w14:paraId="22E73093" w14:textId="77777777" w:rsidR="00035F7E" w:rsidRDefault="008242CC">
            <w:pPr>
              <w:rPr>
                <w:lang w:val="it-IT"/>
              </w:rPr>
            </w:pPr>
            <w:r>
              <w:rPr>
                <w:lang w:val="it-IT"/>
              </w:rPr>
              <w:t>Non applicabile (valore descrittivo della previsione del modello).</w:t>
            </w:r>
          </w:p>
        </w:tc>
        <w:tc>
          <w:tcPr>
            <w:tcW w:w="2680" w:type="dxa"/>
          </w:tcPr>
          <w:p w14:paraId="1A3F3A64" w14:textId="77777777" w:rsidR="00035F7E" w:rsidRDefault="008242CC">
            <w:pPr>
              <w:rPr>
                <w:lang w:val="it-IT"/>
              </w:rPr>
            </w:pPr>
            <w:r>
              <w:rPr>
                <w:lang w:val="it-IT"/>
              </w:rPr>
              <w:t>Il dato assume significato congiuntamente all’intervallo di previsione aggregato e alle metriche di accuratezza storica per ticker.</w:t>
            </w:r>
          </w:p>
        </w:tc>
      </w:tr>
      <w:tr w:rsidR="00035F7E" w14:paraId="27816831" w14:textId="77777777">
        <w:tc>
          <w:tcPr>
            <w:tcW w:w="2000" w:type="dxa"/>
            <w:shd w:val="clear" w:color="auto" w:fill="EBF5FB"/>
          </w:tcPr>
          <w:p w14:paraId="21E3F3E7" w14:textId="77777777" w:rsidR="00035F7E" w:rsidRDefault="008242CC">
            <w:pPr>
              <w:rPr>
                <w:b/>
                <w:bCs/>
                <w:lang w:val="it-IT"/>
              </w:rPr>
            </w:pPr>
            <w:r>
              <w:rPr>
                <w:b/>
                <w:bCs/>
                <w:lang w:val="it-IT"/>
              </w:rPr>
              <w:t xml:space="preserve">Intervallo di previsione </w:t>
            </w:r>
            <w:r>
              <w:rPr>
                <w:b/>
                <w:bCs/>
                <w:lang w:val="it-IT"/>
              </w:rPr>
              <w:lastRenderedPageBreak/>
              <w:t>aggregato</w:t>
            </w:r>
          </w:p>
        </w:tc>
        <w:tc>
          <w:tcPr>
            <w:tcW w:w="2600" w:type="dxa"/>
          </w:tcPr>
          <w:p w14:paraId="4110B3F8" w14:textId="77777777" w:rsidR="00035F7E" w:rsidRDefault="008242CC">
            <w:pPr>
              <w:rPr>
                <w:lang w:val="it-IT"/>
              </w:rPr>
            </w:pPr>
            <w:r>
              <w:rPr>
                <w:lang w:val="it-IT"/>
              </w:rPr>
              <w:lastRenderedPageBreak/>
              <w:t>PI</w:t>
            </w:r>
            <w:r>
              <w:rPr>
                <w:vertAlign w:val="subscript"/>
                <w:lang w:val="it-IT"/>
              </w:rPr>
              <w:t>port</w:t>
            </w:r>
            <w:r>
              <w:rPr>
                <w:lang w:val="it-IT"/>
              </w:rPr>
              <w:t xml:space="preserve"> = [Σ</w:t>
            </w:r>
            <w:r>
              <w:rPr>
                <w:vertAlign w:val="subscript"/>
                <w:lang w:val="it-IT"/>
              </w:rPr>
              <w:t>i</w:t>
            </w:r>
            <w:r>
              <w:rPr>
                <w:lang w:val="it-IT"/>
              </w:rPr>
              <w:t xml:space="preserve"> w</w:t>
            </w:r>
            <w:r>
              <w:rPr>
                <w:vertAlign w:val="subscript"/>
                <w:lang w:val="it-IT"/>
              </w:rPr>
              <w:t>i</w:t>
            </w:r>
            <w:r>
              <w:rPr>
                <w:lang w:val="it-IT"/>
              </w:rPr>
              <w:t xml:space="preserve"> × (PI</w:t>
            </w:r>
            <w:r>
              <w:rPr>
                <w:vertAlign w:val="subscript"/>
                <w:lang w:val="it-IT"/>
              </w:rPr>
              <w:t>low,i</w:t>
            </w:r>
            <w:r>
              <w:rPr>
                <w:lang w:val="it-IT"/>
              </w:rPr>
              <w:t>/ref</w:t>
            </w:r>
            <w:r>
              <w:rPr>
                <w:vertAlign w:val="subscript"/>
                <w:lang w:val="it-IT"/>
              </w:rPr>
              <w:t>i</w:t>
            </w:r>
            <w:r>
              <w:rPr>
                <w:lang w:val="it-IT"/>
              </w:rPr>
              <w:t xml:space="preserve"> - 1), Σ</w:t>
            </w:r>
            <w:r>
              <w:rPr>
                <w:vertAlign w:val="subscript"/>
                <w:lang w:val="it-IT"/>
              </w:rPr>
              <w:t>i</w:t>
            </w:r>
            <w:r>
              <w:rPr>
                <w:lang w:val="it-IT"/>
              </w:rPr>
              <w:t xml:space="preserve"> w</w:t>
            </w:r>
            <w:r>
              <w:rPr>
                <w:vertAlign w:val="subscript"/>
                <w:lang w:val="it-IT"/>
              </w:rPr>
              <w:t>i</w:t>
            </w:r>
            <w:r>
              <w:rPr>
                <w:lang w:val="it-IT"/>
              </w:rPr>
              <w:t xml:space="preserve"> × </w:t>
            </w:r>
            <w:r>
              <w:rPr>
                <w:lang w:val="it-IT"/>
              </w:rPr>
              <w:lastRenderedPageBreak/>
              <w:t>(PI</w:t>
            </w:r>
            <w:r>
              <w:rPr>
                <w:vertAlign w:val="subscript"/>
                <w:lang w:val="it-IT"/>
              </w:rPr>
              <w:t>up,i</w:t>
            </w:r>
            <w:r>
              <w:rPr>
                <w:lang w:val="it-IT"/>
              </w:rPr>
              <w:t>/ref</w:t>
            </w:r>
            <w:r>
              <w:rPr>
                <w:vertAlign w:val="subscript"/>
                <w:lang w:val="it-IT"/>
              </w:rPr>
              <w:t>i</w:t>
            </w:r>
            <w:r>
              <w:rPr>
                <w:lang w:val="it-IT"/>
              </w:rPr>
              <w:t xml:space="preserve"> - 1)]. Stimabile solo se tutti i ticker hanno un PI valido e un prezzo di riferimento definito. La confidence è il minimo tra le confidence per-ticker. Aggregazione per componenti (ipotesi di estremi comonotoni), non un intervallo congiunto di portafoglio.</w:t>
            </w:r>
          </w:p>
        </w:tc>
        <w:tc>
          <w:tcPr>
            <w:tcW w:w="2080" w:type="dxa"/>
          </w:tcPr>
          <w:p w14:paraId="38D4FCC6" w14:textId="77777777" w:rsidR="00035F7E" w:rsidRDefault="008242CC">
            <w:pPr>
              <w:rPr>
                <w:lang w:val="it-IT"/>
              </w:rPr>
            </w:pPr>
            <w:r>
              <w:rPr>
                <w:lang w:val="it-IT"/>
              </w:rPr>
              <w:lastRenderedPageBreak/>
              <w:t xml:space="preserve">Un intervallo aggregato più </w:t>
            </w:r>
            <w:r>
              <w:rPr>
                <w:lang w:val="it-IT"/>
              </w:rPr>
              <w:lastRenderedPageBreak/>
              <w:t>stretto riflette una minore ampiezza della combinazione ponderata degli intervalli marginali per ticker. Non misura direttamente la convergenza dei point forecast fra gli strumenti.</w:t>
            </w:r>
          </w:p>
        </w:tc>
        <w:tc>
          <w:tcPr>
            <w:tcW w:w="2680" w:type="dxa"/>
          </w:tcPr>
          <w:p w14:paraId="5DF1FCF0" w14:textId="77777777" w:rsidR="00035F7E" w:rsidRDefault="008242CC">
            <w:pPr>
              <w:rPr>
                <w:lang w:val="it-IT"/>
              </w:rPr>
            </w:pPr>
            <w:r>
              <w:rPr>
                <w:lang w:val="it-IT"/>
              </w:rPr>
              <w:lastRenderedPageBreak/>
              <w:t xml:space="preserve">Non stimabile se anche uno solo dei </w:t>
            </w:r>
            <w:r>
              <w:rPr>
                <w:lang w:val="it-IT"/>
              </w:rPr>
              <w:lastRenderedPageBreak/>
              <w:t>ticker manca di prezzo di riferimento o di intervallo di previsione valido.</w:t>
            </w:r>
          </w:p>
        </w:tc>
      </w:tr>
    </w:tbl>
    <w:p w14:paraId="2A86F3F2" w14:textId="77777777" w:rsidR="008242CC" w:rsidRDefault="008242CC">
      <w:pPr>
        <w:pStyle w:val="BodyText"/>
        <w:rPr>
          <w:lang w:val="it-IT"/>
        </w:rPr>
      </w:pPr>
    </w:p>
    <w:p w14:paraId="16496415" w14:textId="77777777" w:rsidR="00035F7E" w:rsidRDefault="008242CC">
      <w:r>
        <w:t>Guida interpretativa non vincolante</w:t>
      </w:r>
    </w:p>
    <w:p w14:paraId="189132F4" w14:textId="77777777" w:rsidR="00035F7E" w:rsidRDefault="008242CC">
      <w:r>
        <w:t>Le soglie numeriche riportate nella tabella precedente sono riferimenti descrittivi e contestuali. Non rappresentano livelli ottimali universali, non determinano automaticamente la qualità o l'adeguatezza di un portafoglio e non modificano alcun calcolo quantitativo.</w:t>
      </w:r>
    </w:p>
    <w:p w14:paraId="155C6C65" w14:textId="77777777" w:rsidR="00035F7E" w:rsidRDefault="008242CC">
      <w:r>
        <w:t>Disclaimer professionale: queste sono euristiche contestuali, non verità matematiche universali; non alterano i calcoli; non generano raccomandazioni di acquisto, vendita, mantenimento, sovrappeso o sottopeso; gli utenti istituzionali devono interpretarle nel contesto del proprio mandato, orizzonte, benchmark, liquidità, classe di attività e limiti di rischio.</w:t>
      </w:r>
    </w:p>
    <w:p w14:paraId="15B7298C" w14:textId="77777777" w:rsidR="00035F7E" w:rsidRDefault="008242CC">
      <w:r>
        <w:t>Diagnostiche avanzate di rischio di portafoglio</w:t>
      </w:r>
    </w:p>
    <w:p w14:paraId="2EC1A4F2" w14:textId="77777777" w:rsidR="00035F7E" w:rsidRDefault="008242CC">
      <w:r>
        <w:t>Il Portfolio Mode calcola le seguenti diagnostiche avanzate di rischio sui rendimenti semplici periodici del portafoglio pesato.</w:t>
      </w:r>
    </w:p>
    <w:p w14:paraId="55E19D85" w14:textId="77777777" w:rsidR="00035F7E" w:rsidRDefault="008242CC">
      <w:r>
        <w:t>VaR storico (Historical VaR)</w:t>
      </w:r>
    </w:p>
    <w:p w14:paraId="4B64EDB4" w14:textId="77777777" w:rsidR="00035F7E" w:rsidRDefault="008242CC">
      <w:r>
        <w:t>Sia α il livello di confidenza richiesto, per esempio α = 0,95. Per i rendimenti semplici periodici del portafoglio rₜ viene calcolato il quantile inferiore q = Q₁₋α(r). Il Value at Risk storico è VaR = max(0, −q), secondo la convenzione che rappresenta le perdite come magnitudini positive. Il calcolo richiede almeno 20 osservazioni periodiche. L’evidenza di coda viene segnalata come ridotta quando il numero atteso di osservazioni nella coda, n × (1 − α), è inferiore a 5.</w:t>
      </w:r>
    </w:p>
    <w:p w14:paraId="79FFEBED" w14:textId="77777777" w:rsidR="00035F7E" w:rsidRDefault="008242CC">
      <w:r>
        <w:t>Expected Shortfall storico (Historical ES)</w:t>
      </w:r>
    </w:p>
    <w:p w14:paraId="6A0AE59F" w14:textId="77777777" w:rsidR="00035F7E" w:rsidRDefault="008242CC">
      <w:r>
        <w:t>ES = max(0, −media dei rendimenti ≤ quantile di coda). L'implementazione impone ES ≥ VaR come guardia numerica.</w:t>
      </w:r>
    </w:p>
    <w:p w14:paraId="3F17EEC9" w14:textId="77777777" w:rsidR="00035F7E" w:rsidRDefault="008242CC">
      <w:r>
        <w:lastRenderedPageBreak/>
        <w:t>VaR parametrico</w:t>
      </w:r>
    </w:p>
    <w:p w14:paraId="14306FB0" w14:textId="77777777" w:rsidR="00035F7E" w:rsidRDefault="008242CC">
      <w:r>
        <w:t>Sia α il livello di confidenza richiesto e sia zα = Φ⁻¹(α) il corrispondente quantile della distribuzione normale standard. Il VaR parametrico a un periodo è VaR = max(0, zα × σ − μ), dove μ è la media periodica del campione e σ è la deviazione standard campionaria periodica. Il calcolo utilizza la stessa serie di rendimenti semplici periodici e non applica annualizzazioni arbitrarie. Il metodo assume normalità della distribuzione dei rendimenti; tale assunzione deve essere riportata come limitazione.</w:t>
      </w:r>
    </w:p>
    <w:p w14:paraId="21395E2C" w14:textId="77777777" w:rsidR="00035F7E" w:rsidRDefault="008242CC">
      <w:r>
        <w:t>Volatilità downside</w:t>
      </w:r>
    </w:p>
    <w:p w14:paraId="30DE9068" w14:textId="77777777" w:rsidR="00035F7E" w:rsidRDefault="008242CC">
      <w:r>
        <w:t>dₜ = min(rₜ − τ, 0); σ</w:t>
      </w:r>
      <w:r>
        <w:rPr>
          <w:vertAlign w:val="subscript"/>
        </w:rPr>
        <w:t>down,period</w:t>
      </w:r>
      <w:r>
        <w:t xml:space="preserve"> = √(1/N · Σₜ dₜ²); σ</w:t>
      </w:r>
      <w:r>
        <w:rPr>
          <w:vertAlign w:val="subscript"/>
        </w:rPr>
        <w:t>down,annual</w:t>
      </w:r>
      <w:r>
        <w:t xml:space="preserve"> = σ</w:t>
      </w:r>
      <w:r>
        <w:rPr>
          <w:vertAlign w:val="subscript"/>
        </w:rPr>
        <w:t>down,period</w:t>
      </w:r>
      <w:r>
        <w:t xml:space="preserve"> · √(ppy). La soglia corrente è τ = 0.</w:t>
      </w:r>
    </w:p>
    <w:p w14:paraId="6556B820" w14:textId="77777777" w:rsidR="00035F7E" w:rsidRDefault="008242CC">
      <w:r>
        <w:t>Concentrazione per peso</w:t>
      </w:r>
    </w:p>
    <w:p w14:paraId="4AE2955E" w14:textId="77777777" w:rsidR="00035F7E" w:rsidRDefault="008242CC">
      <w:r>
        <w:t>HHI</w:t>
      </w:r>
      <w:r>
        <w:rPr>
          <w:vertAlign w:val="subscript"/>
        </w:rPr>
        <w:t>w</w:t>
      </w:r>
      <w:r>
        <w:t xml:space="preserve"> = Σᵢ wᵢ²; N</w:t>
      </w:r>
      <w:r>
        <w:rPr>
          <w:vertAlign w:val="subscript"/>
        </w:rPr>
        <w:t>eff,w</w:t>
      </w:r>
      <w:r>
        <w:t xml:space="preserve"> = 1/HHI</w:t>
      </w:r>
      <w:r>
        <w:rPr>
          <w:vertAlign w:val="subscript"/>
        </w:rPr>
        <w:t>w</w:t>
      </w:r>
      <w:r>
        <w:t>. Documenta anche il ticker con il peso più alto.</w:t>
      </w:r>
    </w:p>
    <w:p w14:paraId="718906A5" w14:textId="77777777" w:rsidR="00035F7E" w:rsidRDefault="008242CC">
      <w:r>
        <w:t>Concentrazione per contributo al rischio</w:t>
      </w:r>
    </w:p>
    <w:p w14:paraId="30D0DD6E" w14:textId="77777777" w:rsidR="00035F7E" w:rsidRDefault="008242CC">
      <w:r>
        <w:t>Quando tutte le quote di contributo al rischio di Euler sono finite e non negative, vengono prima normalizzate rispetto alla loro somma: pᵢ = RCᵢ% / ΣⱼRCⱼ%. L’indice di concentrazione del rischio è quindi HHIrisk = Σᵢpᵢ² e il numero effettivo di posizioni di rischio è Neff,risk = 1 / HHIrisk. Il calcolo non è stimabile quando una quota non è disponibile o non è finita, quando esistono contributi negativi oppure quando la somma delle quote non è strettamente positiva. Non calcolare l’HHI direttamente sui contributi assoluti non normalizzati.</w:t>
      </w:r>
    </w:p>
    <w:p w14:paraId="57CB979B" w14:textId="77777777" w:rsidR="00035F7E" w:rsidRDefault="008242CC">
      <w:r>
        <w:t>Nota: la documentazione distingue i rendimenti logaritmici usati per covarianza e correlazione dai rendimenti semplici usati per drawdown e diagnostiche avanzate di rischio di coda.</w:t>
      </w:r>
    </w:p>
    <w:p w14:paraId="3883FC90" w14:textId="77777777" w:rsidR="008242CC" w:rsidRDefault="008242CC">
      <w:pPr>
        <w:pStyle w:val="Heading2"/>
        <w:rPr>
          <w:lang w:val="it-IT"/>
        </w:rPr>
      </w:pPr>
      <w:bookmarkStart w:id="199" w:name="_Toc236387321"/>
      <w:r>
        <w:rPr>
          <w:lang w:val="it-IT"/>
        </w:rPr>
        <w:t>20.6 Aggregazione previsioni lato server</w:t>
      </w:r>
      <w:bookmarkEnd w:id="199"/>
    </w:p>
    <w:p w14:paraId="3A7CDF54" w14:textId="77777777" w:rsidR="008242CC" w:rsidRDefault="008242CC">
      <w:pPr>
        <w:pStyle w:val="FirstParagraph"/>
        <w:rPr>
          <w:lang w:val="it-IT"/>
        </w:rPr>
      </w:pPr>
      <w:r>
        <w:rPr>
          <w:lang w:val="it-IT"/>
        </w:rPr>
        <w:t>Una volta completate tutte le previsioni per-ticker, il server esegue l’aggregazione deterministica del portafoglio senza intervento del browser. Il rendimento atteso totale è la somma pesata dei rendimenti impliciti per-ticker. L’intervallo di previsione aggregato è la combinazione lineare pesata degli estremi degli intervalli per-ticker ed è stimabile solo se tutti i ticker dispongono di un PI valido e di un prezzo di riferimento. La confidence dell’intervallo aggregato è il minimo delle confidence per-ticker. Si tratta di un’aggregazione per componenti: la somma pesata degli estremi marginali per-ticker coincide con il quantile del portafoglio solo nell’ipotesi di estremi perfettamente comonotoni. Non è quindi un intervallo congiunto a livello di portafoglio e il livello indicato non è una dichiarazione di copertura congiunta; la natura component-wise è dichiarata nei metadati dell’aggregazione e in una nota metodologica del report (HTML e DOCX).</w:t>
      </w:r>
    </w:p>
    <w:p w14:paraId="63906A23" w14:textId="77777777" w:rsidR="008242CC" w:rsidRDefault="008242CC">
      <w:pPr>
        <w:pStyle w:val="BodyText"/>
        <w:rPr>
          <w:lang w:val="it-IT"/>
        </w:rPr>
      </w:pPr>
      <w:r>
        <w:rPr>
          <w:lang w:val="it-IT"/>
        </w:rPr>
        <w:t xml:space="preserve">Se l’utente ha inserito un intervallo di rendimento opzionale a livello di portafoglio (“portfolio return interval”), il sistema verifica se tale intervallo è interamente contenuto nell’intervallo di previsione aggregato del modello, restituendo l’esito </w:t>
      </w:r>
      <w:r>
        <w:rPr>
          <w:i/>
          <w:iCs/>
          <w:lang w:val="it-IT"/>
        </w:rPr>
        <w:t>«intervallo utente interamente contenuto»</w:t>
      </w:r>
      <w:r>
        <w:rPr>
          <w:lang w:val="it-IT"/>
        </w:rPr>
        <w:t xml:space="preserve"> nel risultato e nel report generato.</w:t>
      </w:r>
    </w:p>
    <w:p w14:paraId="3644ABA3" w14:textId="77777777" w:rsidR="00035F7E" w:rsidRDefault="008242CC">
      <w:pPr>
        <w:pStyle w:val="Heading2"/>
      </w:pPr>
      <w:bookmarkStart w:id="200" w:name="_Toc236387322"/>
      <w:r>
        <w:lastRenderedPageBreak/>
        <w:t>20.7 Report generati e notifiche</w:t>
      </w:r>
      <w:bookmarkEnd w:id="200"/>
    </w:p>
    <w:p w14:paraId="03796DC7" w14:textId="77777777" w:rsidR="00035F7E" w:rsidRDefault="008242CC">
      <w:r>
        <w:t>Il parent job Portfolio genera un unico pacchetto coordinato dopo il completamento dei forecast per ticker, delle analisi storiche richieste e dell’aggregazione.</w:t>
      </w:r>
    </w:p>
    <w:p w14:paraId="64750B6F" w14:textId="77777777" w:rsidR="00035F7E" w:rsidRDefault="008242CC">
      <w:r>
        <w:rPr>
          <w:b/>
        </w:rPr>
        <w:t>Deliverable destinati al cliente</w:t>
      </w:r>
    </w:p>
    <w:p w14:paraId="79449E9A" w14:textId="77777777" w:rsidR="00035F7E" w:rsidRDefault="008242CC">
      <w:r>
        <w:t>Il pacchetto esterno può includere:</w:t>
      </w:r>
    </w:p>
    <w:p w14:paraId="58856EC2" w14:textId="77777777" w:rsidR="00035F7E" w:rsidRDefault="008242CC">
      <w:pPr>
        <w:numPr>
          <w:ilvl w:val="0"/>
          <w:numId w:val="1"/>
        </w:numPr>
      </w:pPr>
      <w:r>
        <w:t>• report HTML interattivo;</w:t>
      </w:r>
    </w:p>
    <w:p w14:paraId="11F6E936" w14:textId="77777777" w:rsidR="00035F7E" w:rsidRDefault="008242CC">
      <w:pPr>
        <w:numPr>
          <w:ilvl w:val="0"/>
          <w:numId w:val="1"/>
        </w:numPr>
      </w:pPr>
      <w:r>
        <w:t>• report DOCX istituzionale.</w:t>
      </w:r>
    </w:p>
    <w:p w14:paraId="485D8333" w14:textId="77777777" w:rsidR="00035F7E" w:rsidRDefault="008242CC">
      <w:r>
        <w:t>I deliverable destinati al cliente devono restare puliti e non devono esporre stack trace, eccezioni interne, warning di sviluppo, fallimenti tecnici dettagliati o diagnostiche di audit riservate.</w:t>
      </w:r>
    </w:p>
    <w:p w14:paraId="467F196A" w14:textId="77777777" w:rsidR="00035F7E" w:rsidRDefault="008242CC">
      <w:r>
        <w:rPr>
          <w:b/>
        </w:rPr>
        <w:t>Deliverable di validazione interna</w:t>
      </w:r>
    </w:p>
    <w:p w14:paraId="14FEC1D7" w14:textId="77777777" w:rsidR="00035F7E" w:rsidRDefault="008242CC">
      <w:r>
        <w:t>Quando sono disponibili risultati per ticker, il parent job tenta automaticamente di generare un DOCX di validazione interna separato.</w:t>
      </w:r>
    </w:p>
    <w:p w14:paraId="0C5F0FC7" w14:textId="77777777" w:rsidR="00035F7E" w:rsidRDefault="008242CC">
      <w:r>
        <w:t>La generazione del documento interno è best-effort: un errore limitato a tale documento viene registrato internamente e non deve contaminare il report destinato al cliente.</w:t>
      </w:r>
    </w:p>
    <w:p w14:paraId="35ED0163" w14:textId="77777777" w:rsidR="00EC030A" w:rsidRDefault="00FC0C9B">
      <w:r>
        <w:t>Quando uno o più ticker vengono esclusi dall’elaborazione di portafoglio, il documento di validazione interna riporta il ticker, il codice di errore, la fase interessata, la motivazione disponibile, l’identificativo dell’eventuale child job e l’avvenuta rinormalizzazione dei pesi. Queste informazioni non vengono trasferite nel payload pubblico né nei report destinati al cliente, che rappresentano esclusivamente l’universo effettivamente calcolato.</w:t>
      </w:r>
    </w:p>
    <w:p w14:paraId="605B005D" w14:textId="77777777" w:rsidR="00035F7E" w:rsidRDefault="008242CC">
      <w:r>
        <w:t>Il documento interno può contenere:</w:t>
      </w:r>
    </w:p>
    <w:p w14:paraId="1E29E1FA" w14:textId="77777777" w:rsidR="00035F7E" w:rsidRDefault="008242CC">
      <w:pPr>
        <w:numPr>
          <w:ilvl w:val="0"/>
          <w:numId w:val="1"/>
        </w:numPr>
      </w:pPr>
      <w:r>
        <w:t>• stato dei modelli;</w:t>
      </w:r>
    </w:p>
    <w:p w14:paraId="47CF06C4" w14:textId="77777777" w:rsidR="00035F7E" w:rsidRDefault="008242CC">
      <w:pPr>
        <w:numPr>
          <w:ilvl w:val="0"/>
          <w:numId w:val="1"/>
        </w:numPr>
      </w:pPr>
      <w:r>
        <w:t>• fallimenti ed esclusioni;</w:t>
      </w:r>
    </w:p>
    <w:p w14:paraId="6C4369F6" w14:textId="77777777" w:rsidR="00035F7E" w:rsidRDefault="008242CC">
      <w:pPr>
        <w:numPr>
          <w:ilvl w:val="0"/>
          <w:numId w:val="1"/>
        </w:numPr>
      </w:pPr>
      <w:r>
        <w:t>• errori di backtest;</w:t>
      </w:r>
    </w:p>
    <w:p w14:paraId="7144FD9F" w14:textId="77777777" w:rsidR="00035F7E" w:rsidRDefault="008242CC">
      <w:pPr>
        <w:numPr>
          <w:ilvl w:val="0"/>
          <w:numId w:val="1"/>
        </w:numPr>
      </w:pPr>
      <w:r>
        <w:t>• limitazioni dell’evidenza;</w:t>
      </w:r>
    </w:p>
    <w:p w14:paraId="7EC2B551" w14:textId="77777777" w:rsidR="00035F7E" w:rsidRDefault="008242CC">
      <w:pPr>
        <w:numPr>
          <w:ilvl w:val="0"/>
          <w:numId w:val="1"/>
        </w:numPr>
      </w:pPr>
      <w:r>
        <w:t>• diagnostiche degli intervalli;</w:t>
      </w:r>
    </w:p>
    <w:p w14:paraId="0EB2EEAC" w14:textId="77777777" w:rsidR="00035F7E" w:rsidRDefault="008242CC">
      <w:pPr>
        <w:numPr>
          <w:ilvl w:val="0"/>
          <w:numId w:val="1"/>
        </w:numPr>
      </w:pPr>
      <w:r>
        <w:t>• diagnostiche delle probabilità;</w:t>
      </w:r>
    </w:p>
    <w:p w14:paraId="017AF4E9" w14:textId="77777777" w:rsidR="00035F7E" w:rsidRDefault="008242CC">
      <w:pPr>
        <w:numPr>
          <w:ilvl w:val="0"/>
          <w:numId w:val="1"/>
        </w:numPr>
      </w:pPr>
      <w:r>
        <w:t>• controlli sulla pubblicazione direzionale.</w:t>
      </w:r>
    </w:p>
    <w:p w14:paraId="65123980" w14:textId="77777777" w:rsidR="00035F7E" w:rsidRDefault="008242CC">
      <w:r>
        <w:rPr>
          <w:b/>
        </w:rPr>
        <w:t>Report per ticker</w:t>
      </w:r>
    </w:p>
    <w:p w14:paraId="0734DFD0" w14:textId="77777777" w:rsidR="00035F7E" w:rsidRDefault="008242CC">
      <w:r>
        <w:t>Le elaborazioni dei singoli strumenti eseguite all’interno di Portfolio Mode non generano pacchetti documentali individuali. La produzione dei report è responsabilità esclusiva del processo coordinatore, che genera il pacchetto Portfolio complessivo.</w:t>
      </w:r>
    </w:p>
    <w:p w14:paraId="127AD441" w14:textId="77777777" w:rsidR="00035F7E" w:rsidRDefault="008242CC">
      <w:r>
        <w:rPr>
          <w:b/>
        </w:rPr>
        <w:t>Pubblicazione e notifica</w:t>
      </w:r>
    </w:p>
    <w:p w14:paraId="0D2D831B" w14:textId="77777777" w:rsidR="00035F7E" w:rsidRDefault="008242CC">
      <w:r>
        <w:lastRenderedPageBreak/>
        <w:t>I report vengono inizialmente generati in un’area di staging locale. Dopo il completamento del settlement, i file vengono attivati nel report store e validati.</w:t>
      </w:r>
    </w:p>
    <w:p w14:paraId="260B4CD8" w14:textId="77777777" w:rsidR="00035F7E" w:rsidRDefault="008242CC">
      <w:r>
        <w:t>La notifica Telegram, quando configurata, viene inviata soltanto dopo che la pubblicazione del risultato è stata completata con successo. Un errore di notifica non modifica il risultato quantitativo già pubblicato.</w:t>
      </w:r>
    </w:p>
    <w:p w14:paraId="1A8FD07D" w14:textId="77777777" w:rsidR="00035F7E" w:rsidRDefault="008242CC">
      <w:r>
        <w:rPr>
          <w:b/>
        </w:rPr>
        <w:t>Fallimenti di pubblicazione</w:t>
      </w:r>
    </w:p>
    <w:p w14:paraId="1A3E12F8" w14:textId="77777777" w:rsidR="00035F7E" w:rsidRDefault="008242CC">
      <w:r>
        <w:t>Se uno o più deliverable richiesti non possono essere attivati correttamente, il job termina con uno stato di delivery failure e gli eventuali token incompleti vengono revocati. Il sistema non dichiara il job completato con successo quando il pacchetto richiesto non è stato pubblicato integralmente.</w:t>
      </w:r>
    </w:p>
    <w:p w14:paraId="5A6A797A" w14:textId="77777777" w:rsidR="000854B7" w:rsidRDefault="008242CC">
      <w:pPr>
        <w:pStyle w:val="Heading2"/>
      </w:pPr>
      <w:bookmarkStart w:id="201" w:name="_Toc236387323"/>
      <w:r>
        <w:t>20.8 Architettura operativa del processo Portfolio</w:t>
      </w:r>
      <w:bookmarkEnd w:id="201"/>
    </w:p>
    <w:p w14:paraId="41C31ECD" w14:textId="77777777" w:rsidR="00035F7E" w:rsidRDefault="008242CC">
      <w:r>
        <w:rPr>
          <w:b/>
        </w:rPr>
        <w:t>Avvio del processo coordinato</w:t>
      </w:r>
    </w:p>
    <w:p w14:paraId="7581845F" w14:textId="77777777" w:rsidR="00035F7E" w:rsidRDefault="008242CC">
      <w:r>
        <w:t>Portfolio Mode viene avviato attraverso un unico processo coordinato lato server. La richiesta comprende:</w:t>
      </w:r>
    </w:p>
    <w:p w14:paraId="04C031EB" w14:textId="77777777" w:rsidR="00035F7E" w:rsidRDefault="008242CC">
      <w:pPr>
        <w:numPr>
          <w:ilvl w:val="0"/>
          <w:numId w:val="1"/>
        </w:numPr>
      </w:pPr>
      <w:r>
        <w:t>• strumenti finanziari inclusi nel portafoglio;</w:t>
      </w:r>
    </w:p>
    <w:p w14:paraId="5C47AC28" w14:textId="77777777" w:rsidR="00035F7E" w:rsidRDefault="008242CC">
      <w:pPr>
        <w:numPr>
          <w:ilvl w:val="0"/>
          <w:numId w:val="1"/>
        </w:numPr>
      </w:pPr>
      <w:r>
        <w:t>• data target;</w:t>
      </w:r>
    </w:p>
    <w:p w14:paraId="44A465AE" w14:textId="77777777" w:rsidR="00035F7E" w:rsidRDefault="008242CC">
      <w:pPr>
        <w:numPr>
          <w:ilvl w:val="0"/>
          <w:numId w:val="1"/>
        </w:numPr>
      </w:pPr>
      <w:r>
        <w:t>• riferimento al dataset validato;</w:t>
      </w:r>
    </w:p>
    <w:p w14:paraId="71DD944E" w14:textId="77777777" w:rsidR="00035F7E" w:rsidRDefault="008242CC">
      <w:pPr>
        <w:numPr>
          <w:ilvl w:val="0"/>
          <w:numId w:val="1"/>
        </w:numPr>
      </w:pPr>
      <w:r>
        <w:t>• modelli selezionati;</w:t>
      </w:r>
    </w:p>
    <w:p w14:paraId="5C8F7B35" w14:textId="77777777" w:rsidR="00035F7E" w:rsidRDefault="008242CC">
      <w:pPr>
        <w:numPr>
          <w:ilvl w:val="0"/>
          <w:numId w:val="1"/>
        </w:numPr>
      </w:pPr>
      <w:r>
        <w:t>• profilo di backtest;</w:t>
      </w:r>
    </w:p>
    <w:p w14:paraId="0776784C" w14:textId="77777777" w:rsidR="00035F7E" w:rsidRDefault="008242CC">
      <w:pPr>
        <w:numPr>
          <w:ilvl w:val="0"/>
          <w:numId w:val="1"/>
        </w:numPr>
      </w:pPr>
      <w:r>
        <w:t>• pesi e relativa modalità;</w:t>
      </w:r>
    </w:p>
    <w:p w14:paraId="66F1BF7E" w14:textId="77777777" w:rsidR="00035F7E" w:rsidRDefault="008242CC">
      <w:pPr>
        <w:numPr>
          <w:ilvl w:val="0"/>
          <w:numId w:val="1"/>
        </w:numPr>
      </w:pPr>
      <w:r>
        <w:t>• finestre delle analisi storiche;</w:t>
      </w:r>
    </w:p>
    <w:p w14:paraId="634C3457" w14:textId="77777777" w:rsidR="00035F7E" w:rsidRDefault="008242CC">
      <w:pPr>
        <w:numPr>
          <w:ilvl w:val="0"/>
          <w:numId w:val="1"/>
        </w:numPr>
      </w:pPr>
      <w:r>
        <w:t>• statistiche richieste;</w:t>
      </w:r>
    </w:p>
    <w:p w14:paraId="7D80D933" w14:textId="77777777" w:rsidR="00035F7E" w:rsidRDefault="008242CC">
      <w:pPr>
        <w:numPr>
          <w:ilvl w:val="0"/>
          <w:numId w:val="1"/>
        </w:numPr>
      </w:pPr>
      <w:r>
        <w:t>• configurazione delle metriche di rischio;</w:t>
      </w:r>
    </w:p>
    <w:p w14:paraId="5319736F" w14:textId="77777777" w:rsidR="00035F7E" w:rsidRDefault="008242CC">
      <w:pPr>
        <w:numPr>
          <w:ilvl w:val="0"/>
          <w:numId w:val="1"/>
        </w:numPr>
      </w:pPr>
      <w:r>
        <w:t>• impostazioni specifiche per ciascuno strumento;</w:t>
      </w:r>
    </w:p>
    <w:p w14:paraId="126E578C" w14:textId="77777777" w:rsidR="00035F7E" w:rsidRDefault="008242CC">
      <w:pPr>
        <w:numPr>
          <w:ilvl w:val="0"/>
          <w:numId w:val="1"/>
        </w:numPr>
      </w:pPr>
      <w:r>
        <w:t>• scelta relativa alla storia di validazione;</w:t>
      </w:r>
    </w:p>
    <w:p w14:paraId="2E2150C1" w14:textId="77777777" w:rsidR="00035F7E" w:rsidRDefault="008242CC">
      <w:pPr>
        <w:numPr>
          <w:ilvl w:val="0"/>
          <w:numId w:val="1"/>
        </w:numPr>
      </w:pPr>
      <w:r>
        <w:t>• scelta relativa al modulo direzionale.</w:t>
      </w:r>
    </w:p>
    <w:p w14:paraId="4F23CD1C" w14:textId="77777777" w:rsidR="00035F7E" w:rsidRDefault="008242CC">
      <w:r>
        <w:t>Il sistema restituisce un identificativo univoco dell’elaborazione. L’avanzamento e il risultato finale vengono resi disponibili attraverso il flusso generale dell’applicazione.</w:t>
      </w:r>
    </w:p>
    <w:p w14:paraId="2B809293" w14:textId="77777777" w:rsidR="00EC030A" w:rsidRDefault="00FC0C9B">
      <w:r>
        <w:t>Costruzione dell’universo effettivo</w:t>
      </w:r>
    </w:p>
    <w:p w14:paraId="7E83DE5A" w14:textId="77777777" w:rsidR="00EC030A" w:rsidRDefault="00FC0C9B">
      <w:r>
        <w:t xml:space="preserve">Dopo l’esecuzione dei forecast per ticker, il processo coordinatore separa i risultati validi da quelli non validi. Con almeno due risultati validi, aggregazione, statistiche storiche e report client vengono costruiti soltanto sui ticker superstiti. I pesi vengono rinormalizzati </w:t>
      </w:r>
      <w:r>
        <w:lastRenderedPageBreak/>
        <w:t>deterministicamente e nel risultato vengono conservati l’elenco dei ticker effettivi e i pesi effettivamente utilizzati.</w:t>
      </w:r>
    </w:p>
    <w:p w14:paraId="23F61171" w14:textId="77777777" w:rsidR="00EC030A" w:rsidRDefault="00FC0C9B">
      <w:r>
        <w:t>Separazione fra deliverable client e validazione interna</w:t>
      </w:r>
    </w:p>
    <w:p w14:paraId="3207E183" w14:textId="77777777" w:rsidR="00EC030A" w:rsidRDefault="00FC0C9B">
      <w:r>
        <w:t>Le informazioni tecniche sui ticker esclusi vengono aggiunte esclusivamente al documento di validazione interna. Prima della pubblicazione del risultato client, i campi interni relativi alle esclusioni vengono rimossi dal payload pubblico. Le statistiche non selezionate dall’utente non devono essere aggiunte ai report o alle tabelle di validazione, salvo i controlli minimi di integrità necessari al processo.</w:t>
      </w:r>
    </w:p>
    <w:p w14:paraId="736320AC" w14:textId="77777777" w:rsidR="00035F7E" w:rsidRDefault="008242CC">
      <w:r>
        <w:rPr>
          <w:b/>
        </w:rPr>
        <w:t>Analisi storiche integrate</w:t>
      </w:r>
    </w:p>
    <w:p w14:paraId="3CE96EA1" w14:textId="77777777" w:rsidR="00035F7E" w:rsidRDefault="008242CC">
      <w:r>
        <w:t>Le analisi storiche di portafoglio vengono calcolate esclusivamente all’interno del processo coordinato, dopo il completamento delle previsioni per ciascuno strumento e prima della pubblicazione finale. Non è previsto un servizio separato per produrre autonomamente tali analisi.</w:t>
      </w:r>
    </w:p>
    <w:p w14:paraId="6245F1F9" w14:textId="77777777" w:rsidR="00035F7E" w:rsidRDefault="008242CC">
      <w:r>
        <w:rPr>
          <w:b/>
        </w:rPr>
        <w:t>Generazione integrata dei report</w:t>
      </w:r>
    </w:p>
    <w:p w14:paraId="3060D558" w14:textId="77777777" w:rsidR="00035F7E" w:rsidRDefault="008242CC">
      <w:r>
        <w:t>I report vengono generati esclusivamente come parte del processo coordinato di Portfolio Mode. Non è prevista una procedura separata di rigenerazione al di fuori di tale processo.</w:t>
      </w:r>
    </w:p>
    <w:p w14:paraId="0DE55C6D" w14:textId="77777777" w:rsidR="00035F7E" w:rsidRDefault="008242CC">
      <w:r>
        <w:t>Questa architettura impedisce che analisi o documenti scaricabili vengano prodotti al di fuori del flusso coordinato di ammissione, elaborazione, controllo, pubblicazione e verifica dei deliverable.</w:t>
      </w:r>
    </w:p>
    <w:sectPr w:rsidR="00035F7E">
      <w:headerReference w:type="even" r:id="rId7"/>
      <w:headerReference w:type="default" r:id="rId8"/>
      <w:footerReference w:type="even" r:id="rId9"/>
      <w:footerReference w:type="default" r:id="rId10"/>
      <w:headerReference w:type="first" r:id="rId11"/>
      <w:footerReference w:type="first" r:id="rId12"/>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A49B9" w14:textId="77777777" w:rsidR="00C0462E" w:rsidRDefault="00C0462E">
      <w:pPr>
        <w:spacing w:after="0"/>
      </w:pPr>
      <w:r>
        <w:separator/>
      </w:r>
    </w:p>
  </w:endnote>
  <w:endnote w:type="continuationSeparator" w:id="0">
    <w:p w14:paraId="45D3042F" w14:textId="77777777" w:rsidR="00C0462E" w:rsidRDefault="00C046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24FBC" w14:textId="77777777" w:rsidR="00F24A87" w:rsidRDefault="00F24A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FBB5" w14:textId="77777777" w:rsidR="00035F7E" w:rsidRDefault="008242CC">
    <w:pPr>
      <w:jc w:val="center"/>
    </w:pPr>
    <w:r>
      <w:t xml:space="preserve">Pagina </w:t>
    </w:r>
    <w:r>
      <w:fldChar w:fldCharType="begin"/>
    </w:r>
    <w:r>
      <w:instrText xml:space="preserve"> PAGE </w:instrText>
    </w:r>
    <w:r>
      <w:fldChar w:fldCharType="separate"/>
    </w:r>
    <w:r>
      <w:t>1</w:t>
    </w:r>
    <w:r>
      <w:fldChar w:fldCharType="end"/>
    </w:r>
    <w:r>
      <w:t xml:space="preserve"> di </w:t>
    </w:r>
    <w:fldSimple w:instr=" NUMPAGES ">
      <w: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A77F4" w14:textId="77777777" w:rsidR="00F24A87" w:rsidRDefault="00F24A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70836" w14:textId="77777777" w:rsidR="00C0462E" w:rsidRDefault="00C0462E">
      <w:r>
        <w:separator/>
      </w:r>
    </w:p>
  </w:footnote>
  <w:footnote w:type="continuationSeparator" w:id="0">
    <w:p w14:paraId="4BC5A96E" w14:textId="77777777" w:rsidR="00C0462E" w:rsidRDefault="00C04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844C" w14:textId="77777777" w:rsidR="00F24A87" w:rsidRDefault="00F24A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AED21" w14:textId="77777777" w:rsidR="00F24A87" w:rsidRDefault="00F24A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9146C" w14:textId="77777777" w:rsidR="00F24A87" w:rsidRDefault="00F24A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4C7C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80460E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1C809AA"/>
    <w:multiLevelType w:val="multilevel"/>
    <w:tmpl w:val="E08C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56443"/>
    <w:multiLevelType w:val="multilevel"/>
    <w:tmpl w:val="62BC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317C4"/>
    <w:multiLevelType w:val="multilevel"/>
    <w:tmpl w:val="CBC2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F491D"/>
    <w:multiLevelType w:val="multilevel"/>
    <w:tmpl w:val="431A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D22FC"/>
    <w:multiLevelType w:val="multilevel"/>
    <w:tmpl w:val="8D661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790269"/>
    <w:multiLevelType w:val="multilevel"/>
    <w:tmpl w:val="33E2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073F9"/>
    <w:multiLevelType w:val="multilevel"/>
    <w:tmpl w:val="DA44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16EC9"/>
    <w:multiLevelType w:val="multilevel"/>
    <w:tmpl w:val="D7DE1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FC3657"/>
    <w:multiLevelType w:val="multilevel"/>
    <w:tmpl w:val="F0B6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67D2F"/>
    <w:multiLevelType w:val="multilevel"/>
    <w:tmpl w:val="7F66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C0F67"/>
    <w:multiLevelType w:val="multilevel"/>
    <w:tmpl w:val="4CA0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2523D"/>
    <w:multiLevelType w:val="multilevel"/>
    <w:tmpl w:val="46B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0355E"/>
    <w:multiLevelType w:val="multilevel"/>
    <w:tmpl w:val="084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C2ED6"/>
    <w:multiLevelType w:val="multilevel"/>
    <w:tmpl w:val="F0A4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46BBF"/>
    <w:multiLevelType w:val="multilevel"/>
    <w:tmpl w:val="7E7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93E1E"/>
    <w:multiLevelType w:val="multilevel"/>
    <w:tmpl w:val="9D8C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235DB7"/>
    <w:multiLevelType w:val="multilevel"/>
    <w:tmpl w:val="E398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DA4064"/>
    <w:multiLevelType w:val="multilevel"/>
    <w:tmpl w:val="D558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100879">
    <w:abstractNumId w:val="0"/>
  </w:num>
  <w:num w:numId="2" w16cid:durableId="10032559">
    <w:abstractNumId w:val="1"/>
  </w:num>
  <w:num w:numId="3" w16cid:durableId="295065302">
    <w:abstractNumId w:val="1"/>
  </w:num>
  <w:num w:numId="4" w16cid:durableId="264768760">
    <w:abstractNumId w:val="1"/>
  </w:num>
  <w:num w:numId="5" w16cid:durableId="1300497542">
    <w:abstractNumId w:val="1"/>
  </w:num>
  <w:num w:numId="6" w16cid:durableId="629558104">
    <w:abstractNumId w:val="1"/>
  </w:num>
  <w:num w:numId="7" w16cid:durableId="779182031">
    <w:abstractNumId w:val="1"/>
  </w:num>
  <w:num w:numId="8" w16cid:durableId="698894344">
    <w:abstractNumId w:val="1"/>
  </w:num>
  <w:num w:numId="9" w16cid:durableId="182480007">
    <w:abstractNumId w:val="1"/>
  </w:num>
  <w:num w:numId="10" w16cid:durableId="935091530">
    <w:abstractNumId w:val="1"/>
  </w:num>
  <w:num w:numId="11" w16cid:durableId="571547837">
    <w:abstractNumId w:val="1"/>
  </w:num>
  <w:num w:numId="12" w16cid:durableId="1712925760">
    <w:abstractNumId w:val="1"/>
  </w:num>
  <w:num w:numId="13" w16cid:durableId="549151949">
    <w:abstractNumId w:val="1"/>
  </w:num>
  <w:num w:numId="14" w16cid:durableId="1882551702">
    <w:abstractNumId w:val="1"/>
  </w:num>
  <w:num w:numId="15" w16cid:durableId="1044018288">
    <w:abstractNumId w:val="1"/>
  </w:num>
  <w:num w:numId="16" w16cid:durableId="568426052">
    <w:abstractNumId w:val="1"/>
  </w:num>
  <w:num w:numId="17" w16cid:durableId="1491019956">
    <w:abstractNumId w:val="1"/>
  </w:num>
  <w:num w:numId="18" w16cid:durableId="1499150969">
    <w:abstractNumId w:val="1"/>
  </w:num>
  <w:num w:numId="19" w16cid:durableId="267395535">
    <w:abstractNumId w:val="1"/>
  </w:num>
  <w:num w:numId="20" w16cid:durableId="10762792">
    <w:abstractNumId w:val="1"/>
  </w:num>
  <w:num w:numId="21" w16cid:durableId="1050303054">
    <w:abstractNumId w:val="1"/>
  </w:num>
  <w:num w:numId="22" w16cid:durableId="386955795">
    <w:abstractNumId w:val="1"/>
  </w:num>
  <w:num w:numId="23" w16cid:durableId="1723362017">
    <w:abstractNumId w:val="1"/>
  </w:num>
  <w:num w:numId="24" w16cid:durableId="1414661159">
    <w:abstractNumId w:val="1"/>
  </w:num>
  <w:num w:numId="25" w16cid:durableId="87772709">
    <w:abstractNumId w:val="1"/>
  </w:num>
  <w:num w:numId="26" w16cid:durableId="896009062">
    <w:abstractNumId w:val="9"/>
  </w:num>
  <w:num w:numId="27" w16cid:durableId="397096147">
    <w:abstractNumId w:val="11"/>
  </w:num>
  <w:num w:numId="28" w16cid:durableId="1473789651">
    <w:abstractNumId w:val="3"/>
  </w:num>
  <w:num w:numId="29" w16cid:durableId="1948925839">
    <w:abstractNumId w:val="7"/>
  </w:num>
  <w:num w:numId="30" w16cid:durableId="1820611732">
    <w:abstractNumId w:val="13"/>
  </w:num>
  <w:num w:numId="31" w16cid:durableId="721294585">
    <w:abstractNumId w:val="18"/>
  </w:num>
  <w:num w:numId="32" w16cid:durableId="1590701891">
    <w:abstractNumId w:val="8"/>
  </w:num>
  <w:num w:numId="33" w16cid:durableId="206189595">
    <w:abstractNumId w:val="4"/>
  </w:num>
  <w:num w:numId="34" w16cid:durableId="397752211">
    <w:abstractNumId w:val="5"/>
  </w:num>
  <w:num w:numId="35" w16cid:durableId="1125151498">
    <w:abstractNumId w:val="2"/>
  </w:num>
  <w:num w:numId="36" w16cid:durableId="733890366">
    <w:abstractNumId w:val="10"/>
  </w:num>
  <w:num w:numId="37" w16cid:durableId="1713849301">
    <w:abstractNumId w:val="14"/>
  </w:num>
  <w:num w:numId="38" w16cid:durableId="651909093">
    <w:abstractNumId w:val="16"/>
  </w:num>
  <w:num w:numId="39" w16cid:durableId="1270045424">
    <w:abstractNumId w:val="12"/>
  </w:num>
  <w:num w:numId="40" w16cid:durableId="1011562957">
    <w:abstractNumId w:val="6"/>
  </w:num>
  <w:num w:numId="41" w16cid:durableId="1498954840">
    <w:abstractNumId w:val="15"/>
  </w:num>
  <w:num w:numId="42" w16cid:durableId="1776057575">
    <w:abstractNumId w:val="17"/>
  </w:num>
  <w:num w:numId="43" w16cid:durableId="393091628">
    <w:abstractNumId w:val="1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854B7"/>
    <w:rsid w:val="00035F7E"/>
    <w:rsid w:val="00067BEE"/>
    <w:rsid w:val="00075396"/>
    <w:rsid w:val="000854B7"/>
    <w:rsid w:val="000B546B"/>
    <w:rsid w:val="000C7516"/>
    <w:rsid w:val="000C771E"/>
    <w:rsid w:val="00115024"/>
    <w:rsid w:val="00122D14"/>
    <w:rsid w:val="00166CC0"/>
    <w:rsid w:val="00181DD0"/>
    <w:rsid w:val="001A5952"/>
    <w:rsid w:val="00254204"/>
    <w:rsid w:val="00264661"/>
    <w:rsid w:val="0027425C"/>
    <w:rsid w:val="00331BB8"/>
    <w:rsid w:val="0037126F"/>
    <w:rsid w:val="00383D83"/>
    <w:rsid w:val="00390EBA"/>
    <w:rsid w:val="003E2693"/>
    <w:rsid w:val="00553100"/>
    <w:rsid w:val="00584EDA"/>
    <w:rsid w:val="005A1D0E"/>
    <w:rsid w:val="005D0EDE"/>
    <w:rsid w:val="00630609"/>
    <w:rsid w:val="00641FAD"/>
    <w:rsid w:val="00653A21"/>
    <w:rsid w:val="00690358"/>
    <w:rsid w:val="006D3EFC"/>
    <w:rsid w:val="006F43B8"/>
    <w:rsid w:val="00730F5E"/>
    <w:rsid w:val="00753E16"/>
    <w:rsid w:val="007E4D77"/>
    <w:rsid w:val="008214B7"/>
    <w:rsid w:val="008242CC"/>
    <w:rsid w:val="008352B4"/>
    <w:rsid w:val="00841B7C"/>
    <w:rsid w:val="00896A49"/>
    <w:rsid w:val="00904329"/>
    <w:rsid w:val="009064DC"/>
    <w:rsid w:val="009D6017"/>
    <w:rsid w:val="009F2340"/>
    <w:rsid w:val="00A017D7"/>
    <w:rsid w:val="00A12869"/>
    <w:rsid w:val="00A956F3"/>
    <w:rsid w:val="00AA79AF"/>
    <w:rsid w:val="00AE0B88"/>
    <w:rsid w:val="00B0279B"/>
    <w:rsid w:val="00B6404E"/>
    <w:rsid w:val="00B71894"/>
    <w:rsid w:val="00BE3538"/>
    <w:rsid w:val="00C0462E"/>
    <w:rsid w:val="00C34FC4"/>
    <w:rsid w:val="00C75E19"/>
    <w:rsid w:val="00CA7FD8"/>
    <w:rsid w:val="00CD6852"/>
    <w:rsid w:val="00D17BA4"/>
    <w:rsid w:val="00DD1BD2"/>
    <w:rsid w:val="00DE4D73"/>
    <w:rsid w:val="00E6650D"/>
    <w:rsid w:val="00E91ABB"/>
    <w:rsid w:val="00E9381C"/>
    <w:rsid w:val="00E95EB2"/>
    <w:rsid w:val="00EA3836"/>
    <w:rsid w:val="00EC030A"/>
    <w:rsid w:val="00EE2270"/>
    <w:rsid w:val="00EE7A2B"/>
    <w:rsid w:val="00EF0A3F"/>
    <w:rsid w:val="00F12E58"/>
    <w:rsid w:val="00F24A87"/>
    <w:rsid w:val="00F61132"/>
    <w:rsid w:val="00FC0C9B"/>
    <w:rsid w:val="00FC344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64E8B3"/>
  <w15:docId w15:val="{7A9A1497-AAA1-4D28-8EB9-2A8D18E4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msonormal0">
    <w:name w:val="msonormal"/>
    <w:basedOn w:val="Normal"/>
    <w:rsid w:val="00641FAD"/>
    <w:pPr>
      <w:spacing w:before="100" w:beforeAutospacing="1" w:after="100" w:afterAutospacing="1"/>
    </w:pPr>
    <w:rPr>
      <w:rFonts w:ascii="Times New Roman" w:eastAsia="Times New Roman" w:hAnsi="Times New Roman" w:cs="Times New Roman"/>
      <w:lang w:val="en-GB" w:eastAsia="en-GB"/>
    </w:rPr>
  </w:style>
  <w:style w:type="paragraph" w:customStyle="1" w:styleId="font-claude-response-body">
    <w:name w:val="font-claude-response-body"/>
    <w:basedOn w:val="Normal"/>
    <w:rsid w:val="00641FAD"/>
    <w:pPr>
      <w:spacing w:before="100" w:beforeAutospacing="1" w:after="100" w:afterAutospacing="1"/>
    </w:pPr>
    <w:rPr>
      <w:rFonts w:ascii="Times New Roman" w:eastAsia="Times New Roman" w:hAnsi="Times New Roman" w:cs="Times New Roman"/>
      <w:lang w:val="en-GB" w:eastAsia="en-GB"/>
    </w:rPr>
  </w:style>
  <w:style w:type="character" w:styleId="Strong">
    <w:name w:val="Strong"/>
    <w:basedOn w:val="DefaultParagraphFont"/>
    <w:uiPriority w:val="22"/>
    <w:qFormat/>
    <w:rsid w:val="00641FAD"/>
    <w:rPr>
      <w:b/>
      <w:bCs/>
    </w:rPr>
  </w:style>
  <w:style w:type="character" w:customStyle="1" w:styleId="katex-display">
    <w:name w:val="katex-display"/>
    <w:basedOn w:val="DefaultParagraphFont"/>
    <w:rsid w:val="00641FAD"/>
  </w:style>
  <w:style w:type="character" w:customStyle="1" w:styleId="katex">
    <w:name w:val="katex"/>
    <w:basedOn w:val="DefaultParagraphFont"/>
    <w:rsid w:val="00641FAD"/>
  </w:style>
  <w:style w:type="character" w:customStyle="1" w:styleId="katex-mathml">
    <w:name w:val="katex-mathml"/>
    <w:basedOn w:val="DefaultParagraphFont"/>
    <w:rsid w:val="00641FAD"/>
  </w:style>
  <w:style w:type="character" w:customStyle="1" w:styleId="katex-html">
    <w:name w:val="katex-html"/>
    <w:basedOn w:val="DefaultParagraphFont"/>
    <w:rsid w:val="00641FAD"/>
  </w:style>
  <w:style w:type="character" w:customStyle="1" w:styleId="base">
    <w:name w:val="base"/>
    <w:basedOn w:val="DefaultParagraphFont"/>
    <w:rsid w:val="00641FAD"/>
  </w:style>
  <w:style w:type="character" w:customStyle="1" w:styleId="strut">
    <w:name w:val="strut"/>
    <w:basedOn w:val="DefaultParagraphFont"/>
    <w:rsid w:val="00641FAD"/>
  </w:style>
  <w:style w:type="character" w:customStyle="1" w:styleId="mord">
    <w:name w:val="mord"/>
    <w:basedOn w:val="DefaultParagraphFont"/>
    <w:rsid w:val="00641FAD"/>
  </w:style>
  <w:style w:type="character" w:customStyle="1" w:styleId="msupsub">
    <w:name w:val="msupsub"/>
    <w:basedOn w:val="DefaultParagraphFont"/>
    <w:rsid w:val="00641FAD"/>
  </w:style>
  <w:style w:type="character" w:customStyle="1" w:styleId="vlist-t">
    <w:name w:val="vlist-t"/>
    <w:basedOn w:val="DefaultParagraphFont"/>
    <w:rsid w:val="00641FAD"/>
  </w:style>
  <w:style w:type="character" w:customStyle="1" w:styleId="vlist-r">
    <w:name w:val="vlist-r"/>
    <w:basedOn w:val="DefaultParagraphFont"/>
    <w:rsid w:val="00641FAD"/>
  </w:style>
  <w:style w:type="character" w:customStyle="1" w:styleId="vlist">
    <w:name w:val="vlist"/>
    <w:basedOn w:val="DefaultParagraphFont"/>
    <w:rsid w:val="00641FAD"/>
  </w:style>
  <w:style w:type="character" w:customStyle="1" w:styleId="pstrut">
    <w:name w:val="pstrut"/>
    <w:basedOn w:val="DefaultParagraphFont"/>
    <w:rsid w:val="00641FAD"/>
  </w:style>
  <w:style w:type="character" w:customStyle="1" w:styleId="sizing">
    <w:name w:val="sizing"/>
    <w:basedOn w:val="DefaultParagraphFont"/>
    <w:rsid w:val="00641FAD"/>
  </w:style>
  <w:style w:type="character" w:customStyle="1" w:styleId="vlist-s">
    <w:name w:val="vlist-s"/>
    <w:basedOn w:val="DefaultParagraphFont"/>
    <w:rsid w:val="00641FAD"/>
  </w:style>
  <w:style w:type="character" w:customStyle="1" w:styleId="mspace">
    <w:name w:val="mspace"/>
    <w:basedOn w:val="DefaultParagraphFont"/>
    <w:rsid w:val="00641FAD"/>
  </w:style>
  <w:style w:type="character" w:customStyle="1" w:styleId="mrel">
    <w:name w:val="mrel"/>
    <w:basedOn w:val="DefaultParagraphFont"/>
    <w:rsid w:val="00641FAD"/>
  </w:style>
  <w:style w:type="character" w:customStyle="1" w:styleId="mop">
    <w:name w:val="mop"/>
    <w:basedOn w:val="DefaultParagraphFont"/>
    <w:rsid w:val="00641FAD"/>
  </w:style>
  <w:style w:type="character" w:customStyle="1" w:styleId="minner">
    <w:name w:val="minner"/>
    <w:basedOn w:val="DefaultParagraphFont"/>
    <w:rsid w:val="00641FAD"/>
  </w:style>
  <w:style w:type="character" w:customStyle="1" w:styleId="mopen">
    <w:name w:val="mopen"/>
    <w:basedOn w:val="DefaultParagraphFont"/>
    <w:rsid w:val="00641FAD"/>
  </w:style>
  <w:style w:type="character" w:customStyle="1" w:styleId="delimsizing">
    <w:name w:val="delimsizing"/>
    <w:basedOn w:val="DefaultParagraphFont"/>
    <w:rsid w:val="00641FAD"/>
  </w:style>
  <w:style w:type="character" w:customStyle="1" w:styleId="mfrac">
    <w:name w:val="mfrac"/>
    <w:basedOn w:val="DefaultParagraphFont"/>
    <w:rsid w:val="00641FAD"/>
  </w:style>
  <w:style w:type="character" w:customStyle="1" w:styleId="mbin">
    <w:name w:val="mbin"/>
    <w:basedOn w:val="DefaultParagraphFont"/>
    <w:rsid w:val="00641FAD"/>
  </w:style>
  <w:style w:type="character" w:customStyle="1" w:styleId="frac-line">
    <w:name w:val="frac-line"/>
    <w:basedOn w:val="DefaultParagraphFont"/>
    <w:rsid w:val="00641FAD"/>
  </w:style>
  <w:style w:type="character" w:customStyle="1" w:styleId="mclose">
    <w:name w:val="mclose"/>
    <w:basedOn w:val="DefaultParagraphFont"/>
    <w:rsid w:val="00641FAD"/>
  </w:style>
  <w:style w:type="paragraph" w:customStyle="1" w:styleId="whitespace-normal">
    <w:name w:val="whitespace-normal"/>
    <w:basedOn w:val="Normal"/>
    <w:rsid w:val="00641FAD"/>
    <w:pPr>
      <w:spacing w:before="100" w:beforeAutospacing="1" w:after="100" w:afterAutospacing="1"/>
    </w:pPr>
    <w:rPr>
      <w:rFonts w:ascii="Times New Roman" w:eastAsia="Times New Roman" w:hAnsi="Times New Roman" w:cs="Times New Roman"/>
      <w:lang w:val="en-GB" w:eastAsia="en-GB"/>
    </w:rPr>
  </w:style>
  <w:style w:type="character" w:customStyle="1" w:styleId="mpunct">
    <w:name w:val="mpunct"/>
    <w:basedOn w:val="DefaultParagraphFont"/>
    <w:rsid w:val="00641FAD"/>
  </w:style>
  <w:style w:type="character" w:customStyle="1" w:styleId="svg-align">
    <w:name w:val="svg-align"/>
    <w:basedOn w:val="DefaultParagraphFont"/>
    <w:rsid w:val="00641FAD"/>
  </w:style>
  <w:style w:type="character" w:customStyle="1" w:styleId="mtight">
    <w:name w:val="mtight"/>
    <w:basedOn w:val="DefaultParagraphFont"/>
    <w:rsid w:val="00641FAD"/>
  </w:style>
  <w:style w:type="character" w:customStyle="1" w:styleId="hide-tail">
    <w:name w:val="hide-tail"/>
    <w:basedOn w:val="DefaultParagraphFont"/>
    <w:rsid w:val="00641FAD"/>
  </w:style>
  <w:style w:type="character" w:customStyle="1" w:styleId="accent-body">
    <w:name w:val="accent-body"/>
    <w:basedOn w:val="DefaultParagraphFont"/>
    <w:rsid w:val="00641FAD"/>
  </w:style>
  <w:style w:type="paragraph" w:styleId="TOC1">
    <w:name w:val="toc 1"/>
    <w:basedOn w:val="Normal"/>
    <w:next w:val="Normal"/>
    <w:autoRedefine/>
    <w:uiPriority w:val="39"/>
    <w:rsid w:val="00A12869"/>
    <w:pPr>
      <w:spacing w:after="100"/>
    </w:pPr>
  </w:style>
  <w:style w:type="paragraph" w:styleId="TOC2">
    <w:name w:val="toc 2"/>
    <w:basedOn w:val="Normal"/>
    <w:next w:val="Normal"/>
    <w:autoRedefine/>
    <w:uiPriority w:val="39"/>
    <w:rsid w:val="00A12869"/>
    <w:pPr>
      <w:spacing w:after="100"/>
      <w:ind w:left="240"/>
    </w:pPr>
  </w:style>
  <w:style w:type="paragraph" w:styleId="TOC3">
    <w:name w:val="toc 3"/>
    <w:basedOn w:val="Normal"/>
    <w:next w:val="Normal"/>
    <w:autoRedefine/>
    <w:uiPriority w:val="39"/>
    <w:rsid w:val="00A12869"/>
    <w:pPr>
      <w:spacing w:after="100"/>
      <w:ind w:left="480"/>
    </w:pPr>
  </w:style>
  <w:style w:type="paragraph" w:styleId="TOC4">
    <w:name w:val="toc 4"/>
    <w:basedOn w:val="Normal"/>
    <w:next w:val="Normal"/>
    <w:autoRedefine/>
    <w:uiPriority w:val="39"/>
    <w:unhideWhenUsed/>
    <w:rsid w:val="00A12869"/>
    <w:pPr>
      <w:spacing w:after="100" w:line="278" w:lineRule="auto"/>
      <w:ind w:left="720"/>
    </w:pPr>
    <w:rPr>
      <w:rFonts w:eastAsiaTheme="minorEastAsia"/>
      <w:kern w:val="2"/>
      <w:lang w:val="en-GB" w:eastAsia="en-GB"/>
    </w:rPr>
  </w:style>
  <w:style w:type="paragraph" w:styleId="TOC5">
    <w:name w:val="toc 5"/>
    <w:basedOn w:val="Normal"/>
    <w:next w:val="Normal"/>
    <w:autoRedefine/>
    <w:uiPriority w:val="39"/>
    <w:unhideWhenUsed/>
    <w:rsid w:val="00A12869"/>
    <w:pPr>
      <w:spacing w:after="100" w:line="278" w:lineRule="auto"/>
      <w:ind w:left="960"/>
    </w:pPr>
    <w:rPr>
      <w:rFonts w:eastAsiaTheme="minorEastAsia"/>
      <w:kern w:val="2"/>
      <w:lang w:val="en-GB" w:eastAsia="en-GB"/>
    </w:rPr>
  </w:style>
  <w:style w:type="paragraph" w:styleId="TOC6">
    <w:name w:val="toc 6"/>
    <w:basedOn w:val="Normal"/>
    <w:next w:val="Normal"/>
    <w:autoRedefine/>
    <w:uiPriority w:val="39"/>
    <w:unhideWhenUsed/>
    <w:rsid w:val="00A12869"/>
    <w:pPr>
      <w:spacing w:after="100" w:line="278" w:lineRule="auto"/>
      <w:ind w:left="1200"/>
    </w:pPr>
    <w:rPr>
      <w:rFonts w:eastAsiaTheme="minorEastAsia"/>
      <w:kern w:val="2"/>
      <w:lang w:val="en-GB" w:eastAsia="en-GB"/>
    </w:rPr>
  </w:style>
  <w:style w:type="paragraph" w:styleId="TOC7">
    <w:name w:val="toc 7"/>
    <w:basedOn w:val="Normal"/>
    <w:next w:val="Normal"/>
    <w:autoRedefine/>
    <w:uiPriority w:val="39"/>
    <w:unhideWhenUsed/>
    <w:rsid w:val="00A12869"/>
    <w:pPr>
      <w:spacing w:after="100" w:line="278" w:lineRule="auto"/>
      <w:ind w:left="1440"/>
    </w:pPr>
    <w:rPr>
      <w:rFonts w:eastAsiaTheme="minorEastAsia"/>
      <w:kern w:val="2"/>
      <w:lang w:val="en-GB" w:eastAsia="en-GB"/>
    </w:rPr>
  </w:style>
  <w:style w:type="paragraph" w:styleId="TOC8">
    <w:name w:val="toc 8"/>
    <w:basedOn w:val="Normal"/>
    <w:next w:val="Normal"/>
    <w:autoRedefine/>
    <w:uiPriority w:val="39"/>
    <w:unhideWhenUsed/>
    <w:rsid w:val="00A12869"/>
    <w:pPr>
      <w:spacing w:after="100" w:line="278" w:lineRule="auto"/>
      <w:ind w:left="1680"/>
    </w:pPr>
    <w:rPr>
      <w:rFonts w:eastAsiaTheme="minorEastAsia"/>
      <w:kern w:val="2"/>
      <w:lang w:val="en-GB" w:eastAsia="en-GB"/>
    </w:rPr>
  </w:style>
  <w:style w:type="paragraph" w:styleId="TOC9">
    <w:name w:val="toc 9"/>
    <w:basedOn w:val="Normal"/>
    <w:next w:val="Normal"/>
    <w:autoRedefine/>
    <w:uiPriority w:val="39"/>
    <w:unhideWhenUsed/>
    <w:rsid w:val="00A12869"/>
    <w:pPr>
      <w:spacing w:after="100" w:line="278" w:lineRule="auto"/>
      <w:ind w:left="1920"/>
    </w:pPr>
    <w:rPr>
      <w:rFonts w:eastAsiaTheme="minorEastAsia"/>
      <w:kern w:val="2"/>
      <w:lang w:val="en-GB" w:eastAsia="en-GB"/>
    </w:rPr>
  </w:style>
  <w:style w:type="character" w:styleId="UnresolvedMention">
    <w:name w:val="Unresolved Mention"/>
    <w:basedOn w:val="DefaultParagraphFont"/>
    <w:uiPriority w:val="99"/>
    <w:semiHidden/>
    <w:unhideWhenUsed/>
    <w:rsid w:val="00A12869"/>
    <w:rPr>
      <w:color w:val="605E5C"/>
      <w:shd w:val="clear" w:color="auto" w:fill="E1DFDD"/>
    </w:rPr>
  </w:style>
  <w:style w:type="paragraph" w:styleId="Header">
    <w:name w:val="header"/>
    <w:basedOn w:val="Normal"/>
    <w:link w:val="HeaderChar"/>
    <w:rsid w:val="00F24A87"/>
    <w:pPr>
      <w:tabs>
        <w:tab w:val="center" w:pos="4819"/>
        <w:tab w:val="right" w:pos="9638"/>
      </w:tabs>
      <w:spacing w:after="0"/>
    </w:pPr>
  </w:style>
  <w:style w:type="character" w:customStyle="1" w:styleId="HeaderChar">
    <w:name w:val="Header Char"/>
    <w:basedOn w:val="DefaultParagraphFont"/>
    <w:link w:val="Header"/>
    <w:rsid w:val="00F24A87"/>
  </w:style>
  <w:style w:type="paragraph" w:styleId="Footer">
    <w:name w:val="footer"/>
    <w:basedOn w:val="Normal"/>
    <w:link w:val="FooterChar"/>
    <w:rsid w:val="00F24A87"/>
    <w:pPr>
      <w:tabs>
        <w:tab w:val="center" w:pos="4819"/>
        <w:tab w:val="right" w:pos="9638"/>
      </w:tabs>
      <w:spacing w:after="0"/>
    </w:pPr>
  </w:style>
  <w:style w:type="character" w:customStyle="1" w:styleId="FooterChar">
    <w:name w:val="Footer Char"/>
    <w:basedOn w:val="DefaultParagraphFont"/>
    <w:link w:val="Footer"/>
    <w:rsid w:val="00F24A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17019</Words>
  <Characters>103172</Characters>
  <Application>Microsoft Office Word</Application>
  <DocSecurity>0</DocSecurity>
  <Lines>2302</Lines>
  <Paragraphs>1201</Paragraphs>
  <ScaleCrop>false</ScaleCrop>
  <Company/>
  <LinksUpToDate>false</LinksUpToDate>
  <CharactersWithSpaces>119397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Fabrizio Midaglia</cp:lastModifiedBy>
  <cp:revision>47</cp:revision>
  <cp:lastPrinted>2026-07-26T13:28:00Z</cp:lastPrinted>
  <dcterms:created xsi:type="dcterms:W3CDTF">2026-04-30T10:23:00Z</dcterms:created>
  <dcterms:modified xsi:type="dcterms:W3CDTF">2026-07-31T08:44:00Z</dcterms:modified>
</cp:coreProperties>
</file>