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Tycho</w:t>
      </w:r>
      <w:r>
        <w:t xml:space="preserve"> </w:t>
      </w:r>
      <w:r>
        <w:t xml:space="preserve">Data</w:t>
      </w:r>
      <w:r>
        <w:t xml:space="preserve"> </w:t>
      </w:r>
      <w:r>
        <w:t xml:space="preserve">Level1</w:t>
      </w:r>
      <w:r>
        <w:t xml:space="preserve"> </w:t>
      </w:r>
      <w:r>
        <w:t xml:space="preserve">-</w:t>
      </w:r>
      <w:r>
        <w:t xml:space="preserve"> </w:t>
      </w:r>
      <w:r>
        <w:t xml:space="preserve">National</w:t>
      </w:r>
      <w:r>
        <w:t xml:space="preserve"> </w:t>
      </w:r>
      <w:r>
        <w:t xml:space="preserve">Incidence</w:t>
      </w:r>
      <w:r>
        <w:t xml:space="preserve"> </w:t>
      </w:r>
      <w:r>
        <w:t xml:space="preserve">Rate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Based on Tycho Data Version 1 from US MMWR and its predecessors that was</w:t>
      </w:r>
      <w:r>
        <w:t xml:space="preserve"> </w:t>
      </w:r>
      <w:r>
        <w:t xml:space="preserve">digitized prior to the</w:t>
      </w:r>
      <w:r>
        <w:t xml:space="preserve"> </w:t>
      </w:r>
      <w:hyperlink r:id="rId20">
        <w:r>
          <w:rPr>
            <w:rStyle w:val="Hyperlink"/>
          </w:rPr>
          <w:t xml:space="preserve">NEJM article, Van Panhuis et al. 2013</w:t>
        </w:r>
      </w:hyperlink>
      <w:r>
        <w:t xml:space="preserve">.</w:t>
      </w:r>
      <w:r>
        <w:t xml:space="preserve"> </w:t>
      </w:r>
      <w:r>
        <w:t xml:space="preserve">“</w:t>
      </w:r>
      <w:r>
        <w:t xml:space="preserve">Level 1</w:t>
      </w:r>
      <w:r>
        <w:t xml:space="preserve">”</w:t>
      </w:r>
      <w:r>
        <w:t xml:space="preserve"> </w:t>
      </w:r>
      <w:r>
        <w:t xml:space="preserve">data: data used in the original NEJM publication mentioned above.</w:t>
      </w:r>
      <w:r>
        <w:t xml:space="preserve"> </w:t>
      </w:r>
      <w:r>
        <w:t xml:space="preserve">Some processing and incidence rates were calculated, and some missing data were</w:t>
      </w:r>
      <w:r>
        <w:t xml:space="preserve"> </w:t>
      </w:r>
      <w:r>
        <w:t xml:space="preserve">imputed (more information in the</w:t>
      </w:r>
      <w:r>
        <w:t xml:space="preserve"> </w:t>
      </w:r>
      <w:hyperlink r:id="rId20">
        <w:r>
          <w:rPr>
            <w:rStyle w:val="Hyperlink"/>
          </w:rPr>
          <w:t xml:space="preserve">associated supplement</w:t>
        </w:r>
      </w:hyperlink>
      <w:r>
        <w:t xml:space="preserve">)</w:t>
      </w:r>
    </w:p>
    <w:p>
      <w:pPr>
        <w:pStyle w:val="BodyText"/>
      </w:pPr>
      <w:r>
        <w:t xml:space="preserve">Data are directly downloadable from</w:t>
      </w:r>
      <w:r>
        <w:t xml:space="preserve"> </w:t>
      </w:r>
      <w:hyperlink r:id="rId21">
        <w:r>
          <w:rPr>
            <w:rStyle w:val="Hyperlink"/>
          </w:rPr>
          <w:t xml:space="preserve">Project Tycho Website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Zenodo</w:t>
        </w:r>
      </w:hyperlink>
    </w:p>
    <w:bookmarkStart w:id="27" w:name="census-data"/>
    <w:p>
      <w:pPr>
        <w:pStyle w:val="Heading3"/>
      </w:pPr>
      <w:r>
        <w:t xml:space="preserve">Census Data</w:t>
      </w:r>
    </w:p>
    <w:p>
      <w:pPr>
        <w:pStyle w:val="FirstParagraph"/>
      </w:pPr>
      <w:r>
        <w:t xml:space="preserve">Census data From: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Data from 1910 to 1990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Data from 1990 to 2000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Data from 2000 to 2010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Data from 2010 to 2020</w:t>
        </w:r>
      </w:hyperlink>
    </w:p>
    <w:bookmarkEnd w:id="27"/>
    <w:bookmarkStart w:id="28" w:name="vaccination"/>
    <w:p>
      <w:pPr>
        <w:pStyle w:val="Heading3"/>
      </w:pPr>
      <w:r>
        <w:t xml:space="preserve">Vaccination</w:t>
      </w:r>
    </w:p>
    <w:p>
      <w:pPr>
        <w:pStyle w:val="FirstParagraph"/>
      </w:pPr>
      <w:r>
        <w:t xml:space="preserve">Extracted from the</w:t>
      </w:r>
      <w:r>
        <w:t xml:space="preserve"> </w:t>
      </w:r>
      <w:hyperlink r:id="rId20">
        <w:r>
          <w:rPr>
            <w:rStyle w:val="Hyperlink"/>
          </w:rPr>
          <w:t xml:space="preserve">NEJM article, Van Panhuis et al. 2013</w:t>
        </w:r>
      </w:hyperlink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Hepatitis A: 1995</w:t>
      </w:r>
    </w:p>
    <w:p>
      <w:pPr>
        <w:pStyle w:val="Compact"/>
        <w:numPr>
          <w:ilvl w:val="0"/>
          <w:numId w:val="1002"/>
        </w:numPr>
      </w:pPr>
      <w:r>
        <w:t xml:space="preserve">Measles: 1963</w:t>
      </w:r>
    </w:p>
    <w:p>
      <w:pPr>
        <w:pStyle w:val="Compact"/>
        <w:numPr>
          <w:ilvl w:val="0"/>
          <w:numId w:val="1002"/>
        </w:numPr>
      </w:pPr>
      <w:r>
        <w:t xml:space="preserve">Mumps: 1968 (1967, but for plotting reason change to 1968 (first date))</w:t>
      </w:r>
    </w:p>
    <w:p>
      <w:pPr>
        <w:pStyle w:val="Compact"/>
        <w:numPr>
          <w:ilvl w:val="0"/>
          <w:numId w:val="1002"/>
        </w:numPr>
      </w:pPr>
      <w:r>
        <w:t xml:space="preserve">Pertussis: 1948</w:t>
      </w:r>
    </w:p>
    <w:p>
      <w:pPr>
        <w:pStyle w:val="Compact"/>
        <w:numPr>
          <w:ilvl w:val="0"/>
          <w:numId w:val="1002"/>
        </w:numPr>
      </w:pPr>
      <w:r>
        <w:t xml:space="preserve">Polio: 1955</w:t>
      </w:r>
    </w:p>
    <w:p>
      <w:pPr>
        <w:pStyle w:val="Compact"/>
        <w:numPr>
          <w:ilvl w:val="0"/>
          <w:numId w:val="1002"/>
        </w:numPr>
      </w:pPr>
      <w:r>
        <w:t xml:space="preserve">Rubella: 1969</w:t>
      </w:r>
    </w:p>
    <w:p>
      <w:pPr>
        <w:pStyle w:val="Compact"/>
        <w:numPr>
          <w:ilvl w:val="0"/>
          <w:numId w:val="1002"/>
        </w:numPr>
      </w:pPr>
      <w:r>
        <w:t xml:space="preserve">Smallpox: NA, (1800s)</w:t>
      </w:r>
    </w:p>
    <w:p>
      <w:pPr>
        <w:pStyle w:val="Compact"/>
        <w:numPr>
          <w:ilvl w:val="0"/>
          <w:numId w:val="1002"/>
        </w:numPr>
      </w:pPr>
      <w:r>
        <w:t xml:space="preserve">Diphtheria: 1923</w:t>
      </w:r>
    </w:p>
    <w:bookmarkEnd w:id="28"/>
    <w:bookmarkEnd w:id="29"/>
    <w:bookmarkStart w:id="33" w:name="process"/>
    <w:p>
      <w:pPr>
        <w:pStyle w:val="Heading2"/>
      </w:pPr>
      <w:r>
        <w:t xml:space="preserve">Process</w:t>
      </w:r>
    </w:p>
    <w:p>
      <w:pPr>
        <w:pStyle w:val="FirstParagraph"/>
      </w:pPr>
      <w:r>
        <w:t xml:space="preserve">Calculated by adding all the state or city (for Diphtheria) together (excluding</w:t>
      </w:r>
      <w:r>
        <w:t xml:space="preserve"> </w:t>
      </w:r>
      <w:r>
        <w:t xml:space="preserve">US territories) per epi week and disease, and calculating the incidence rate</w:t>
      </w:r>
      <w:r>
        <w:t xml:space="preserve"> </w:t>
      </w:r>
      <w:r>
        <w:t xml:space="preserve">per 100,000 people by calculating: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t>b</m:t>
              </m:r>
              <m:r>
                <m:t>r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c</m:t>
              </m:r>
              <m:r>
                <m:t>a</m:t>
              </m:r>
              <m:r>
                <m:t>s</m:t>
              </m:r>
              <m:r>
                <m:t>e</m:t>
              </m:r>
              <m:r>
                <m:t>s</m:t>
              </m:r>
            </m:num>
            <m:den>
              <m:r>
                <m:t>p</m:t>
              </m:r>
              <m:r>
                <m:t>o</m:t>
              </m:r>
              <m:r>
                <m:t>p</m:t>
              </m:r>
              <m:r>
                <m:t>u</m:t>
              </m:r>
              <m:r>
                <m:t>l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,</m:t>
          </m:r>
          <m:r>
            <m:t>000</m:t>
          </m:r>
        </m:oMath>
      </m:oMathPara>
    </w:p>
    <w:p>
      <w:pPr>
        <w:pStyle w:val="FirstParagraph"/>
      </w:pPr>
      <w:r>
        <w:t xml:space="preserve">The original Tycho files contained two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peaks: one for Hepatitis A</w:t>
      </w:r>
      <w:r>
        <w:t xml:space="preserve"> </w:t>
      </w:r>
      <w:r>
        <w:t xml:space="preserve">on the week 52 of 2010 and one from Smallpox on the week 36 of 1948.</w:t>
      </w:r>
    </w:p>
    <w:p>
      <w:pPr>
        <w:numPr>
          <w:ilvl w:val="0"/>
          <w:numId w:val="1003"/>
        </w:numPr>
      </w:pPr>
      <w:r>
        <w:t xml:space="preserve">For Hepatitis A, it seems to be a</w:t>
      </w:r>
      <w:r>
        <w:t xml:space="preserve"> </w:t>
      </w:r>
      <w:r>
        <w:t xml:space="preserve">“</w:t>
      </w:r>
      <w:r>
        <w:t xml:space="preserve">print</w:t>
      </w:r>
      <w:r>
        <w:t xml:space="preserve">”</w:t>
      </w:r>
      <w:r>
        <w:t xml:space="preserve"> </w:t>
      </w:r>
      <w:r>
        <w:t xml:space="preserve">error in the CDC source data.</w:t>
      </w:r>
      <w:r>
        <w:t xml:space="preserve"> </w:t>
      </w:r>
      <w:r>
        <w:t xml:space="preserve">It has been corrected but the correction has not been integrated to Tycho yet.</w:t>
      </w:r>
      <w:r>
        <w:t xml:space="preserve"> </w:t>
      </w:r>
      <w:r>
        <w:t xml:space="preserve">Please see the erratum in the</w:t>
      </w:r>
      <w:r>
        <w:t xml:space="preserve"> </w:t>
      </w:r>
      <w:hyperlink r:id="rId30">
        <w:r>
          <w:rPr>
            <w:rStyle w:val="Hyperlink"/>
          </w:rPr>
          <w:t xml:space="preserve">source data</w:t>
        </w:r>
      </w:hyperlink>
      <w:r>
        <w:t xml:space="preserve">, page 1710.</w:t>
      </w:r>
      <w:r>
        <w:t xml:space="preserve"> </w:t>
      </w:r>
      <w:r>
        <w:t xml:space="preserve">The corrected table is also availalbe an the</w:t>
      </w:r>
      <w:r>
        <w:t xml:space="preserve"> </w:t>
      </w:r>
      <w:hyperlink r:id="rId31">
        <w:r>
          <w:rPr>
            <w:rStyle w:val="Hyperlink"/>
          </w:rPr>
          <w:t xml:space="preserve">CDC.gov</w:t>
        </w:r>
      </w:hyperlink>
      <w:r>
        <w:t xml:space="preserve"> </w:t>
      </w:r>
      <w:r>
        <w:t xml:space="preserve">website.</w:t>
      </w:r>
      <w:r>
        <w:t xml:space="preserve"> </w:t>
      </w:r>
      <w:r>
        <w:t xml:space="preserve">To fix that issue, we removed the associated week for Hepatitis A for all</w:t>
      </w:r>
      <w:r>
        <w:t xml:space="preserve"> </w:t>
      </w:r>
      <w:r>
        <w:t xml:space="preserve">Tycho data</w:t>
      </w:r>
    </w:p>
    <w:p>
      <w:pPr>
        <w:numPr>
          <w:ilvl w:val="0"/>
          <w:numId w:val="1003"/>
        </w:numPr>
      </w:pPr>
      <w:r>
        <w:t xml:space="preserve">For Smallpox, it seems to be</w:t>
      </w:r>
      <w:r>
        <w:t xml:space="preserve"> </w:t>
      </w:r>
      <w:r>
        <w:t xml:space="preserve">“</w:t>
      </w:r>
      <w:r>
        <w:t xml:space="preserve">data entry</w:t>
      </w:r>
      <w:r>
        <w:t xml:space="preserve">”</w:t>
      </w:r>
      <w:r>
        <w:t xml:space="preserve"> </w:t>
      </w:r>
      <w:r>
        <w:t xml:space="preserve">error, correct table is</w:t>
      </w:r>
      <w:r>
        <w:t xml:space="preserve"> </w:t>
      </w:r>
      <w:r>
        <w:t xml:space="preserve">available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As the tables contains multiple disease information, the week 36 of 1948 has</w:t>
      </w:r>
      <w:r>
        <w:t xml:space="preserve"> </w:t>
      </w:r>
      <w:r>
        <w:t xml:space="preserve">been removed for all disease on all Tycho data.</w:t>
      </w:r>
    </w:p>
    <w:bookmarkEnd w:id="33"/>
    <w:bookmarkStart w:id="43" w:name="visualization"/>
    <w:p>
      <w:pPr>
        <w:pStyle w:val="Heading2"/>
      </w:pPr>
      <w:r>
        <w:t xml:space="preserve">Visualization</w:t>
      </w:r>
    </w:p>
    <w:p>
      <w:pPr>
        <w:pStyle w:val="FirstParagraph"/>
      </w:pPr>
      <w:r>
        <w:rPr>
          <w:i/>
          <w:iCs/>
        </w:rPr>
        <w:t xml:space="preserve">Notes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For Polio:</w:t>
      </w:r>
      <w:r>
        <w:t xml:space="preserve"> </w:t>
      </w:r>
      <w:r>
        <w:t xml:space="preserve">“</w:t>
      </w:r>
      <w:r>
        <w:t xml:space="preserve">In the United States, the last cases of indigenously transmitted wild</w:t>
      </w:r>
      <w:r>
        <w:t xml:space="preserve"> </w:t>
      </w:r>
      <w:r>
        <w:t xml:space="preserve">poliovirus disease were reported in 1979, and the last imported case of</w:t>
      </w:r>
      <w:r>
        <w:t xml:space="preserve"> </w:t>
      </w:r>
      <w:r>
        <w:t xml:space="preserve">poliomyelitis caused by wild type poliovirus was reported in 1993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hyperlink r:id="rId34">
        <w:r>
          <w:rPr>
            <w:rStyle w:val="Hyperlink"/>
          </w:rPr>
          <w:t xml:space="preserve">Chapter 12: Poliomyelitis, Manual for the Surveillance of Vaccine-Preventable Diseases. Adriana S. Lopez et ak, 2024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t xml:space="preserve">For Smallpox:</w:t>
      </w:r>
      <w:r>
        <w:t xml:space="preserve"> </w:t>
      </w:r>
      <w:r>
        <w:t xml:space="preserve">“</w:t>
      </w:r>
      <w:r>
        <w:t xml:space="preserve">By the time the Intensified Eradication Program began in 1967, smallpox was</w:t>
      </w:r>
      <w:r>
        <w:t xml:space="preserve"> </w:t>
      </w:r>
      <w:r>
        <w:t xml:space="preserve">already eliminated in North America (1952) and Europe (1953). Cases were still</w:t>
      </w:r>
      <w:r>
        <w:t xml:space="preserve"> </w:t>
      </w:r>
      <w:r>
        <w:t xml:space="preserve">occurring in South America, Asia, and Africa (smallpox was never widespread in</w:t>
      </w:r>
      <w:r>
        <w:t xml:space="preserve"> </w:t>
      </w:r>
      <w:r>
        <w:t xml:space="preserve">Australia). The Program made steady progress toward ridding the world of this</w:t>
      </w:r>
      <w:r>
        <w:t xml:space="preserve"> </w:t>
      </w:r>
      <w:r>
        <w:t xml:space="preserve">disease, and by 1971 smallpox was eradicated from South America, followed by</w:t>
      </w:r>
      <w:r>
        <w:t xml:space="preserve"> </w:t>
      </w:r>
      <w:r>
        <w:t xml:space="preserve">Asia (1975), and finally Africa (1977).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hyperlink r:id="rId35">
        <w:r>
          <w:rPr>
            <w:rStyle w:val="Hyperlink"/>
          </w:rPr>
          <w:t xml:space="preserve">CDC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t xml:space="preserve">For Pertussis:</w:t>
      </w:r>
      <w:r>
        <w:t xml:space="preserve"> </w:t>
      </w:r>
      <w:r>
        <w:t xml:space="preserve">“</w:t>
      </w:r>
      <w:r>
        <w:t xml:space="preserve">Weekly reports for pertussis were unavailable from 1955 to</w:t>
      </w:r>
      <w:r>
        <w:t xml:space="preserve"> </w:t>
      </w:r>
      <w:r>
        <w:t xml:space="preserve">1974</w:t>
      </w:r>
      <w:r>
        <w:t xml:space="preserve">”</w:t>
      </w:r>
      <w:hyperlink r:id="rId20">
        <w:r>
          <w:rPr>
            <w:rStyle w:val="Hyperlink"/>
          </w:rPr>
          <w:t xml:space="preserve">NEJM article, Van Panhuis et al. 2013</w:t>
        </w:r>
      </w:hyperlink>
    </w:p>
    <w:p>
      <w:pPr>
        <w:numPr>
          <w:ilvl w:val="0"/>
          <w:numId w:val="1004"/>
        </w:numPr>
      </w:pPr>
      <w:r>
        <w:t xml:space="preserve">New York and New York City:</w:t>
      </w:r>
      <w:r>
        <w:t xml:space="preserve"> </w:t>
      </w:r>
      <w:r>
        <w:t xml:space="preserve">“</w:t>
      </w:r>
      <w:r>
        <w:t xml:space="preserve">After 1963, New York City and Upstate New York</w:t>
      </w:r>
      <w:r>
        <w:t xml:space="preserve"> </w:t>
      </w:r>
      <w:r>
        <w:t xml:space="preserve">were split into separate jurisdictions by the notifiable disease surveillance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hyperlink r:id="rId20">
        <w:r>
          <w:rPr>
            <w:rStyle w:val="Hyperlink"/>
          </w:rPr>
          <w:t xml:space="preserve">NEJM article, Van Panhuis et al. 2013</w:t>
        </w:r>
      </w:hyperlink>
      <w:r>
        <w:t xml:space="preserve">.</w:t>
      </w:r>
      <w:r>
        <w:t xml:space="preserve"> </w:t>
      </w:r>
      <w:r>
        <w:t xml:space="preserve">Since after 1963, both Upstate New York and New York City were reported as</w:t>
      </w:r>
      <w:r>
        <w:t xml:space="preserve"> </w:t>
      </w:r>
      <w:r>
        <w:t xml:space="preserve">if they were states, they were originally treated as states for data</w:t>
      </w:r>
      <w:r>
        <w:t xml:space="preserve"> </w:t>
      </w:r>
      <w:r>
        <w:t xml:space="preserve">reported via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reporting systems in version 1 of Project Tycho.</w:t>
      </w:r>
    </w:p>
    <w:bookmarkStart w:id="42" w:name="national-incidence"/>
    <w:p>
      <w:pPr>
        <w:pStyle w:val="Heading3"/>
      </w:pPr>
      <w:r>
        <w:t xml:space="preserve">National Incidence</w:t>
      </w:r>
    </w:p>
    <w:p>
      <w:pPr>
        <w:pStyle w:val="FirstParagraph"/>
      </w:pPr>
      <w:r>
        <w:t xml:space="preserve">(legend inspired from NEJM paper)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6667500"/>
                  <wp:effectExtent b="0" l="0" r="0" t="0"/>
                  <wp:docPr descr="Weekly incidence rates per 100,000 population are shown for the entire country. The year of vaccine licensure is indicated by a vertical red line. The smallpox vaccine was introduced in the United States around 1800, so its licensure is not indicated." title="" id="37" name="Picture"/>
                  <a:graphic>
                    <a:graphicData uri="http://schemas.openxmlformats.org/drawingml/2006/picture">
                      <pic:pic>
                        <pic:nvPicPr>
                          <pic:cNvPr descr="nat_incidence_level1_files/figure-docx/unnamed-chunk-1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Weekly incidence rates per 100,000 population are shown for the entire country. The year of vaccine licensure is indicated by a vertical red line. The smallpox vaccine was introduced in the United States around 1800, so its licensure is not indicated.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6667500"/>
                  <wp:effectExtent b="0" l="0" r="0" t="0"/>
                  <wp:docPr descr="Weekly incidence rates per 100,000 population are shown for the entire country. The year of vaccine licensure is indicated by a vertical red line. The smallpox vaccine was introduced in the United States around 1800, so its licensure is not indicated." title="" id="40" name="Picture"/>
                  <a:graphic>
                    <a:graphicData uri="http://schemas.openxmlformats.org/drawingml/2006/picture">
                      <pic:pic>
                        <pic:nvPicPr>
                          <pic:cNvPr descr="nat_incidence_level1_files/figure-docx/unnamed-chunk-1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Weekly incidence rates per 100,000 population are shown for the entire country. The year of vaccine licensure is indicated by a vertical red line. The smallpox vaccine was introduced in the United States around 1800, so its licensure is not indicated.</w:t>
            </w:r>
          </w:p>
        </w:tc>
      </w:tr>
    </w:tbl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0" Target="https://doi.org/10.1056/NEJMms1215400" TargetMode="External" /><Relationship Type="http://schemas.openxmlformats.org/officeDocument/2006/relationships/hyperlink" Id="rId32" Target="https://pmc.ncbi.nlm.nih.gov/articles/PMC1995387/" TargetMode="External" /><Relationship Type="http://schemas.openxmlformats.org/officeDocument/2006/relationships/hyperlink" Id="rId30" Target="https://www.cdc.gov/mmwr/PDF/wk/mm5951.pdf" TargetMode="External" /><Relationship Type="http://schemas.openxmlformats.org/officeDocument/2006/relationships/hyperlink" Id="rId31" Target="https://www.cdc.gov/mmwr/preview/mmwrhtml/mm6008a9.htm?s_cid=mm6008a9_w" TargetMode="External" /><Relationship Type="http://schemas.openxmlformats.org/officeDocument/2006/relationships/hyperlink" Id="rId35" Target="https://www.cdc.gov/smallpox/about/history.html" TargetMode="External" /><Relationship Type="http://schemas.openxmlformats.org/officeDocument/2006/relationships/hyperlink" Id="rId34" Target="https://www.cdc.gov/surv-manual/php/table-of-contents/chapter-12-poliomyelitis.html?CDC_AAref_Val=https://www.cdc.gov/vaccines/pubs/surv-manual/chpt12-polio.html" TargetMode="External" /><Relationship Type="http://schemas.openxmlformats.org/officeDocument/2006/relationships/hyperlink" Id="rId23" Target="https://www.census.gov/data/tables/time-series/demo/popest/1970s-state.html" TargetMode="External" /><Relationship Type="http://schemas.openxmlformats.org/officeDocument/2006/relationships/hyperlink" Id="rId24" Target="https://www.census.gov/data/tables/time-series/demo/popest/1990s-state.html" TargetMode="External" /><Relationship Type="http://schemas.openxmlformats.org/officeDocument/2006/relationships/hyperlink" Id="rId25" Target="https://www.census.gov/data/tables/time-series/demo/popest/intercensal-2000-2010-state.html" TargetMode="External" /><Relationship Type="http://schemas.openxmlformats.org/officeDocument/2006/relationships/hyperlink" Id="rId26" Target="https://www.census.gov/data/tables/time-series/demo/popest/intercensal-2010-2020-state.html" TargetMode="External" /><Relationship Type="http://schemas.openxmlformats.org/officeDocument/2006/relationships/hyperlink" Id="rId21" Target="https://www.tycho.pitt.edu/data/" TargetMode="External" /><Relationship Type="http://schemas.openxmlformats.org/officeDocument/2006/relationships/hyperlink" Id="rId22" Target="https://zenodo.org/records/12608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56/NEJMms1215400" TargetMode="External" /><Relationship Type="http://schemas.openxmlformats.org/officeDocument/2006/relationships/hyperlink" Id="rId32" Target="https://pmc.ncbi.nlm.nih.gov/articles/PMC1995387/" TargetMode="External" /><Relationship Type="http://schemas.openxmlformats.org/officeDocument/2006/relationships/hyperlink" Id="rId30" Target="https://www.cdc.gov/mmwr/PDF/wk/mm5951.pdf" TargetMode="External" /><Relationship Type="http://schemas.openxmlformats.org/officeDocument/2006/relationships/hyperlink" Id="rId31" Target="https://www.cdc.gov/mmwr/preview/mmwrhtml/mm6008a9.htm?s_cid=mm6008a9_w" TargetMode="External" /><Relationship Type="http://schemas.openxmlformats.org/officeDocument/2006/relationships/hyperlink" Id="rId35" Target="https://www.cdc.gov/smallpox/about/history.html" TargetMode="External" /><Relationship Type="http://schemas.openxmlformats.org/officeDocument/2006/relationships/hyperlink" Id="rId34" Target="https://www.cdc.gov/surv-manual/php/table-of-contents/chapter-12-poliomyelitis.html?CDC_AAref_Val=https://www.cdc.gov/vaccines/pubs/surv-manual/chpt12-polio.html" TargetMode="External" /><Relationship Type="http://schemas.openxmlformats.org/officeDocument/2006/relationships/hyperlink" Id="rId23" Target="https://www.census.gov/data/tables/time-series/demo/popest/1970s-state.html" TargetMode="External" /><Relationship Type="http://schemas.openxmlformats.org/officeDocument/2006/relationships/hyperlink" Id="rId24" Target="https://www.census.gov/data/tables/time-series/demo/popest/1990s-state.html" TargetMode="External" /><Relationship Type="http://schemas.openxmlformats.org/officeDocument/2006/relationships/hyperlink" Id="rId25" Target="https://www.census.gov/data/tables/time-series/demo/popest/intercensal-2000-2010-state.html" TargetMode="External" /><Relationship Type="http://schemas.openxmlformats.org/officeDocument/2006/relationships/hyperlink" Id="rId26" Target="https://www.census.gov/data/tables/time-series/demo/popest/intercensal-2010-2020-state.html" TargetMode="External" /><Relationship Type="http://schemas.openxmlformats.org/officeDocument/2006/relationships/hyperlink" Id="rId21" Target="https://www.tycho.pitt.edu/data/" TargetMode="External" /><Relationship Type="http://schemas.openxmlformats.org/officeDocument/2006/relationships/hyperlink" Id="rId22" Target="https://zenodo.org/records/12608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Tycho Data Level1 - National Incidence Rate</dc:title>
  <dc:creator/>
  <cp:keywords/>
  <dcterms:created xsi:type="dcterms:W3CDTF">2025-02-10T21:38:34Z</dcterms:created>
  <dcterms:modified xsi:type="dcterms:W3CDTF">2025-02-10T21:38:34Z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