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Driveway washout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18-34 (n=347)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35-54 (n=412)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55+ (n=405)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D18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A22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28.2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A365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37.3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0C5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09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50C5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6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20A5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90B5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50F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20E6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A0C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16.4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00E6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17.5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0B6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9096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0C4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0C3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7.9</w:t>
            </w:r>
          </w:p>
        </w:tc>
      </w:tr>
    </w:tbl>
    <w:p>
      <w:r>
        <w:br w:type="page"/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Flood insurance scenario (% of participants)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18-34 (n=347)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35-54 (n=412)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55+ (n=405)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Economic Considerations and Cost-Benefit Analysis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119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113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916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22.2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Rainfall and Flood Risk Assessment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2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27.1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031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53C4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Data Interpretation and Understanding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0A5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F0A5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A0B5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11.1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Perception and Personal Judgment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20C4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F092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0C4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Protection and Preparedness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615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21.6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9106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19.2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E096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14.3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Reason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10A2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0B3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B072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4.7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2025-03-05T20:50:45Z</dcterms:created>
  <dcterms:modified xsi:type="dcterms:W3CDTF">2025-03-05T20:50:45Z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