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31AE" w:rsidRDefault="006631AE">
      <w:pPr>
        <w:suppressAutoHyphens/>
        <w:spacing w:line="240" w:lineRule="atLeast"/>
      </w:pPr>
    </w:p>
    <w:p w:rsidR="006631AE" w:rsidRDefault="006631AE">
      <w:pPr>
        <w:suppressAutoHyphens/>
        <w:spacing w:line="240" w:lineRule="atLeast"/>
      </w:pPr>
    </w:p>
    <w:p w:rsidR="006631AE" w:rsidRDefault="006631AE">
      <w:pPr>
        <w:suppressAutoHyphens/>
        <w:spacing w:line="240" w:lineRule="atLeast"/>
        <w:rPr>
          <w:rFonts w:ascii="Book Antiqua" w:hAnsi="Book Antiqua" w:cs="Book Antiqua"/>
          <w:sz w:val="20"/>
          <w:szCs w:val="20"/>
        </w:rPr>
      </w:pPr>
      <w:r>
        <w:rPr>
          <w:b/>
          <w:bCs/>
        </w:rPr>
        <w:t>RESULTS OF LONG-TERM SELECTION EXPERIMENTS WITH DROSOPHILA</w:t>
      </w:r>
      <w:r>
        <w:rPr>
          <w:rFonts w:ascii="Book Antiqua" w:hAnsi="Book Antiqua" w:cs="Book Antiqua"/>
          <w:b/>
          <w:bCs/>
          <w:sz w:val="20"/>
          <w:szCs w:val="20"/>
        </w:rPr>
        <w:t>.</w:t>
      </w:r>
      <w:r>
        <w:rPr>
          <w:rFonts w:ascii="Book Antiqua" w:hAnsi="Book Antiqua" w:cs="Book Antiqua"/>
          <w:sz w:val="20"/>
          <w:szCs w:val="20"/>
        </w:rPr>
        <w:t xml:space="preserve">  </w:t>
      </w:r>
      <w:r>
        <w:rPr>
          <w:rFonts w:ascii="Book Antiqua" w:hAnsi="Book Antiqua" w:cs="Book Antiqua"/>
          <w:b/>
          <w:bCs/>
          <w:sz w:val="20"/>
          <w:szCs w:val="20"/>
        </w:rPr>
        <w:t>K. Weber</w:t>
      </w:r>
      <w:r>
        <w:rPr>
          <w:rFonts w:ascii="Book Antiqua" w:hAnsi="Book Antiqua" w:cs="Book Antiqua"/>
          <w:b/>
          <w:bCs/>
          <w:sz w:val="20"/>
          <w:szCs w:val="20"/>
          <w:vertAlign w:val="superscript"/>
        </w:rPr>
        <w:t>*</w:t>
      </w:r>
      <w:r>
        <w:rPr>
          <w:rFonts w:ascii="Book Antiqua" w:hAnsi="Book Antiqua" w:cs="Book Antiqua"/>
          <w:b/>
          <w:bCs/>
          <w:sz w:val="20"/>
          <w:szCs w:val="20"/>
        </w:rPr>
        <w:t>, J. Graves, R. Eisman, J.Harmon and B. Goodwin.</w:t>
      </w:r>
      <w:r>
        <w:rPr>
          <w:rFonts w:ascii="Book Antiqua" w:hAnsi="Book Antiqua" w:cs="Book Antiqua"/>
          <w:sz w:val="20"/>
          <w:szCs w:val="20"/>
        </w:rPr>
        <w:t xml:space="preserve">  University of Southern Maine, Portland, ME, 04103, USA. Two large populations of </w:t>
      </w:r>
      <w:r>
        <w:rPr>
          <w:rFonts w:ascii="Book Antiqua" w:hAnsi="Book Antiqua" w:cs="Book Antiqua"/>
          <w:i/>
          <w:iCs/>
          <w:sz w:val="20"/>
          <w:szCs w:val="20"/>
        </w:rPr>
        <w:t>Drosophila melanogaster</w:t>
      </w:r>
      <w:r>
        <w:rPr>
          <w:rFonts w:ascii="Book Antiqua" w:hAnsi="Book Antiqua" w:cs="Book Antiqua"/>
          <w:sz w:val="20"/>
          <w:szCs w:val="20"/>
        </w:rPr>
        <w:t xml:space="preserve"> were maintained for &gt;300 generations with intense selection for performance in a wind tunnel.  We present here measurements of wind tunnel performance and fitness traits, taken since generation 100.  Performance has continued to evolve.  Body sizes have increased relative to controls.  Longevity and fecundity have changed little in selected lines, compared to controls.  Competitive fitness is still about the same as in controls.  Relaxed lines have not regressed in the selected trait.  These observations suggest that in large populations, when strong natural selection is maintained, major change can be achieved by artificial selection without accumulating serious fitness costs.    </w:t>
      </w:r>
      <w:r>
        <w:rPr>
          <w:rFonts w:ascii="Book Antiqua" w:hAnsi="Book Antiqua" w:cs="Book Antiqua"/>
          <w:sz w:val="20"/>
          <w:szCs w:val="20"/>
        </w:rPr>
        <w:fldChar w:fldCharType="begin"/>
      </w:r>
      <w:r>
        <w:rPr>
          <w:rFonts w:ascii="Book Antiqua" w:hAnsi="Book Antiqua" w:cs="Book Antiqua"/>
          <w:sz w:val="20"/>
          <w:szCs w:val="20"/>
        </w:rPr>
        <w:instrText xml:space="preserve">PRIVATE </w:instrText>
      </w:r>
      <w:r>
        <w:rPr>
          <w:rFonts w:ascii="Book Antiqua" w:hAnsi="Book Antiqua" w:cs="Book Antiqua"/>
          <w:sz w:val="20"/>
          <w:szCs w:val="20"/>
        </w:rPr>
      </w:r>
      <w:r>
        <w:rPr>
          <w:rFonts w:ascii="Book Antiqua" w:hAnsi="Book Antiqua" w:cs="Book Antiqua"/>
          <w:sz w:val="20"/>
          <w:szCs w:val="20"/>
        </w:rPr>
        <w:fldChar w:fldCharType="end"/>
      </w:r>
    </w:p>
    <w:p w:rsidR="006631AE" w:rsidRDefault="006631AE">
      <w:pPr>
        <w:suppressAutoHyphens/>
        <w:spacing w:line="240" w:lineRule="atLeast"/>
        <w:rPr>
          <w:rFonts w:ascii="Book Antiqua" w:hAnsi="Book Antiqua" w:cs="Book Antiqua"/>
          <w:sz w:val="20"/>
          <w:szCs w:val="20"/>
        </w:rPr>
      </w:pPr>
    </w:p>
    <w:p w:rsidR="006631AE" w:rsidRDefault="006631AE">
      <w:pPr>
        <w:suppressAutoHyphens/>
        <w:spacing w:line="240" w:lineRule="atLeast"/>
        <w:rPr>
          <w:rFonts w:ascii="Book Antiqua" w:hAnsi="Book Antiqua" w:cs="Book Antiqua"/>
          <w:sz w:val="20"/>
          <w:szCs w:val="20"/>
        </w:rPr>
      </w:pPr>
    </w:p>
    <w:p w:rsidR="006631AE" w:rsidRDefault="006631AE">
      <w:pPr>
        <w:suppressAutoHyphens/>
        <w:spacing w:line="240" w:lineRule="atLeast"/>
        <w:rPr>
          <w:rFonts w:ascii="Book Antiqua" w:hAnsi="Book Antiqua" w:cs="Book Antiqua"/>
          <w:sz w:val="20"/>
          <w:szCs w:val="20"/>
        </w:rPr>
      </w:pPr>
      <w:r>
        <w:rPr>
          <w:rFonts w:ascii="Book Antiqua" w:hAnsi="Book Antiqua" w:cs="Book Antiqua"/>
          <w:sz w:val="20"/>
          <w:szCs w:val="20"/>
        </w:rPr>
        <w:br w:type="page"/>
      </w:r>
    </w:p>
    <w:p w:rsidR="006631AE" w:rsidRDefault="006631AE">
      <w:pPr>
        <w:tabs>
          <w:tab w:val="center" w:pos="4680"/>
        </w:tabs>
        <w:suppressAutoHyphens/>
        <w:spacing w:line="240" w:lineRule="atLeast"/>
        <w:rPr>
          <w:rFonts w:ascii="Book Antiqua" w:hAnsi="Book Antiqua" w:cs="Book Antiqua"/>
          <w:sz w:val="20"/>
          <w:szCs w:val="20"/>
        </w:rPr>
      </w:pPr>
      <w:r>
        <w:rPr>
          <w:rFonts w:ascii="Book Antiqua" w:hAnsi="Book Antiqua" w:cs="Book Antiqua"/>
          <w:b/>
          <w:bCs/>
          <w:sz w:val="20"/>
          <w:szCs w:val="20"/>
        </w:rPr>
        <w:tab/>
        <w:t>RESULTS OF LONG-TERM SELECTION EXPERIMENTS WITH DROSOPHILA</w:t>
      </w:r>
    </w:p>
    <w:p w:rsidR="006631AE" w:rsidRDefault="006631AE">
      <w:pPr>
        <w:tabs>
          <w:tab w:val="center" w:pos="4680"/>
        </w:tabs>
        <w:suppressAutoHyphens/>
        <w:spacing w:line="240" w:lineRule="atLeast"/>
        <w:rPr>
          <w:rFonts w:ascii="Book Antiqua" w:hAnsi="Book Antiqua" w:cs="Book Antiqua"/>
          <w:sz w:val="20"/>
          <w:szCs w:val="20"/>
        </w:rPr>
      </w:pPr>
      <w:r>
        <w:rPr>
          <w:rFonts w:ascii="Book Antiqua" w:hAnsi="Book Antiqua" w:cs="Book Antiqua"/>
          <w:b/>
          <w:bCs/>
          <w:sz w:val="20"/>
          <w:szCs w:val="20"/>
        </w:rPr>
        <w:tab/>
        <w:t>K. Weber</w:t>
      </w:r>
      <w:r>
        <w:rPr>
          <w:rFonts w:ascii="Book Antiqua" w:hAnsi="Book Antiqua" w:cs="Book Antiqua"/>
          <w:b/>
          <w:bCs/>
          <w:sz w:val="20"/>
          <w:szCs w:val="20"/>
          <w:vertAlign w:val="superscript"/>
        </w:rPr>
        <w:t>1</w:t>
      </w:r>
      <w:r>
        <w:rPr>
          <w:rFonts w:ascii="Book Antiqua" w:hAnsi="Book Antiqua" w:cs="Book Antiqua"/>
          <w:b/>
          <w:bCs/>
          <w:sz w:val="20"/>
          <w:szCs w:val="20"/>
        </w:rPr>
        <w:t>, J. Graves</w:t>
      </w:r>
      <w:r>
        <w:rPr>
          <w:rFonts w:ascii="Book Antiqua" w:hAnsi="Book Antiqua" w:cs="Book Antiqua"/>
          <w:b/>
          <w:bCs/>
          <w:sz w:val="20"/>
          <w:szCs w:val="20"/>
          <w:vertAlign w:val="superscript"/>
        </w:rPr>
        <w:t>2</w:t>
      </w:r>
      <w:r>
        <w:rPr>
          <w:rFonts w:ascii="Book Antiqua" w:hAnsi="Book Antiqua" w:cs="Book Antiqua"/>
          <w:b/>
          <w:bCs/>
          <w:sz w:val="20"/>
          <w:szCs w:val="20"/>
        </w:rPr>
        <w:t>, R. Eisman</w:t>
      </w:r>
      <w:r>
        <w:rPr>
          <w:rFonts w:ascii="Book Antiqua" w:hAnsi="Book Antiqua" w:cs="Book Antiqua"/>
          <w:b/>
          <w:bCs/>
          <w:sz w:val="20"/>
          <w:szCs w:val="20"/>
          <w:vertAlign w:val="superscript"/>
        </w:rPr>
        <w:t>3</w:t>
      </w:r>
      <w:r>
        <w:rPr>
          <w:rFonts w:ascii="Book Antiqua" w:hAnsi="Book Antiqua" w:cs="Book Antiqua"/>
          <w:b/>
          <w:bCs/>
          <w:sz w:val="20"/>
          <w:szCs w:val="20"/>
        </w:rPr>
        <w:t>,</w:t>
      </w:r>
      <w:r>
        <w:rPr>
          <w:rFonts w:ascii="Book Antiqua" w:hAnsi="Book Antiqua" w:cs="Book Antiqua"/>
          <w:sz w:val="20"/>
          <w:szCs w:val="20"/>
        </w:rPr>
        <w:t xml:space="preserve"> </w:t>
      </w:r>
      <w:r>
        <w:rPr>
          <w:rFonts w:ascii="Book Antiqua" w:hAnsi="Book Antiqua" w:cs="Book Antiqua"/>
          <w:b/>
          <w:bCs/>
          <w:sz w:val="20"/>
          <w:szCs w:val="20"/>
        </w:rPr>
        <w:t>J.Harmon</w:t>
      </w:r>
      <w:r>
        <w:rPr>
          <w:rFonts w:ascii="Book Antiqua" w:hAnsi="Book Antiqua" w:cs="Book Antiqua"/>
          <w:b/>
          <w:bCs/>
          <w:sz w:val="20"/>
          <w:szCs w:val="20"/>
          <w:vertAlign w:val="superscript"/>
        </w:rPr>
        <w:t>1</w:t>
      </w:r>
      <w:r>
        <w:rPr>
          <w:rFonts w:ascii="Book Antiqua" w:hAnsi="Book Antiqua" w:cs="Book Antiqua"/>
          <w:b/>
          <w:bCs/>
          <w:sz w:val="20"/>
          <w:szCs w:val="20"/>
        </w:rPr>
        <w:t>, and B.Goodwin</w:t>
      </w:r>
      <w:r>
        <w:rPr>
          <w:rFonts w:ascii="Book Antiqua" w:hAnsi="Book Antiqua" w:cs="Book Antiqua"/>
          <w:b/>
          <w:bCs/>
          <w:sz w:val="20"/>
          <w:szCs w:val="20"/>
          <w:vertAlign w:val="superscript"/>
        </w:rPr>
        <w:t>1</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vertAlign w:val="superscript"/>
        </w:rPr>
        <w:t>1</w:t>
      </w:r>
      <w:r>
        <w:rPr>
          <w:rFonts w:ascii="Book Antiqua" w:hAnsi="Book Antiqua" w:cs="Book Antiqua"/>
          <w:sz w:val="20"/>
          <w:szCs w:val="20"/>
        </w:rPr>
        <w:t xml:space="preserve"> University of Southern Maine, Portland, ME, 04103, USA</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vertAlign w:val="superscript"/>
        </w:rPr>
        <w:t>2</w:t>
      </w:r>
      <w:r>
        <w:rPr>
          <w:rFonts w:ascii="Book Antiqua" w:hAnsi="Book Antiqua" w:cs="Book Antiqua"/>
          <w:sz w:val="20"/>
          <w:szCs w:val="20"/>
        </w:rPr>
        <w:t xml:space="preserve"> Arizona State University-West, Phoenix, AZ, 85069, USA</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vertAlign w:val="superscript"/>
        </w:rPr>
        <w:t>3</w:t>
      </w:r>
      <w:r>
        <w:rPr>
          <w:rFonts w:ascii="Book Antiqua" w:hAnsi="Book Antiqua" w:cs="Book Antiqua"/>
          <w:sz w:val="20"/>
          <w:szCs w:val="20"/>
        </w:rPr>
        <w:t xml:space="preserve"> Indiana University, Bloomington, IN, 47405, USA</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INTRODUCTION</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In a prior paper (Weber 1996), results were presented from the first 100 generations of an ongoing, exploratory selection experiment on two populations of </w:t>
      </w:r>
      <w:r>
        <w:rPr>
          <w:rFonts w:ascii="Book Antiqua" w:hAnsi="Book Antiqua" w:cs="Book Antiqua"/>
          <w:i/>
          <w:iCs/>
          <w:sz w:val="20"/>
          <w:szCs w:val="20"/>
        </w:rPr>
        <w:t>Drosophila melanogaster</w:t>
      </w:r>
      <w:r>
        <w:rPr>
          <w:rFonts w:ascii="Book Antiqua" w:hAnsi="Book Antiqua" w:cs="Book Antiqua"/>
          <w:sz w:val="20"/>
          <w:szCs w:val="20"/>
        </w:rPr>
        <w:t>.  Each generation, in each population, 2000 parents are selected from the strongest fliers among 30,000 to 60,000 flies scored for their performance in a wind tunnel.  In the prior report, large gains in wind-tunnel performance had occurred in the selected lines, accompanied by large genetic changes, but correlated fitness costs were almost undetectable.  Substantial fitness costs have usually been found associated with extreme trait gains in experimental selection and in selective breeding.  These costs have generally been regarded as necessary correlates of rapid change in selected traits.</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Fitness loss during selection has been investigated previously, in lines with small to moderate population sizes (Latter and Robertson 1962; Frankham </w:t>
      </w:r>
      <w:r>
        <w:rPr>
          <w:rFonts w:ascii="Book Antiqua" w:hAnsi="Book Antiqua" w:cs="Book Antiqua"/>
          <w:i/>
          <w:iCs/>
          <w:sz w:val="20"/>
          <w:szCs w:val="20"/>
        </w:rPr>
        <w:t>et al</w:t>
      </w:r>
      <w:r>
        <w:rPr>
          <w:rFonts w:ascii="Book Antiqua" w:hAnsi="Book Antiqua" w:cs="Book Antiqua"/>
          <w:sz w:val="20"/>
          <w:szCs w:val="20"/>
        </w:rPr>
        <w:t xml:space="preserve">. 1988).  Large population sizes have been studied mainly in relation to the effect of population size on response rate, not in relation to correlated fitness costs (Frankham </w:t>
      </w:r>
      <w:r>
        <w:rPr>
          <w:rFonts w:ascii="Book Antiqua" w:hAnsi="Book Antiqua" w:cs="Book Antiqua"/>
          <w:i/>
          <w:iCs/>
          <w:sz w:val="20"/>
          <w:szCs w:val="20"/>
        </w:rPr>
        <w:t>et al</w:t>
      </w:r>
      <w:r>
        <w:rPr>
          <w:rFonts w:ascii="Book Antiqua" w:hAnsi="Book Antiqua" w:cs="Book Antiqua"/>
          <w:sz w:val="20"/>
          <w:szCs w:val="20"/>
        </w:rPr>
        <w:t xml:space="preserve">. 1968; Jones </w:t>
      </w:r>
      <w:r>
        <w:rPr>
          <w:rFonts w:ascii="Book Antiqua" w:hAnsi="Book Antiqua" w:cs="Book Antiqua"/>
          <w:i/>
          <w:iCs/>
          <w:sz w:val="20"/>
          <w:szCs w:val="20"/>
        </w:rPr>
        <w:t>et al</w:t>
      </w:r>
      <w:r>
        <w:rPr>
          <w:rFonts w:ascii="Book Antiqua" w:hAnsi="Book Antiqua" w:cs="Book Antiqua"/>
          <w:sz w:val="20"/>
          <w:szCs w:val="20"/>
        </w:rPr>
        <w:t>. 1968; Eisen 1975; Weber 1990; Weber and Diggins 1990).  In Weber (1996), the ability to remodel the genome without large fitness tradeoffs was attributed to the large size of the populations, and to the continued action of strong natural selection in the maintenance of the selected lines.</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Large population size enlarges the reservoir of new mutations, and increases the efficiency of sorting among potential genotypes.  Under these circumstances, combinations with deleterious side effects may more often be avoided, or their effects may be ameliorated more easily by modifiers.  Large size also essentially eliminates the effects of inbreeding.  In a large population, the high reproductive potential of </w:t>
      </w:r>
      <w:r>
        <w:rPr>
          <w:rFonts w:ascii="Book Antiqua" w:hAnsi="Book Antiqua" w:cs="Book Antiqua"/>
          <w:i/>
          <w:iCs/>
          <w:sz w:val="20"/>
          <w:szCs w:val="20"/>
        </w:rPr>
        <w:t>D. melanogaster</w:t>
      </w:r>
      <w:r>
        <w:rPr>
          <w:rFonts w:ascii="Book Antiqua" w:hAnsi="Book Antiqua" w:cs="Book Antiqua"/>
          <w:sz w:val="20"/>
          <w:szCs w:val="20"/>
        </w:rPr>
        <w:t xml:space="preserve"> permits intense natural selection to continue, along with intense selection for the trait.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MATERIAL AND METHODS</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The calculation of air speeds</w:t>
      </w:r>
      <w:r>
        <w:rPr>
          <w:rFonts w:ascii="Book Antiqua" w:hAnsi="Book Antiqua" w:cs="Book Antiqua"/>
          <w:sz w:val="20"/>
          <w:szCs w:val="20"/>
        </w:rPr>
        <w:t xml:space="preserve">.  The air stream in the tunnel flows through 40 consecutive compartments, connected by 4 cm holes.  The flow rate decreases regularly from each compartment to the next.  The performance speed of an individual fly, in cm/sec, is derived from the flow rate through the entrance hole to the compartment where the fly falls at the end of a run.  A constant flow rate across the diameter of each hole is assumed in calculating air speeds.  However, these air speeds can be higher than the actual flying speeds attained by flies, because of differential flow in the cross-section of the air stream through each compartment hole.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History of the selected lines.</w:t>
      </w:r>
      <w:r>
        <w:rPr>
          <w:rFonts w:ascii="Book Antiqua" w:hAnsi="Book Antiqua" w:cs="Book Antiqua"/>
          <w:sz w:val="20"/>
          <w:szCs w:val="20"/>
        </w:rPr>
        <w:t xml:space="preserve">  The two selected lines (AA1 and AA2), and their respective control lines (CN1 and CN2), all originated from a single large population that was founded in 1981 from a collection of 350 wild females captured in rural Massachusetts, USA.  This population was maintained at large size in bottles, with regular mixing, until the beginning of selection in 1987, when it was split into CN1 and CN2.  Each of these lines then gave rise to an associated selection line.  In the first phase of the experiment, selection continued for 100 generations, with measurements of performance every five generations.  The experiment was then relocated between labs and selection continued.  In generation 225, performance measurements were reinitiated every generation with a new standard protocol.  Measurement of flying performance occurred in every generation from generation 225 to 300.  In generation 230, a relaxed subline was derived from each selected line, and the relaxed lines were </w:t>
      </w:r>
      <w:r>
        <w:rPr>
          <w:rFonts w:ascii="Book Antiqua" w:hAnsi="Book Antiqua" w:cs="Book Antiqua"/>
          <w:sz w:val="20"/>
          <w:szCs w:val="20"/>
        </w:rPr>
        <w:lastRenderedPageBreak/>
        <w:t xml:space="preserve">cultured and measured by the same standard protocol as the selected lines, from generation 230 - 265.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Methods of culture, selection and trait measurement.</w:t>
      </w:r>
      <w:r>
        <w:rPr>
          <w:rFonts w:ascii="Book Antiqua" w:hAnsi="Book Antiqua" w:cs="Book Antiqua"/>
          <w:sz w:val="20"/>
          <w:szCs w:val="20"/>
        </w:rPr>
        <w:t xml:space="preserve">  Lines were cultured in 400 ml plastic bottles with screened lids, on a medium of potato flakes and yeast, with 50 bottles per line and 40 parents per bottle.  Flies were harvested and held at 12</w:t>
      </w:r>
      <w:r>
        <w:rPr>
          <w:rFonts w:ascii="Book Antiqua" w:hAnsi="Book Antiqua" w:cs="Book Antiqua"/>
          <w:sz w:val="20"/>
          <w:szCs w:val="20"/>
        </w:rPr>
        <w:sym w:font="Symbol" w:char="F0B0"/>
      </w:r>
      <w:r>
        <w:rPr>
          <w:rFonts w:ascii="Book Antiqua" w:hAnsi="Book Antiqua" w:cs="Book Antiqua"/>
          <w:sz w:val="20"/>
          <w:szCs w:val="20"/>
        </w:rPr>
        <w:t>C to prevent mating before selection.  Each generation, selection was carried out on four samples of up to 15,000 flies apiece.  Measurements of flying performance were carried out separately on small samples of around 300-500 flies apiece.  Two samples per line were measured each generation during the period from generation 225 to 300.  Samples were allowed to fly for 15 min, with an air temperature of approximately 26</w:t>
      </w:r>
      <w:r>
        <w:rPr>
          <w:rFonts w:ascii="Book Antiqua" w:hAnsi="Book Antiqua" w:cs="Book Antiqua"/>
          <w:sz w:val="20"/>
          <w:szCs w:val="20"/>
        </w:rPr>
        <w:sym w:font="Symbol" w:char="F0B0"/>
      </w:r>
      <w:r>
        <w:rPr>
          <w:rFonts w:ascii="Book Antiqua" w:hAnsi="Book Antiqua" w:cs="Book Antiqua"/>
          <w:sz w:val="20"/>
          <w:szCs w:val="20"/>
        </w:rPr>
        <w:t xml:space="preserve">C, and an air flow rate of 311 l/min.  A complete description of basic methods is given in Weber (1996), and the design of the wind tunnel is described in Weber (1988). However, the measurement protocol and the wind tunnel system have both been modified since generation 100, in ways that make measurement and processing faster and more convennient, and also improve the consistency of measurements, but that yield performance scores which are somewhat reduced.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Measurement of competitive fitness.</w:t>
      </w:r>
      <w:r>
        <w:rPr>
          <w:rFonts w:ascii="Book Antiqua" w:hAnsi="Book Antiqua" w:cs="Book Antiqua"/>
          <w:sz w:val="20"/>
          <w:szCs w:val="20"/>
        </w:rPr>
        <w:t xml:space="preserve">  The competitive fitness of selected and control lines was measured by competing each line against the same white-eyed tester stock.  Standard cultures in 12 dram vials on 4 g of potato flake medium were set up with 150 eggs of the white-eyed stock and 50 eggs of the respective line to be tested.  Cultures were then grown at 26</w:t>
      </w:r>
      <w:r>
        <w:rPr>
          <w:rFonts w:ascii="Book Antiqua" w:hAnsi="Book Antiqua" w:cs="Book Antiqua"/>
          <w:sz w:val="20"/>
          <w:szCs w:val="20"/>
        </w:rPr>
        <w:sym w:font="Symbol" w:char="F0B0"/>
      </w:r>
      <w:r>
        <w:rPr>
          <w:rFonts w:ascii="Book Antiqua" w:hAnsi="Book Antiqua" w:cs="Book Antiqua"/>
          <w:sz w:val="20"/>
          <w:szCs w:val="20"/>
        </w:rPr>
        <w:t xml:space="preserve">C and all emerging flies were scored for eye color.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Measurement of longevity and fecundity.</w:t>
      </w:r>
      <w:r>
        <w:rPr>
          <w:rFonts w:ascii="Book Antiqua" w:hAnsi="Book Antiqua" w:cs="Book Antiqua"/>
          <w:sz w:val="20"/>
          <w:szCs w:val="20"/>
        </w:rPr>
        <w:t xml:space="preserve">  The technique used for the longevity assay was similar to that described in Rose (1984), except that in this experiment the same flies used for the fecundity assay were used in the longevity assay.  New emergent flies were collected and males and females were placed in pairs on banana food vials.  At day 3, the pairs were transferred to sucrose charcoal agar with one drop of standard yeast solution.  Two days later, the pairs were returned to banana food and eggs were counted.  Upon the death of any fly, a replacement of the same sex was added, so that all flies experienced the presence of a mate throughout the assay.  Forty pairs were assayed per population.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Measurement of body weights.</w:t>
      </w:r>
      <w:r>
        <w:rPr>
          <w:rFonts w:ascii="Book Antiqua" w:hAnsi="Book Antiqua" w:cs="Book Antiqua"/>
          <w:sz w:val="20"/>
          <w:szCs w:val="20"/>
        </w:rPr>
        <w:t xml:space="preserve">  Live body weights were measured by culturing samples of 50 eggs per vial on potato flake medium at 26</w:t>
      </w:r>
      <w:r>
        <w:rPr>
          <w:rFonts w:ascii="Book Antiqua" w:hAnsi="Book Antiqua" w:cs="Book Antiqua"/>
          <w:sz w:val="20"/>
          <w:szCs w:val="20"/>
        </w:rPr>
        <w:sym w:font="Symbol" w:char="F0B0"/>
      </w:r>
      <w:r>
        <w:rPr>
          <w:rFonts w:ascii="Book Antiqua" w:hAnsi="Book Antiqua" w:cs="Book Antiqua"/>
          <w:sz w:val="20"/>
          <w:szCs w:val="20"/>
        </w:rPr>
        <w:t xml:space="preserve">C.  Mature flies were anesthetized, separated by sex, then allowed to recover overnight on fresh medium before weighing, to restore body water lost during sexing.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RESULTS AND DISCUSSION</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The populations have evolved considerably since the time of last report at generation 100.  Figure 1 shows the first 100 generations, as represented in Weber (1996), plus later population means from generation 225 through generation 300.  The two selected populations are nearly indistinguishable in wind tunnel performance.  Both populations still appear to be evolving.  In this phase, however, their rates of response have slowed greatly compared to the earlier reported phase.  They may be approaching an asymptotic response rate that would eventually arise based on new mutations, as predicted by Hill (1982a, b).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At about generation 150 of selection, Dr. Graves carried out measurements of longevity (Figure 2) and age-specific fecundity (Figure 3), in selected lines and their controls.  Despite minor heterogeneities among the lines, it is clear that overall, these basic life history parameters have been little affected by the selection regime.       </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At about generation 240, we measured body weights in standard cultures with uniform densities (Table 1).  The body weights of the selected lines have increased significantly in both sexes.  The percentage increase is substantially greater in males than in females.   </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br w:type="page"/>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Table 1. </w:t>
      </w:r>
      <w:r>
        <w:rPr>
          <w:rFonts w:ascii="Book Antiqua" w:hAnsi="Book Antiqua" w:cs="Book Antiqua"/>
          <w:b/>
          <w:bCs/>
          <w:sz w:val="20"/>
          <w:szCs w:val="20"/>
        </w:rPr>
        <w:t>Body Weights in Control and Selected Flies</w:t>
      </w:r>
      <w:r>
        <w:rPr>
          <w:rFonts w:ascii="Book Antiqua" w:hAnsi="Book Antiqua" w:cs="Book Antiqua"/>
          <w:b/>
          <w:bCs/>
          <w:sz w:val="20"/>
          <w:szCs w:val="20"/>
          <w:vertAlign w:val="superscript"/>
        </w:rPr>
        <w:t>A</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____________________________________________________________________</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Control (mg)      Selected (mg)</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____________________________________________________________________</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CN1 __               AA1 __</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1.24 ± 0.13        1.47 ± 0.34      ***      +19%</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CN1 __               AA1 __</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0.76 ± 0.06        1.01 ± 0.07      ***      +33%</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CN2 __               AA2 __</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1.37 ± 0.11        1.50 ± 0.17      ***      + 9%</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CN2 __               AA2 __</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                0.80 ± 0.10        1.01 ± 0.09      ***      +26%</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______________________________________________________________________________</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vertAlign w:val="superscript"/>
        </w:rPr>
        <w:t>A</w:t>
      </w:r>
      <w:r>
        <w:rPr>
          <w:rFonts w:ascii="Book Antiqua" w:hAnsi="Book Antiqua" w:cs="Book Antiqua"/>
          <w:sz w:val="20"/>
          <w:szCs w:val="20"/>
        </w:rPr>
        <w:t>Mean live body weights by sex, in selected and control lines, cultured in identical environments at equal densities.  Weights in mg, ± SD.  Samples of 100 flies.  *** indicates P &lt; 10</w:t>
      </w:r>
      <w:r>
        <w:rPr>
          <w:rFonts w:ascii="Book Antiqua" w:hAnsi="Book Antiqua" w:cs="Book Antiqua"/>
          <w:sz w:val="20"/>
          <w:szCs w:val="20"/>
          <w:vertAlign w:val="superscript"/>
        </w:rPr>
        <w:t>-6</w:t>
      </w:r>
      <w:r>
        <w:rPr>
          <w:rFonts w:ascii="Book Antiqua" w:hAnsi="Book Antiqua" w:cs="Book Antiqua"/>
          <w:sz w:val="20"/>
          <w:szCs w:val="20"/>
        </w:rPr>
        <w:t>.   Percent increases on right.</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In generation 230, relaxed sublines were taken from both selected lines and maintained without selection until generation 265.  These lines were cultured and measured every generation in the same way as the selected lines.  The relaxed lines appeared to maintain a nearly constant level of performance, while the selected lines appeared very gradually to increase their scores (Figure 4).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In generation 330, measurements of competitive fitness were carried out by competing selected and control lines against the same white-eyed tester stock under controlled densities.  The tests showed some heterogeneity within and between treated and control lines.  The selected lines exceeded the controls in competitive ability.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Major evolution has taken place in the selected trait.  Since generation 100, the phenotype has increased by around 25%, by conservative estimate.  At the new level of performance, the trait is still stable and shows no tendency to regress under relaxation.  Increased body size is evidently one component of high wind tunnel performance.  Other observations (Weber, unpublished) show that behavioral traits and other morphological traits are also involved.  Despite the evidence of major genetic changes, some fundamental fitness traits have been little affected, and competitive fitness may even have improved, at least according to this method of testing.  Substantial genetic modification by selection has occurred, without large fitness costs.</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b/>
          <w:bCs/>
          <w:sz w:val="20"/>
          <w:szCs w:val="20"/>
        </w:rPr>
        <w:t>CONCLUSION</w:t>
      </w: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Artificial selection on a quantitative trait has achieved large genetic changes without important fitness costs, in a large population where strong natural selection was maintained.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REFERENCES</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Eisen, E. J.  (1975)  </w:t>
      </w:r>
      <w:r>
        <w:rPr>
          <w:rFonts w:ascii="Book Antiqua" w:hAnsi="Book Antiqua" w:cs="Book Antiqua"/>
          <w:i/>
          <w:iCs/>
          <w:sz w:val="20"/>
          <w:szCs w:val="20"/>
        </w:rPr>
        <w:t>Genetics</w:t>
      </w:r>
      <w:r>
        <w:rPr>
          <w:rFonts w:ascii="Book Antiqua" w:hAnsi="Book Antiqua" w:cs="Book Antiqua"/>
          <w:sz w:val="20"/>
          <w:szCs w:val="20"/>
        </w:rPr>
        <w:t xml:space="preserve"> </w:t>
      </w:r>
      <w:r>
        <w:rPr>
          <w:rFonts w:ascii="Book Antiqua" w:hAnsi="Book Antiqua" w:cs="Book Antiqua"/>
          <w:b/>
          <w:bCs/>
          <w:sz w:val="20"/>
          <w:szCs w:val="20"/>
        </w:rPr>
        <w:t>79</w:t>
      </w:r>
      <w:r>
        <w:rPr>
          <w:rFonts w:ascii="Book Antiqua" w:hAnsi="Book Antiqua" w:cs="Book Antiqua"/>
          <w:sz w:val="20"/>
          <w:szCs w:val="20"/>
        </w:rPr>
        <w:t>: 305 - 323</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Frankham, R., Jones, L. P. and Barker, J. S. F.  (1968)  </w:t>
      </w:r>
      <w:r>
        <w:rPr>
          <w:rFonts w:ascii="Book Antiqua" w:hAnsi="Book Antiqua" w:cs="Book Antiqua"/>
          <w:i/>
          <w:iCs/>
          <w:sz w:val="20"/>
          <w:szCs w:val="20"/>
        </w:rPr>
        <w:t>Genet. Res.</w:t>
      </w:r>
      <w:r>
        <w:rPr>
          <w:rFonts w:ascii="Book Antiqua" w:hAnsi="Book Antiqua" w:cs="Book Antiqua"/>
          <w:sz w:val="20"/>
          <w:szCs w:val="20"/>
        </w:rPr>
        <w:t xml:space="preserve"> </w:t>
      </w:r>
      <w:r>
        <w:rPr>
          <w:rFonts w:ascii="Book Antiqua" w:hAnsi="Book Antiqua" w:cs="Book Antiqua"/>
          <w:b/>
          <w:bCs/>
          <w:sz w:val="20"/>
          <w:szCs w:val="20"/>
        </w:rPr>
        <w:t>12</w:t>
      </w:r>
      <w:r>
        <w:rPr>
          <w:rFonts w:ascii="Book Antiqua" w:hAnsi="Book Antiqua" w:cs="Book Antiqua"/>
          <w:sz w:val="20"/>
          <w:szCs w:val="20"/>
        </w:rPr>
        <w:t>: 267 - 283</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Frankham, R., Yoo, B. H., and Sheldon, B.L.  (1988)  </w:t>
      </w:r>
      <w:r>
        <w:rPr>
          <w:rFonts w:ascii="Book Antiqua" w:hAnsi="Book Antiqua" w:cs="Book Antiqua"/>
          <w:i/>
          <w:iCs/>
          <w:sz w:val="20"/>
          <w:szCs w:val="20"/>
        </w:rPr>
        <w:t>Theoret. Appl. Genet.</w:t>
      </w:r>
      <w:r>
        <w:rPr>
          <w:rFonts w:ascii="Book Antiqua" w:hAnsi="Book Antiqua" w:cs="Book Antiqua"/>
          <w:sz w:val="20"/>
          <w:szCs w:val="20"/>
        </w:rPr>
        <w:t xml:space="preserve">  </w:t>
      </w:r>
      <w:r>
        <w:rPr>
          <w:rFonts w:ascii="Book Antiqua" w:hAnsi="Book Antiqua" w:cs="Book Antiqua"/>
          <w:b/>
          <w:bCs/>
          <w:sz w:val="20"/>
          <w:szCs w:val="20"/>
        </w:rPr>
        <w:t>76</w:t>
      </w:r>
      <w:r>
        <w:rPr>
          <w:rFonts w:ascii="Book Antiqua" w:hAnsi="Book Antiqua" w:cs="Book Antiqua"/>
          <w:sz w:val="20"/>
          <w:szCs w:val="20"/>
        </w:rPr>
        <w:t xml:space="preserve">: 909 - 914 </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Hill, W. G.,  (1982a)  Proc. Natl. Acad. Sci.  USA  </w:t>
      </w:r>
      <w:r>
        <w:rPr>
          <w:rFonts w:ascii="Book Antiqua" w:hAnsi="Book Antiqua" w:cs="Book Antiqua"/>
          <w:b/>
          <w:bCs/>
          <w:sz w:val="20"/>
          <w:szCs w:val="20"/>
        </w:rPr>
        <w:t>79</w:t>
      </w:r>
      <w:r>
        <w:rPr>
          <w:rFonts w:ascii="Book Antiqua" w:hAnsi="Book Antiqua" w:cs="Book Antiqua"/>
          <w:sz w:val="20"/>
          <w:szCs w:val="20"/>
        </w:rPr>
        <w:t>: 142-145</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Hill, W. G.,  (1982b)  Genet. Res.  </w:t>
      </w:r>
      <w:r>
        <w:rPr>
          <w:rFonts w:ascii="Book Antiqua" w:hAnsi="Book Antiqua" w:cs="Book Antiqua"/>
          <w:b/>
          <w:bCs/>
          <w:sz w:val="20"/>
          <w:szCs w:val="20"/>
        </w:rPr>
        <w:t>40</w:t>
      </w:r>
      <w:r>
        <w:rPr>
          <w:rFonts w:ascii="Book Antiqua" w:hAnsi="Book Antiqua" w:cs="Book Antiqua"/>
          <w:sz w:val="20"/>
          <w:szCs w:val="20"/>
        </w:rPr>
        <w:t>: 255-278</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Jones, L. S., Frankham, R., and Barker, J. S. F.  (1968)  </w:t>
      </w:r>
      <w:r>
        <w:rPr>
          <w:rFonts w:ascii="Book Antiqua" w:hAnsi="Book Antiqua" w:cs="Book Antiqua"/>
          <w:i/>
          <w:iCs/>
          <w:sz w:val="20"/>
          <w:szCs w:val="20"/>
        </w:rPr>
        <w:t>Genet. Res.</w:t>
      </w:r>
      <w:r>
        <w:rPr>
          <w:rFonts w:ascii="Book Antiqua" w:hAnsi="Book Antiqua" w:cs="Book Antiqua"/>
          <w:sz w:val="20"/>
          <w:szCs w:val="20"/>
        </w:rPr>
        <w:t xml:space="preserve"> </w:t>
      </w:r>
      <w:r>
        <w:rPr>
          <w:rFonts w:ascii="Book Antiqua" w:hAnsi="Book Antiqua" w:cs="Book Antiqua"/>
          <w:b/>
          <w:bCs/>
          <w:sz w:val="20"/>
          <w:szCs w:val="20"/>
        </w:rPr>
        <w:t>12</w:t>
      </w:r>
      <w:r>
        <w:rPr>
          <w:rFonts w:ascii="Book Antiqua" w:hAnsi="Book Antiqua" w:cs="Book Antiqua"/>
          <w:sz w:val="20"/>
          <w:szCs w:val="20"/>
        </w:rPr>
        <w:t>: 249 - 266</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Latter, B.D.H. and Robertson, A.  (1962)  </w:t>
      </w:r>
      <w:r>
        <w:rPr>
          <w:rFonts w:ascii="Book Antiqua" w:hAnsi="Book Antiqua" w:cs="Book Antiqua"/>
          <w:i/>
          <w:iCs/>
          <w:sz w:val="20"/>
          <w:szCs w:val="20"/>
        </w:rPr>
        <w:t>Genet. Res.</w:t>
      </w:r>
      <w:r>
        <w:rPr>
          <w:rFonts w:ascii="Book Antiqua" w:hAnsi="Book Antiqua" w:cs="Book Antiqua"/>
          <w:sz w:val="20"/>
          <w:szCs w:val="20"/>
        </w:rPr>
        <w:t xml:space="preserve"> </w:t>
      </w:r>
      <w:r>
        <w:rPr>
          <w:rFonts w:ascii="Book Antiqua" w:hAnsi="Book Antiqua" w:cs="Book Antiqua"/>
          <w:b/>
          <w:bCs/>
          <w:sz w:val="20"/>
          <w:szCs w:val="20"/>
        </w:rPr>
        <w:t>3</w:t>
      </w:r>
      <w:r>
        <w:rPr>
          <w:rFonts w:ascii="Book Antiqua" w:hAnsi="Book Antiqua" w:cs="Book Antiqua"/>
          <w:sz w:val="20"/>
          <w:szCs w:val="20"/>
        </w:rPr>
        <w:t>: 110 - 138</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Rose, M. R. (1984)  Laboratory evolution of postponed senescence in </w:t>
      </w:r>
      <w:r>
        <w:rPr>
          <w:rFonts w:ascii="Book Antiqua" w:hAnsi="Book Antiqua" w:cs="Book Antiqua"/>
          <w:i/>
          <w:iCs/>
          <w:sz w:val="20"/>
          <w:szCs w:val="20"/>
        </w:rPr>
        <w:t>Drosophila</w:t>
      </w:r>
      <w:r>
        <w:rPr>
          <w:rFonts w:ascii="Book Antiqua" w:hAnsi="Book Antiqua" w:cs="Book Antiqua"/>
          <w:sz w:val="20"/>
          <w:szCs w:val="20"/>
        </w:rPr>
        <w:t xml:space="preserve"> </w:t>
      </w:r>
      <w:r>
        <w:rPr>
          <w:rFonts w:ascii="Book Antiqua" w:hAnsi="Book Antiqua" w:cs="Book Antiqua"/>
          <w:i/>
          <w:iCs/>
          <w:sz w:val="20"/>
          <w:szCs w:val="20"/>
        </w:rPr>
        <w:t>melanogaster</w:t>
      </w:r>
      <w:r>
        <w:rPr>
          <w:rFonts w:ascii="Book Antiqua" w:hAnsi="Book Antiqua" w:cs="Book Antiqua"/>
          <w:sz w:val="20"/>
          <w:szCs w:val="20"/>
        </w:rPr>
        <w:t xml:space="preserve">.  </w:t>
      </w:r>
      <w:r>
        <w:rPr>
          <w:rFonts w:ascii="Book Antiqua" w:hAnsi="Book Antiqua" w:cs="Book Antiqua"/>
          <w:i/>
          <w:iCs/>
          <w:sz w:val="20"/>
          <w:szCs w:val="20"/>
        </w:rPr>
        <w:t>Evolution</w:t>
      </w:r>
      <w:r>
        <w:rPr>
          <w:rFonts w:ascii="Book Antiqua" w:hAnsi="Book Antiqua" w:cs="Book Antiqua"/>
          <w:sz w:val="20"/>
          <w:szCs w:val="20"/>
        </w:rPr>
        <w:t xml:space="preserve"> </w:t>
      </w:r>
      <w:r>
        <w:rPr>
          <w:rFonts w:ascii="Book Antiqua" w:hAnsi="Book Antiqua" w:cs="Book Antiqua"/>
          <w:b/>
          <w:bCs/>
          <w:sz w:val="20"/>
          <w:szCs w:val="20"/>
        </w:rPr>
        <w:t>38</w:t>
      </w:r>
      <w:r>
        <w:rPr>
          <w:rFonts w:ascii="Book Antiqua" w:hAnsi="Book Antiqua" w:cs="Book Antiqua"/>
          <w:sz w:val="20"/>
          <w:szCs w:val="20"/>
        </w:rPr>
        <w:t>:  1004-1010</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Weber, K. E.  (1990)   </w:t>
      </w:r>
      <w:r>
        <w:rPr>
          <w:rFonts w:ascii="Book Antiqua" w:hAnsi="Book Antiqua" w:cs="Book Antiqua"/>
          <w:i/>
          <w:iCs/>
          <w:sz w:val="20"/>
          <w:szCs w:val="20"/>
        </w:rPr>
        <w:t>Genetics</w:t>
      </w:r>
      <w:r>
        <w:rPr>
          <w:rFonts w:ascii="Book Antiqua" w:hAnsi="Book Antiqua" w:cs="Book Antiqua"/>
          <w:sz w:val="20"/>
          <w:szCs w:val="20"/>
        </w:rPr>
        <w:t xml:space="preserve"> </w:t>
      </w:r>
      <w:r>
        <w:rPr>
          <w:rFonts w:ascii="Book Antiqua" w:hAnsi="Book Antiqua" w:cs="Book Antiqua"/>
          <w:b/>
          <w:bCs/>
          <w:sz w:val="20"/>
          <w:szCs w:val="20"/>
        </w:rPr>
        <w:t>125</w:t>
      </w:r>
      <w:r>
        <w:rPr>
          <w:rFonts w:ascii="Book Antiqua" w:hAnsi="Book Antiqua" w:cs="Book Antiqua"/>
          <w:sz w:val="20"/>
          <w:szCs w:val="20"/>
        </w:rPr>
        <w:t>: 579 - 584</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Weber, K. E. (1996)</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r>
        <w:rPr>
          <w:rFonts w:ascii="Book Antiqua" w:hAnsi="Book Antiqua" w:cs="Book Antiqua"/>
          <w:sz w:val="20"/>
          <w:szCs w:val="20"/>
        </w:rPr>
        <w:t xml:space="preserve">Weber, K. E. and Diggins, L. T.  (1990)  </w:t>
      </w:r>
      <w:r>
        <w:rPr>
          <w:rFonts w:ascii="Book Antiqua" w:hAnsi="Book Antiqua" w:cs="Book Antiqua"/>
          <w:i/>
          <w:iCs/>
          <w:sz w:val="20"/>
          <w:szCs w:val="20"/>
        </w:rPr>
        <w:t>Genetics</w:t>
      </w:r>
      <w:r>
        <w:rPr>
          <w:rFonts w:ascii="Book Antiqua" w:hAnsi="Book Antiqua" w:cs="Book Antiqua"/>
          <w:sz w:val="20"/>
          <w:szCs w:val="20"/>
        </w:rPr>
        <w:t xml:space="preserve"> </w:t>
      </w:r>
      <w:r>
        <w:rPr>
          <w:rFonts w:ascii="Book Antiqua" w:hAnsi="Book Antiqua" w:cs="Book Antiqua"/>
          <w:b/>
          <w:bCs/>
          <w:sz w:val="20"/>
          <w:szCs w:val="20"/>
        </w:rPr>
        <w:t>125</w:t>
      </w:r>
      <w:r>
        <w:rPr>
          <w:rFonts w:ascii="Book Antiqua" w:hAnsi="Book Antiqua" w:cs="Book Antiqua"/>
          <w:sz w:val="20"/>
          <w:szCs w:val="20"/>
        </w:rPr>
        <w:t>: 585 - 597</w:t>
      </w: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p>
    <w:p w:rsidR="006631AE" w:rsidRDefault="006631AE">
      <w:pPr>
        <w:tabs>
          <w:tab w:val="left" w:pos="-720"/>
        </w:tabs>
        <w:suppressAutoHyphens/>
        <w:spacing w:line="240" w:lineRule="atLeast"/>
        <w:rPr>
          <w:rFonts w:ascii="Book Antiqua" w:hAnsi="Book Antiqua" w:cs="Book Antiqua"/>
          <w:sz w:val="20"/>
          <w:szCs w:val="20"/>
        </w:rPr>
      </w:pPr>
    </w:p>
    <w:sectPr w:rsidR="006631AE" w:rsidSect="006631AE">
      <w:pgSz w:w="12240" w:h="15840"/>
      <w:pgMar w:top="360" w:right="1440" w:bottom="2880" w:left="1440" w:header="360" w:footer="2880"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3053" w:rsidRDefault="00903053">
      <w:pPr>
        <w:spacing w:line="20" w:lineRule="exact"/>
      </w:pPr>
    </w:p>
  </w:endnote>
  <w:endnote w:type="continuationSeparator" w:id="1">
    <w:p w:rsidR="00903053" w:rsidRDefault="00903053" w:rsidP="006631AE">
      <w:r>
        <w:t xml:space="preserve"> </w:t>
      </w:r>
    </w:p>
  </w:endnote>
  <w:endnote w:type="continuationNotice" w:id="2">
    <w:p w:rsidR="00903053" w:rsidRDefault="00903053" w:rsidP="006631AE">
      <w:r>
        <w:t xml:space="preserve"> </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3053" w:rsidRDefault="00903053" w:rsidP="006631AE">
      <w:r>
        <w:separator/>
      </w:r>
    </w:p>
  </w:footnote>
  <w:footnote w:type="continuationSeparator" w:id="1">
    <w:p w:rsidR="00903053" w:rsidRDefault="00903053" w:rsidP="006631A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hyphenationZone w:val="95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 w:id="2"/>
  </w:endnotePr>
  <w:compat>
    <w:spaceForUL/>
    <w:balanceSingleByteDoubleByteWidth/>
    <w:doNotLeaveBackslashAlone/>
    <w:ulTrailSpace/>
    <w:doNotExpandShiftReturn/>
    <w:adjustLineHeightInTable/>
    <w:useFELayout/>
  </w:compat>
  <w:rsids>
    <w:rsidRoot w:val="006631AE"/>
    <w:rsid w:val="00287284"/>
    <w:rsid w:val="006631AE"/>
    <w:rsid w:val="009030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Normal Indent" w:unhideWhenUsed="1"/>
    <w:lsdException w:name="annotation text" w:unhideWhenUsed="1"/>
    <w:lsdException w:name="header" w:unhideWhenUsed="1"/>
    <w:lsdException w:name="footer" w:unhideWhenUsed="1"/>
    <w:lsdException w:name="index heading" w:unhideWhenUsed="1"/>
    <w:lsdException w:name="caption" w:semiHidden="0" w:qFormat="1"/>
    <w:lsdException w:name="table of figures" w:unhideWhenUsed="1"/>
    <w:lsdException w:name="envelope address" w:unhideWhenUsed="1"/>
    <w:lsdException w:name="envelope return" w:unhideWhenUsed="1"/>
    <w:lsdException w:name="annotation reference" w:unhideWhenUsed="1"/>
    <w:lsdException w:name="line number" w:unhideWhenUsed="1"/>
    <w:lsdException w:name="page number" w:unhideWhenUsed="1"/>
    <w:lsdException w:name="table of authorities" w:unhideWhenUsed="1"/>
    <w:lsdException w:name="macro"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widowControl w:val="0"/>
      <w:autoSpaceDE w:val="0"/>
      <w:autoSpaceDN w:val="0"/>
      <w:adjustRightInd w:val="0"/>
      <w:spacing w:after="0" w:line="240" w:lineRule="auto"/>
    </w:pPr>
    <w:rPr>
      <w:rFonts w:ascii="Courier New" w:hAnsi="Courier New" w:cs="Courier New"/>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tyle>
  <w:style w:type="character" w:customStyle="1" w:styleId="EndnoteTextChar">
    <w:name w:val="Endnote Text Char"/>
    <w:basedOn w:val="DefaultParagraphFont"/>
    <w:link w:val="EndnoteText"/>
    <w:uiPriority w:val="99"/>
    <w:semiHidden/>
    <w:rsid w:val="006631AE"/>
    <w:rPr>
      <w:rFonts w:ascii="Courier New" w:hAnsi="Courier New" w:cs="Courier New"/>
      <w:sz w:val="20"/>
      <w:szCs w:val="20"/>
    </w:rPr>
  </w:style>
  <w:style w:type="character" w:styleId="EndnoteReference">
    <w:name w:val="endnote reference"/>
    <w:basedOn w:val="DefaultParagraphFont"/>
    <w:uiPriority w:val="99"/>
    <w:rPr>
      <w:vertAlign w:val="superscript"/>
    </w:rPr>
  </w:style>
  <w:style w:type="paragraph" w:styleId="FootnoteText">
    <w:name w:val="footnote text"/>
    <w:basedOn w:val="Normal"/>
    <w:link w:val="FootnoteTextChar"/>
    <w:uiPriority w:val="99"/>
  </w:style>
  <w:style w:type="character" w:customStyle="1" w:styleId="FootnoteTextChar">
    <w:name w:val="Footnote Text Char"/>
    <w:basedOn w:val="DefaultParagraphFont"/>
    <w:link w:val="FootnoteText"/>
    <w:uiPriority w:val="99"/>
    <w:semiHidden/>
    <w:rsid w:val="006631AE"/>
    <w:rPr>
      <w:rFonts w:ascii="Courier New" w:hAnsi="Courier New" w:cs="Courier New"/>
      <w:sz w:val="20"/>
      <w:szCs w:val="20"/>
    </w:rPr>
  </w:style>
  <w:style w:type="character" w:styleId="FootnoteReference">
    <w:name w:val="footnote reference"/>
    <w:basedOn w:val="DefaultParagraphFont"/>
    <w:uiPriority w:val="99"/>
    <w:rPr>
      <w:vertAlign w:val="superscript"/>
    </w:rPr>
  </w:style>
  <w:style w:type="paragraph" w:styleId="TOC1">
    <w:name w:val="toc 1"/>
    <w:basedOn w:val="Normal"/>
    <w:next w:val="Normal"/>
    <w:uiPriority w:val="99"/>
    <w:pPr>
      <w:tabs>
        <w:tab w:val="right" w:leader="dot" w:pos="9360"/>
      </w:tabs>
      <w:suppressAutoHyphens/>
      <w:spacing w:before="480" w:line="240" w:lineRule="atLeast"/>
      <w:ind w:left="720" w:right="720" w:hanging="720"/>
    </w:pPr>
  </w:style>
  <w:style w:type="paragraph" w:styleId="TOC2">
    <w:name w:val="toc 2"/>
    <w:basedOn w:val="Normal"/>
    <w:next w:val="Normal"/>
    <w:uiPriority w:val="99"/>
    <w:pPr>
      <w:tabs>
        <w:tab w:val="right" w:leader="dot" w:pos="9360"/>
      </w:tabs>
      <w:suppressAutoHyphens/>
      <w:spacing w:line="240" w:lineRule="atLeast"/>
      <w:ind w:left="720" w:right="720"/>
    </w:pPr>
  </w:style>
  <w:style w:type="paragraph" w:styleId="TOC3">
    <w:name w:val="toc 3"/>
    <w:basedOn w:val="Normal"/>
    <w:next w:val="Normal"/>
    <w:uiPriority w:val="99"/>
    <w:pPr>
      <w:tabs>
        <w:tab w:val="right" w:leader="dot" w:pos="9360"/>
      </w:tabs>
      <w:suppressAutoHyphens/>
      <w:spacing w:line="240" w:lineRule="atLeast"/>
      <w:ind w:left="720" w:right="720"/>
    </w:pPr>
  </w:style>
  <w:style w:type="paragraph" w:styleId="TOC4">
    <w:name w:val="toc 4"/>
    <w:basedOn w:val="Normal"/>
    <w:next w:val="Normal"/>
    <w:uiPriority w:val="99"/>
    <w:pPr>
      <w:tabs>
        <w:tab w:val="right" w:leader="dot" w:pos="9360"/>
      </w:tabs>
      <w:suppressAutoHyphens/>
      <w:spacing w:line="240" w:lineRule="atLeast"/>
      <w:ind w:left="720" w:right="720"/>
    </w:pPr>
  </w:style>
  <w:style w:type="paragraph" w:styleId="TOC5">
    <w:name w:val="toc 5"/>
    <w:basedOn w:val="Normal"/>
    <w:next w:val="Normal"/>
    <w:uiPriority w:val="99"/>
    <w:pPr>
      <w:tabs>
        <w:tab w:val="right" w:leader="dot" w:pos="9360"/>
      </w:tabs>
      <w:suppressAutoHyphens/>
      <w:spacing w:line="240" w:lineRule="atLeast"/>
      <w:ind w:left="720" w:right="720"/>
    </w:pPr>
  </w:style>
  <w:style w:type="paragraph" w:styleId="TOC6">
    <w:name w:val="toc 6"/>
    <w:basedOn w:val="Normal"/>
    <w:next w:val="Normal"/>
    <w:uiPriority w:val="99"/>
    <w:pPr>
      <w:tabs>
        <w:tab w:val="right" w:pos="9360"/>
      </w:tabs>
      <w:suppressAutoHyphens/>
      <w:spacing w:line="240" w:lineRule="atLeast"/>
      <w:ind w:left="720" w:hanging="720"/>
    </w:pPr>
  </w:style>
  <w:style w:type="paragraph" w:styleId="TOC7">
    <w:name w:val="toc 7"/>
    <w:basedOn w:val="Normal"/>
    <w:next w:val="Normal"/>
    <w:uiPriority w:val="99"/>
    <w:pPr>
      <w:suppressAutoHyphens/>
      <w:spacing w:line="240" w:lineRule="atLeast"/>
      <w:ind w:left="720" w:hanging="720"/>
    </w:pPr>
  </w:style>
  <w:style w:type="paragraph" w:styleId="TOC8">
    <w:name w:val="toc 8"/>
    <w:basedOn w:val="Normal"/>
    <w:next w:val="Normal"/>
    <w:uiPriority w:val="99"/>
    <w:pPr>
      <w:tabs>
        <w:tab w:val="right" w:pos="9360"/>
      </w:tabs>
      <w:suppressAutoHyphens/>
      <w:spacing w:line="240" w:lineRule="atLeast"/>
      <w:ind w:left="720" w:hanging="720"/>
    </w:pPr>
  </w:style>
  <w:style w:type="paragraph" w:styleId="TOC9">
    <w:name w:val="toc 9"/>
    <w:basedOn w:val="Normal"/>
    <w:next w:val="Normal"/>
    <w:uiPriority w:val="99"/>
    <w:pPr>
      <w:tabs>
        <w:tab w:val="right" w:leader="dot" w:pos="9360"/>
      </w:tabs>
      <w:suppressAutoHyphens/>
      <w:spacing w:line="240" w:lineRule="atLeast"/>
      <w:ind w:left="720" w:hanging="720"/>
    </w:pPr>
  </w:style>
  <w:style w:type="paragraph" w:styleId="Index1">
    <w:name w:val="index 1"/>
    <w:basedOn w:val="Normal"/>
    <w:next w:val="Normal"/>
    <w:uiPriority w:val="99"/>
    <w:pPr>
      <w:tabs>
        <w:tab w:val="right" w:leader="dot" w:pos="9360"/>
      </w:tabs>
      <w:suppressAutoHyphens/>
      <w:spacing w:line="240" w:lineRule="atLeast"/>
      <w:ind w:left="720" w:hanging="720"/>
    </w:pPr>
  </w:style>
  <w:style w:type="paragraph" w:styleId="Index2">
    <w:name w:val="index 2"/>
    <w:basedOn w:val="Normal"/>
    <w:next w:val="Normal"/>
    <w:uiPriority w:val="99"/>
    <w:pPr>
      <w:tabs>
        <w:tab w:val="right" w:leader="dot" w:pos="9360"/>
      </w:tabs>
      <w:suppressAutoHyphens/>
      <w:spacing w:line="240" w:lineRule="atLeast"/>
      <w:ind w:left="720"/>
    </w:pPr>
  </w:style>
  <w:style w:type="paragraph" w:styleId="TOAHeading">
    <w:name w:val="toa heading"/>
    <w:basedOn w:val="Normal"/>
    <w:next w:val="Normal"/>
    <w:uiPriority w:val="99"/>
    <w:pPr>
      <w:tabs>
        <w:tab w:val="right" w:pos="9360"/>
      </w:tabs>
      <w:suppressAutoHyphens/>
      <w:spacing w:line="240" w:lineRule="atLeast"/>
    </w:pPr>
  </w:style>
  <w:style w:type="paragraph" w:styleId="Caption">
    <w:name w:val="caption"/>
    <w:basedOn w:val="Normal"/>
    <w:next w:val="Normal"/>
    <w:uiPriority w:val="99"/>
    <w:qFormat/>
  </w:style>
  <w:style w:type="character" w:customStyle="1" w:styleId="EquationCaption">
    <w:name w:val="_Equation Caption"/>
    <w:uiPriority w:val="9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1827</Words>
  <Characters>10417</Characters>
  <Application>Microsoft Office Word</Application>
  <DocSecurity>0</DocSecurity>
  <Lines>86</Lines>
  <Paragraphs>24</Paragraphs>
  <ScaleCrop>false</ScaleCrop>
  <Company/>
  <LinksUpToDate>false</LinksUpToDate>
  <CharactersWithSpaces>12220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dc:creator>
  <cp:lastModifiedBy>kenneth</cp:lastModifiedBy>
  <cp:revision>2</cp:revision>
  <dcterms:created xsi:type="dcterms:W3CDTF">2011-09-18T12:04:00Z</dcterms:created>
  <dcterms:modified xsi:type="dcterms:W3CDTF">2011-09-18T12:04:00Z</dcterms:modified>
</cp:coreProperties>
</file>