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DejaVu Math TeX Gyre" w:hAnsi="DejaVu Math TeX Gyre"/>
          <w:b/>
          <w:bCs/>
        </w:rPr>
      </w:pPr>
      <w:r>
        <w:rPr>
          <w:rFonts w:ascii="DejaVu Math TeX Gyre" w:hAnsi="DejaVu Math TeX Gyre"/>
          <w:b/>
          <w:bCs/>
        </w:rPr>
        <w:t>USER INTERFACE AND USER EXPERIENCE DESIGN LAB</w:t>
      </w:r>
    </w:p>
    <w:p>
      <w:pPr>
        <w:pStyle w:val="Normal"/>
        <w:bidi w:val="0"/>
        <w:jc w:val="start"/>
        <w:rPr>
          <w:rFonts w:ascii="DejaVu Math TeX Gyre" w:hAnsi="DejaVu Math TeX Gyre"/>
        </w:rPr>
      </w:pPr>
      <w:r>
        <w:rPr>
          <w:rFonts w:ascii="DejaVu Math TeX Gyre" w:hAnsi="DejaVu Math TeX Gyre"/>
        </w:rPr>
        <w:t>NAME : MIDHULA PRIYIAN P V</w:t>
      </w:r>
    </w:p>
    <w:p>
      <w:pPr>
        <w:pStyle w:val="Normal"/>
        <w:bidi w:val="0"/>
        <w:jc w:val="start"/>
        <w:rPr>
          <w:rFonts w:ascii="DejaVu Math TeX Gyre" w:hAnsi="DejaVu Math TeX Gyre"/>
        </w:rPr>
      </w:pPr>
      <w:r>
        <w:rPr>
          <w:rFonts w:ascii="DejaVu Math TeX Gyre" w:hAnsi="DejaVu Math TeX Gyre"/>
        </w:rPr>
        <w:t>REG.NO : 23MIS0609</w:t>
      </w:r>
    </w:p>
    <w:p>
      <w:pPr>
        <w:pStyle w:val="Normal"/>
        <w:bidi w:val="0"/>
        <w:jc w:val="start"/>
        <w:rPr>
          <w:rFonts w:ascii="DejaVu Math TeX Gyre" w:hAnsi="DejaVu Math TeX Gyre"/>
        </w:rPr>
      </w:pPr>
      <w:r>
        <w:rPr>
          <w:rFonts w:ascii="DejaVu Math TeX Gyre" w:hAnsi="DejaVu Math TeX Gyre"/>
        </w:rPr>
        <w:t>SLOT : L15+L16</w:t>
      </w:r>
    </w:p>
    <w:p>
      <w:pPr>
        <w:pStyle w:val="Normal"/>
        <w:bidi w:val="0"/>
        <w:jc w:val="start"/>
        <w:rPr>
          <w:rFonts w:ascii="DejaVu Math TeX Gyre" w:hAnsi="DejaVu Math TeX Gyre"/>
        </w:rPr>
      </w:pPr>
      <w:r>
        <w:rPr>
          <w:rFonts w:ascii="DejaVu Math TeX Gyre" w:hAnsi="DejaVu Math TeX Gyre"/>
        </w:rPr>
        <w:drawing>
          <wp:anchor distT="0" distB="0" distL="0" distR="0" simplePos="0" relativeHeight="2" behindDoc="0" locked="0" layoutInCell="0" allowOverlap="1">
            <wp:simplePos x="0" y="0"/>
            <wp:positionH relativeFrom="column">
              <wp:posOffset>-150495</wp:posOffset>
            </wp:positionH>
            <wp:positionV relativeFrom="paragraph">
              <wp:posOffset>149225</wp:posOffset>
            </wp:positionV>
            <wp:extent cx="6120130" cy="23958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2395855"/>
                    </a:xfrm>
                    <a:prstGeom prst="rect">
                      <a:avLst/>
                    </a:prstGeom>
                    <a:noFill/>
                  </pic:spPr>
                </pic:pic>
              </a:graphicData>
            </a:graphic>
          </wp:anchor>
        </w:drawing>
      </w:r>
    </w:p>
    <w:p>
      <w:pPr>
        <w:pStyle w:val="normal1"/>
        <w:rPr>
          <w:rFonts w:ascii="DejaVu Math TeX Gyre" w:hAnsi="DejaVu Math TeX Gyre"/>
        </w:rPr>
      </w:pPr>
      <w:r>
        <w:rPr>
          <w:rFonts w:ascii="DejaVu Math TeX Gyre" w:hAnsi="DejaVu Math TeX Gyre"/>
        </w:rPr>
        <w:t>Bad Design 1: Inaccessible Electrical Switch Board</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Description:</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The electrical switchboard that controls the classroom lights and fans is installed inside a locked electrical cabinet. Students cannot directly access the switches, and the location of the switchboard is not clearly visible. Many first-year students spend time searching for the controls or depend on faculty or staff to operate them.</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Source of Photograph:</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Own Photograph (GPS-enabled, Captured by Me)</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Place:</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SJT Block, VIT University, Vellore, Tamil Nadu, India</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Reasons why the design is bad:</w:t>
      </w:r>
    </w:p>
    <w:p>
      <w:pPr>
        <w:pStyle w:val="normal1"/>
        <w:rPr>
          <w:rFonts w:ascii="DejaVu Math TeX Gyre" w:hAnsi="DejaVu Math TeX Gyre"/>
        </w:rPr>
      </w:pPr>
      <w:r>
        <w:rPr>
          <w:rFonts w:ascii="DejaVu Math TeX Gyre" w:hAnsi="DejaVu Math TeX Gyre"/>
        </w:rPr>
      </w:r>
    </w:p>
    <w:p>
      <w:pPr>
        <w:pStyle w:val="normal1"/>
        <w:numPr>
          <w:ilvl w:val="0"/>
          <w:numId w:val="1"/>
        </w:numPr>
        <w:rPr>
          <w:rFonts w:ascii="DejaVu Math TeX Gyre" w:hAnsi="DejaVu Math TeX Gyre"/>
        </w:rPr>
      </w:pPr>
      <w:r>
        <w:rPr>
          <w:rFonts w:ascii="DejaVu Math TeX Gyre" w:hAnsi="DejaVu Math TeX Gyre"/>
        </w:rPr>
        <w:t>The switchboard is inaccessible to students.</w:t>
      </w:r>
    </w:p>
    <w:p>
      <w:pPr>
        <w:pStyle w:val="normal1"/>
        <w:numPr>
          <w:ilvl w:val="0"/>
          <w:numId w:val="1"/>
        </w:numPr>
        <w:rPr>
          <w:rFonts w:ascii="DejaVu Math TeX Gyre" w:hAnsi="DejaVu Math TeX Gyre"/>
        </w:rPr>
      </w:pPr>
      <w:r>
        <w:rPr>
          <w:rFonts w:ascii="DejaVu Math TeX Gyre" w:hAnsi="DejaVu Math TeX Gyre"/>
        </w:rPr>
      </w:r>
    </w:p>
    <w:p>
      <w:pPr>
        <w:pStyle w:val="normal1"/>
        <w:numPr>
          <w:ilvl w:val="0"/>
          <w:numId w:val="1"/>
        </w:numPr>
        <w:rPr>
          <w:rFonts w:ascii="DejaVu Math TeX Gyre" w:hAnsi="DejaVu Math TeX Gyre"/>
        </w:rPr>
      </w:pPr>
      <w:r>
        <w:rPr>
          <w:rFonts w:ascii="DejaVu Math TeX Gyre" w:hAnsi="DejaVu Math TeX Gyre"/>
        </w:rPr>
        <w:t>Lack of proper visibility and signage makes it difficult to locate.</w:t>
      </w:r>
    </w:p>
    <w:p>
      <w:pPr>
        <w:pStyle w:val="normal1"/>
        <w:numPr>
          <w:ilvl w:val="0"/>
          <w:numId w:val="1"/>
        </w:numPr>
        <w:rPr>
          <w:rFonts w:ascii="DejaVu Math TeX Gyre" w:hAnsi="DejaVu Math TeX Gyre"/>
        </w:rPr>
      </w:pPr>
      <w:r>
        <w:rPr>
          <w:rFonts w:ascii="DejaVu Math TeX Gyre" w:hAnsi="DejaVu Math TeX Gyre"/>
        </w:rPr>
      </w:r>
    </w:p>
    <w:p>
      <w:pPr>
        <w:pStyle w:val="normal1"/>
        <w:numPr>
          <w:ilvl w:val="0"/>
          <w:numId w:val="1"/>
        </w:numPr>
        <w:rPr>
          <w:rFonts w:ascii="DejaVu Math TeX Gyre" w:hAnsi="DejaVu Math TeX Gyre"/>
        </w:rPr>
      </w:pPr>
      <w:r>
        <w:rPr>
          <w:rFonts w:ascii="DejaVu Math TeX Gyre" w:hAnsi="DejaVu Math TeX Gyre"/>
        </w:rPr>
        <w:t>Users cannot independently control lights and fans.</w:t>
      </w:r>
    </w:p>
    <w:p>
      <w:pPr>
        <w:pStyle w:val="normal1"/>
        <w:numPr>
          <w:ilvl w:val="0"/>
          <w:numId w:val="1"/>
        </w:numPr>
        <w:rPr>
          <w:rFonts w:ascii="DejaVu Math TeX Gyre" w:hAnsi="DejaVu Math TeX Gyre"/>
        </w:rPr>
      </w:pPr>
      <w:r>
        <w:rPr>
          <w:rFonts w:ascii="DejaVu Math TeX Gyre" w:hAnsi="DejaVu Math TeX Gyre"/>
        </w:rPr>
      </w:r>
    </w:p>
    <w:p>
      <w:pPr>
        <w:pStyle w:val="normal1"/>
        <w:numPr>
          <w:ilvl w:val="0"/>
          <w:numId w:val="1"/>
        </w:numPr>
        <w:rPr>
          <w:rFonts w:ascii="DejaVu Math TeX Gyre" w:hAnsi="DejaVu Math TeX Gyre"/>
        </w:rPr>
      </w:pPr>
      <w:r>
        <w:rPr>
          <w:rFonts w:ascii="DejaVu Math TeX Gyre" w:hAnsi="DejaVu Math TeX Gyre"/>
        </w:rPr>
        <w:t>Wastes time, especially for new students.</w:t>
      </w:r>
    </w:p>
    <w:p>
      <w:pPr>
        <w:pStyle w:val="normal1"/>
        <w:numPr>
          <w:ilvl w:val="0"/>
          <w:numId w:val="0"/>
        </w:numPr>
        <w:ind w:hanging="0" w:start="720"/>
        <w:rPr>
          <w:rFonts w:ascii="DejaVu Math TeX Gyre" w:hAnsi="DejaVu Math TeX Gyre"/>
        </w:rPr>
      </w:pPr>
      <w:r>
        <w:rPr>
          <w:rFonts w:ascii="DejaVu Math TeX Gyre" w:hAnsi="DejaVu Math TeX Gyre"/>
        </w:rPr>
      </w:r>
    </w:p>
    <w:p>
      <w:pPr>
        <w:pStyle w:val="normal1"/>
        <w:numPr>
          <w:ilvl w:val="0"/>
          <w:numId w:val="1"/>
        </w:numPr>
        <w:rPr>
          <w:rFonts w:ascii="DejaVu Math TeX Gyre" w:hAnsi="DejaVu Math TeX Gyre"/>
        </w:rPr>
      </w:pPr>
      <w:r>
        <w:rPr>
          <w:rFonts w:ascii="DejaVu Math TeX Gyre" w:hAnsi="DejaVu Math TeX Gyre"/>
        </w:rPr>
        <w:t>Reduces usability and user convenience.</w:t>
      </w:r>
    </w:p>
    <w:p>
      <w:pPr>
        <w:pStyle w:val="normal1"/>
        <w:numPr>
          <w:ilvl w:val="0"/>
          <w:numId w:val="0"/>
        </w:numPr>
        <w:ind w:hanging="0" w:start="720"/>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Suggested Improvement:</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Install a separate, easily accessible switch panel outside the electrical cabinet.</w:t>
      </w:r>
    </w:p>
    <w:p>
      <w:pPr>
        <w:pStyle w:val="normal1"/>
        <w:numPr>
          <w:ilvl w:val="0"/>
          <w:numId w:val="2"/>
        </w:numPr>
        <w:rPr>
          <w:rFonts w:ascii="DejaVu Math TeX Gyre" w:hAnsi="DejaVu Math TeX Gyre"/>
        </w:rPr>
      </w:pPr>
      <w:r>
        <w:rPr>
          <w:rFonts w:ascii="DejaVu Math TeX Gyre" w:hAnsi="DejaVu Math TeX Gyre"/>
        </w:rPr>
      </w:r>
    </w:p>
    <w:p>
      <w:pPr>
        <w:pStyle w:val="normal1"/>
        <w:numPr>
          <w:ilvl w:val="0"/>
          <w:numId w:val="2"/>
        </w:numPr>
        <w:rPr>
          <w:rFonts w:ascii="DejaVu Math TeX Gyre" w:hAnsi="DejaVu Math TeX Gyre"/>
        </w:rPr>
      </w:pPr>
      <w:r>
        <w:rPr>
          <w:rFonts w:ascii="DejaVu Math TeX Gyre" w:hAnsi="DejaVu Math TeX Gyre"/>
        </w:rPr>
        <w:t>Add clear labels or directional signs indicating the switchboard location.</w:t>
      </w:r>
    </w:p>
    <w:p>
      <w:pPr>
        <w:pStyle w:val="normal1"/>
        <w:numPr>
          <w:ilvl w:val="0"/>
          <w:numId w:val="2"/>
        </w:numPr>
        <w:rPr>
          <w:rFonts w:ascii="DejaVu Math TeX Gyre" w:hAnsi="DejaVu Math TeX Gyre"/>
        </w:rPr>
      </w:pPr>
      <w:r>
        <w:rPr>
          <w:rFonts w:ascii="DejaVu Math TeX Gyre" w:hAnsi="DejaVu Math TeX Gyre"/>
        </w:rPr>
      </w:r>
    </w:p>
    <w:p>
      <w:pPr>
        <w:pStyle w:val="normal1"/>
        <w:numPr>
          <w:ilvl w:val="0"/>
          <w:numId w:val="2"/>
        </w:numPr>
        <w:rPr>
          <w:rFonts w:ascii="DejaVu Math TeX Gyre" w:hAnsi="DejaVu Math TeX Gyre"/>
        </w:rPr>
      </w:pPr>
      <w:r>
        <w:rPr>
          <w:rFonts w:ascii="DejaVu Math TeX Gyre" w:hAnsi="DejaVu Math TeX Gyre"/>
        </w:rPr>
        <w:t>Place commonly used switches at an ergonomic height.</w:t>
      </w:r>
    </w:p>
    <w:p>
      <w:pPr>
        <w:pStyle w:val="normal1"/>
        <w:numPr>
          <w:ilvl w:val="0"/>
          <w:numId w:val="2"/>
        </w:numPr>
        <w:rPr>
          <w:rFonts w:ascii="DejaVu Math TeX Gyre" w:hAnsi="DejaVu Math TeX Gyre"/>
        </w:rPr>
      </w:pPr>
      <w:r>
        <w:rPr>
          <w:rFonts w:ascii="DejaVu Math TeX Gyre" w:hAnsi="DejaVu Math TeX Gyre"/>
        </w:rPr>
      </w:r>
    </w:p>
    <w:p>
      <w:pPr>
        <w:pStyle w:val="normal1"/>
        <w:numPr>
          <w:ilvl w:val="0"/>
          <w:numId w:val="2"/>
        </w:numPr>
        <w:rPr>
          <w:rFonts w:ascii="DejaVu Math TeX Gyre" w:hAnsi="DejaVu Math TeX Gyre"/>
        </w:rPr>
      </w:pPr>
      <w:r>
        <w:rPr>
          <w:rFonts w:ascii="DejaVu Math TeX Gyre" w:hAnsi="DejaVu Math TeX Gyre"/>
        </w:rPr>
        <w:t>Ensure authorized but convenient access for classroom users.</w:t>
      </w:r>
    </w:p>
    <w:p>
      <w:pPr>
        <w:pStyle w:val="normal1"/>
        <w:numPr>
          <w:ilvl w:val="0"/>
          <w:numId w:val="0"/>
        </w:numPr>
        <w:ind w:hanging="0" w:start="720"/>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Bad Design 2: Poor Placement of Face Recognition Biometric System</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Description:</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The face recognition biometric attendance system is installed near the classroom entrance. Students can mark their attendance immediately after entering and then leave the classroom without attending the lecture, reducing the effectiveness of the attendance system.</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Source of Photograph:</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Own Photograph (GPS-enabled, Captured by Me)</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Place:</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SJT Block, VIT University, Vellore, Tamil Nadu, India</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Reasons why the design is bad:</w:t>
      </w:r>
    </w:p>
    <w:p>
      <w:pPr>
        <w:pStyle w:val="normal1"/>
        <w:rPr>
          <w:rFonts w:ascii="DejaVu Math TeX Gyre" w:hAnsi="DejaVu Math TeX Gyre"/>
        </w:rPr>
      </w:pPr>
      <w:r>
        <w:rPr>
          <w:rFonts w:ascii="DejaVu Math TeX Gyre" w:hAnsi="DejaVu Math TeX Gyre"/>
        </w:rPr>
      </w:r>
    </w:p>
    <w:p>
      <w:pPr>
        <w:pStyle w:val="normal1"/>
        <w:numPr>
          <w:ilvl w:val="0"/>
          <w:numId w:val="3"/>
        </w:numPr>
        <w:rPr>
          <w:rFonts w:ascii="DejaVu Math TeX Gyre" w:hAnsi="DejaVu Math TeX Gyre"/>
        </w:rPr>
      </w:pPr>
      <w:r>
        <w:rPr>
          <w:rFonts w:ascii="DejaVu Math TeX Gyre" w:hAnsi="DejaVu Math TeX Gyre"/>
        </w:rPr>
        <w:t>Attendance can be marked without actually attending the class.</w:t>
      </w:r>
    </w:p>
    <w:p>
      <w:pPr>
        <w:pStyle w:val="normal1"/>
        <w:numPr>
          <w:ilvl w:val="0"/>
          <w:numId w:val="3"/>
        </w:numPr>
        <w:rPr>
          <w:rFonts w:ascii="DejaVu Math TeX Gyre" w:hAnsi="DejaVu Math TeX Gyre"/>
        </w:rPr>
      </w:pPr>
      <w:r>
        <w:rPr>
          <w:rFonts w:ascii="DejaVu Math TeX Gyre" w:hAnsi="DejaVu Math TeX Gyre"/>
        </w:rPr>
      </w:r>
    </w:p>
    <w:p>
      <w:pPr>
        <w:pStyle w:val="normal1"/>
        <w:numPr>
          <w:ilvl w:val="0"/>
          <w:numId w:val="3"/>
        </w:numPr>
        <w:rPr>
          <w:rFonts w:ascii="DejaVu Math TeX Gyre" w:hAnsi="DejaVu Math TeX Gyre"/>
        </w:rPr>
      </w:pPr>
      <w:r>
        <w:rPr>
          <w:rFonts w:ascii="DejaVu Math TeX Gyre" w:hAnsi="DejaVu Math TeX Gyre"/>
        </w:rPr>
        <w:t>Does not ensure students remain inside the classroom.</w:t>
      </w:r>
    </w:p>
    <w:p>
      <w:pPr>
        <w:pStyle w:val="normal1"/>
        <w:numPr>
          <w:ilvl w:val="0"/>
          <w:numId w:val="3"/>
        </w:numPr>
        <w:rPr>
          <w:rFonts w:ascii="DejaVu Math TeX Gyre" w:hAnsi="DejaVu Math TeX Gyre"/>
        </w:rPr>
      </w:pPr>
      <w:r>
        <w:rPr>
          <w:rFonts w:ascii="DejaVu Math TeX Gyre" w:hAnsi="DejaVu Math TeX Gyre"/>
        </w:rPr>
      </w:r>
    </w:p>
    <w:p>
      <w:pPr>
        <w:pStyle w:val="normal1"/>
        <w:numPr>
          <w:ilvl w:val="0"/>
          <w:numId w:val="3"/>
        </w:numPr>
        <w:rPr>
          <w:rFonts w:ascii="DejaVu Math TeX Gyre" w:hAnsi="DejaVu Math TeX Gyre"/>
        </w:rPr>
      </w:pPr>
      <w:r>
        <w:rPr>
          <w:rFonts w:ascii="DejaVu Math TeX Gyre" w:hAnsi="DejaVu Math TeX Gyre"/>
        </w:rPr>
        <w:t>Reduces the reliability of the attendance system.</w:t>
      </w:r>
    </w:p>
    <w:p>
      <w:pPr>
        <w:pStyle w:val="normal1"/>
        <w:numPr>
          <w:ilvl w:val="0"/>
          <w:numId w:val="3"/>
        </w:numPr>
        <w:rPr>
          <w:rFonts w:ascii="DejaVu Math TeX Gyre" w:hAnsi="DejaVu Math TeX Gyre"/>
        </w:rPr>
      </w:pPr>
      <w:r>
        <w:rPr>
          <w:rFonts w:ascii="DejaVu Math TeX Gyre" w:hAnsi="DejaVu Math TeX Gyre"/>
        </w:rPr>
      </w:r>
    </w:p>
    <w:p>
      <w:pPr>
        <w:pStyle w:val="normal1"/>
        <w:numPr>
          <w:ilvl w:val="0"/>
          <w:numId w:val="3"/>
        </w:numPr>
        <w:rPr>
          <w:rFonts w:ascii="DejaVu Math TeX Gyre" w:hAnsi="DejaVu Math TeX Gyre"/>
        </w:rPr>
      </w:pPr>
      <w:r>
        <w:rPr>
          <w:rFonts w:ascii="DejaVu Math TeX Gyre" w:hAnsi="DejaVu Math TeX Gyre"/>
        </w:rPr>
        <w:t>Allows misuse and decreases discipline.</w:t>
      </w:r>
    </w:p>
    <w:p>
      <w:pPr>
        <w:pStyle w:val="normal1"/>
        <w:numPr>
          <w:ilvl w:val="0"/>
          <w:numId w:val="3"/>
        </w:numPr>
        <w:rPr>
          <w:rFonts w:ascii="DejaVu Math TeX Gyre" w:hAnsi="DejaVu Math TeX Gyre"/>
        </w:rPr>
      </w:pPr>
      <w:r>
        <w:rPr>
          <w:rFonts w:ascii="DejaVu Math TeX Gyre" w:hAnsi="DejaVu Math TeX Gyre"/>
        </w:rPr>
      </w:r>
    </w:p>
    <w:p>
      <w:pPr>
        <w:pStyle w:val="normal1"/>
        <w:numPr>
          <w:ilvl w:val="0"/>
          <w:numId w:val="3"/>
        </w:numPr>
        <w:rPr>
          <w:rFonts w:ascii="DejaVu Math TeX Gyre" w:hAnsi="DejaVu Math TeX Gyre"/>
        </w:rPr>
      </w:pPr>
      <w:r>
        <w:rPr>
          <w:rFonts w:ascii="DejaVu Math TeX Gyre" w:hAnsi="DejaVu Math TeX Gyre"/>
        </w:rPr>
        <w:t>Poor placement affects the intended purpose of the biometric system.</w:t>
      </w:r>
    </w:p>
    <w:p>
      <w:pPr>
        <w:pStyle w:val="normal1"/>
        <w:numPr>
          <w:ilvl w:val="0"/>
          <w:numId w:val="0"/>
        </w:numPr>
        <w:ind w:hanging="0" w:start="720"/>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Suggested Improvement:</w:t>
      </w:r>
    </w:p>
    <w:p>
      <w:pPr>
        <w:pStyle w:val="normal1"/>
        <w:rPr>
          <w:rFonts w:ascii="DejaVu Math TeX Gyre" w:hAnsi="DejaVu Math TeX Gyre"/>
        </w:rPr>
      </w:pPr>
      <w:r>
        <w:rPr>
          <w:rFonts w:ascii="DejaVu Math TeX Gyre" w:hAnsi="DejaVu Math TeX Gyre"/>
        </w:rPr>
      </w:r>
    </w:p>
    <w:p>
      <w:pPr>
        <w:pStyle w:val="normal1"/>
        <w:numPr>
          <w:ilvl w:val="0"/>
          <w:numId w:val="4"/>
        </w:numPr>
        <w:rPr>
          <w:rFonts w:ascii="DejaVu Math TeX Gyre" w:hAnsi="DejaVu Math TeX Gyre"/>
        </w:rPr>
      </w:pPr>
      <w:r>
        <w:rPr>
          <w:rFonts w:ascii="DejaVu Math TeX Gyre" w:hAnsi="DejaVu Math TeX Gyre"/>
        </w:rPr>
        <w:t>Install the biometric device inside the classroom near the faculty desk.</w:t>
      </w:r>
    </w:p>
    <w:p>
      <w:pPr>
        <w:pStyle w:val="normal1"/>
        <w:numPr>
          <w:ilvl w:val="0"/>
          <w:numId w:val="4"/>
        </w:numPr>
        <w:rPr>
          <w:rFonts w:ascii="DejaVu Math TeX Gyre" w:hAnsi="DejaVu Math TeX Gyre"/>
        </w:rPr>
      </w:pPr>
      <w:r>
        <w:rPr>
          <w:rFonts w:ascii="DejaVu Math TeX Gyre" w:hAnsi="DejaVu Math TeX Gyre"/>
        </w:rPr>
      </w:r>
    </w:p>
    <w:p>
      <w:pPr>
        <w:pStyle w:val="normal1"/>
        <w:numPr>
          <w:ilvl w:val="0"/>
          <w:numId w:val="4"/>
        </w:numPr>
        <w:rPr>
          <w:rFonts w:ascii="DejaVu Math TeX Gyre" w:hAnsi="DejaVu Math TeX Gyre"/>
        </w:rPr>
      </w:pPr>
      <w:r>
        <w:rPr>
          <w:rFonts w:ascii="DejaVu Math TeX Gyre" w:hAnsi="DejaVu Math TeX Gyre"/>
        </w:rPr>
        <w:t>Allow attendance only after the faculty initiates the process.</w:t>
      </w:r>
    </w:p>
    <w:p>
      <w:pPr>
        <w:pStyle w:val="normal1"/>
        <w:numPr>
          <w:ilvl w:val="0"/>
          <w:numId w:val="4"/>
        </w:numPr>
        <w:rPr>
          <w:rFonts w:ascii="DejaVu Math TeX Gyre" w:hAnsi="DejaVu Math TeX Gyre"/>
        </w:rPr>
      </w:pPr>
      <w:r>
        <w:rPr>
          <w:rFonts w:ascii="DejaVu Math TeX Gyre" w:hAnsi="DejaVu Math TeX Gyre"/>
        </w:rPr>
      </w:r>
    </w:p>
    <w:p>
      <w:pPr>
        <w:pStyle w:val="normal1"/>
        <w:numPr>
          <w:ilvl w:val="0"/>
          <w:numId w:val="4"/>
        </w:numPr>
        <w:rPr>
          <w:rFonts w:ascii="DejaVu Math TeX Gyre" w:hAnsi="DejaVu Math TeX Gyre"/>
        </w:rPr>
      </w:pPr>
      <w:r>
        <w:rPr>
          <w:rFonts w:ascii="DejaVu Math TeX Gyre" w:hAnsi="DejaVu Math TeX Gyre"/>
        </w:rPr>
        <w:t>Integrate attendance with class timing or periodic verification.</w:t>
      </w:r>
    </w:p>
    <w:p>
      <w:pPr>
        <w:pStyle w:val="normal1"/>
        <w:numPr>
          <w:ilvl w:val="0"/>
          <w:numId w:val="4"/>
        </w:numPr>
        <w:rPr>
          <w:rFonts w:ascii="DejaVu Math TeX Gyre" w:hAnsi="DejaVu Math TeX Gyre"/>
        </w:rPr>
      </w:pPr>
      <w:r>
        <w:rPr>
          <w:rFonts w:ascii="DejaVu Math TeX Gyre" w:hAnsi="DejaVu Math TeX Gyre"/>
        </w:rPr>
      </w:r>
    </w:p>
    <w:p>
      <w:pPr>
        <w:pStyle w:val="normal1"/>
        <w:numPr>
          <w:ilvl w:val="0"/>
          <w:numId w:val="4"/>
        </w:numPr>
        <w:rPr>
          <w:rFonts w:ascii="DejaVu Math TeX Gyre" w:hAnsi="DejaVu Math TeX Gyre"/>
        </w:rPr>
      </w:pPr>
      <w:r>
        <w:rPr>
          <w:rFonts w:ascii="DejaVu Math TeX Gyre" w:hAnsi="DejaVu Math TeX Gyre"/>
        </w:rPr>
        <w:t>Use additional monitoring methods to prevent misuse.</w:t>
      </w:r>
    </w:p>
    <w:p>
      <w:pPr>
        <w:pStyle w:val="normal1"/>
        <w:numPr>
          <w:ilvl w:val="0"/>
          <w:numId w:val="0"/>
        </w:numPr>
        <w:ind w:hanging="0" w:start="720"/>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Bad Design 3: Insufficient Bag Storage Area</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Description:</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The designated bag storage rack provided outside the classroom is too small for a class of around 70 students. As a result, many students place their bags on the floor, occupying walking space and creating inconvenience.</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Source of Photograph:</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Own Photograph (GPS-enabled, Captured by Me)</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Place:</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SJT Block, VIT University, Vellore, Tamil Nadu, India</w:t>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Reasons why the design is bad:</w:t>
      </w:r>
    </w:p>
    <w:p>
      <w:pPr>
        <w:pStyle w:val="normal1"/>
        <w:rPr>
          <w:rFonts w:ascii="DejaVu Math TeX Gyre" w:hAnsi="DejaVu Math TeX Gyre"/>
        </w:rPr>
      </w:pPr>
      <w:r>
        <w:rPr>
          <w:rFonts w:ascii="DejaVu Math TeX Gyre" w:hAnsi="DejaVu Math TeX Gyre"/>
        </w:rPr>
      </w:r>
    </w:p>
    <w:p>
      <w:pPr>
        <w:pStyle w:val="normal1"/>
        <w:numPr>
          <w:ilvl w:val="0"/>
          <w:numId w:val="5"/>
        </w:numPr>
        <w:rPr>
          <w:rFonts w:ascii="DejaVu Math TeX Gyre" w:hAnsi="DejaVu Math TeX Gyre"/>
        </w:rPr>
      </w:pPr>
      <w:r>
        <w:rPr>
          <w:rFonts w:ascii="DejaVu Math TeX Gyre" w:hAnsi="DejaVu Math TeX Gyre"/>
        </w:rPr>
        <w:t>Storage capacity is insufficient for the number of students.</w:t>
      </w:r>
    </w:p>
    <w:p>
      <w:pPr>
        <w:pStyle w:val="normal1"/>
        <w:numPr>
          <w:ilvl w:val="0"/>
          <w:numId w:val="5"/>
        </w:numPr>
        <w:rPr>
          <w:rFonts w:ascii="DejaVu Math TeX Gyre" w:hAnsi="DejaVu Math TeX Gyre"/>
        </w:rPr>
      </w:pPr>
      <w:r>
        <w:rPr>
          <w:rFonts w:ascii="DejaVu Math TeX Gyre" w:hAnsi="DejaVu Math TeX Gyre"/>
        </w:rPr>
      </w:r>
    </w:p>
    <w:p>
      <w:pPr>
        <w:pStyle w:val="normal1"/>
        <w:numPr>
          <w:ilvl w:val="0"/>
          <w:numId w:val="5"/>
        </w:numPr>
        <w:rPr>
          <w:rFonts w:ascii="DejaVu Math TeX Gyre" w:hAnsi="DejaVu Math TeX Gyre"/>
        </w:rPr>
      </w:pPr>
      <w:r>
        <w:rPr>
          <w:rFonts w:ascii="DejaVu Math TeX Gyre" w:hAnsi="DejaVu Math TeX Gyre"/>
        </w:rPr>
        <w:t>Bags placed on the floor obstruct the walkway.</w:t>
      </w:r>
    </w:p>
    <w:p>
      <w:pPr>
        <w:pStyle w:val="normal1"/>
        <w:numPr>
          <w:ilvl w:val="0"/>
          <w:numId w:val="5"/>
        </w:numPr>
        <w:rPr>
          <w:rFonts w:ascii="DejaVu Math TeX Gyre" w:hAnsi="DejaVu Math TeX Gyre"/>
        </w:rPr>
      </w:pPr>
      <w:r>
        <w:rPr>
          <w:rFonts w:ascii="DejaVu Math TeX Gyre" w:hAnsi="DejaVu Math TeX Gyre"/>
        </w:rPr>
      </w:r>
    </w:p>
    <w:p>
      <w:pPr>
        <w:pStyle w:val="normal1"/>
        <w:numPr>
          <w:ilvl w:val="0"/>
          <w:numId w:val="5"/>
        </w:numPr>
        <w:rPr>
          <w:rFonts w:ascii="DejaVu Math TeX Gyre" w:hAnsi="DejaVu Math TeX Gyre"/>
        </w:rPr>
      </w:pPr>
      <w:r>
        <w:rPr>
          <w:rFonts w:ascii="DejaVu Math TeX Gyre" w:hAnsi="DejaVu Math TeX Gyre"/>
        </w:rPr>
        <w:t>Increases the risk of tripping and accidents.</w:t>
      </w:r>
    </w:p>
    <w:p>
      <w:pPr>
        <w:pStyle w:val="normal1"/>
        <w:numPr>
          <w:ilvl w:val="0"/>
          <w:numId w:val="5"/>
        </w:numPr>
        <w:rPr>
          <w:rFonts w:ascii="DejaVu Math TeX Gyre" w:hAnsi="DejaVu Math TeX Gyre"/>
        </w:rPr>
      </w:pPr>
      <w:r>
        <w:rPr>
          <w:rFonts w:ascii="DejaVu Math TeX Gyre" w:hAnsi="DejaVu Math TeX Gyre"/>
        </w:rPr>
      </w:r>
    </w:p>
    <w:p>
      <w:pPr>
        <w:pStyle w:val="normal1"/>
        <w:numPr>
          <w:ilvl w:val="0"/>
          <w:numId w:val="5"/>
        </w:numPr>
        <w:rPr>
          <w:rFonts w:ascii="DejaVu Math TeX Gyre" w:hAnsi="DejaVu Math TeX Gyre"/>
        </w:rPr>
      </w:pPr>
      <w:r>
        <w:rPr>
          <w:rFonts w:ascii="DejaVu Math TeX Gyre" w:hAnsi="DejaVu Math TeX Gyre"/>
        </w:rPr>
        <w:t>Makes the corridor look untidy and crowded.</w:t>
      </w:r>
    </w:p>
    <w:p>
      <w:pPr>
        <w:pStyle w:val="normal1"/>
        <w:numPr>
          <w:ilvl w:val="0"/>
          <w:numId w:val="5"/>
        </w:numPr>
        <w:rPr>
          <w:rFonts w:ascii="DejaVu Math TeX Gyre" w:hAnsi="DejaVu Math TeX Gyre"/>
        </w:rPr>
      </w:pPr>
      <w:r>
        <w:rPr>
          <w:rFonts w:ascii="DejaVu Math TeX Gyre" w:hAnsi="DejaVu Math TeX Gyre"/>
        </w:rPr>
      </w:r>
    </w:p>
    <w:p>
      <w:pPr>
        <w:pStyle w:val="normal1"/>
        <w:numPr>
          <w:ilvl w:val="0"/>
          <w:numId w:val="5"/>
        </w:numPr>
        <w:rPr>
          <w:rFonts w:ascii="DejaVu Math TeX Gyre" w:hAnsi="DejaVu Math TeX Gyre"/>
        </w:rPr>
      </w:pPr>
      <w:r>
        <w:rPr>
          <w:rFonts w:ascii="DejaVu Math TeX Gyre" w:hAnsi="DejaVu Math TeX Gyre"/>
        </w:rPr>
        <w:t>Difficult for students to locate and retrieve their bags.</w:t>
      </w:r>
    </w:p>
    <w:p>
      <w:pPr>
        <w:pStyle w:val="normal1"/>
        <w:numPr>
          <w:ilvl w:val="0"/>
          <w:numId w:val="0"/>
        </w:numPr>
        <w:ind w:hanging="0" w:start="720"/>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r>
    </w:p>
    <w:p>
      <w:pPr>
        <w:pStyle w:val="normal1"/>
        <w:rPr>
          <w:rFonts w:ascii="DejaVu Math TeX Gyre" w:hAnsi="DejaVu Math TeX Gyre"/>
        </w:rPr>
      </w:pPr>
      <w:r>
        <w:rPr>
          <w:rFonts w:ascii="DejaVu Math TeX Gyre" w:hAnsi="DejaVu Math TeX Gyre"/>
        </w:rPr>
        <w:t>Suggested Improvement:</w:t>
      </w:r>
    </w:p>
    <w:p>
      <w:pPr>
        <w:pStyle w:val="normal1"/>
        <w:rPr>
          <w:rFonts w:ascii="DejaVu Math TeX Gyre" w:hAnsi="DejaVu Math TeX Gyre"/>
        </w:rPr>
      </w:pPr>
      <w:r>
        <w:rPr>
          <w:rFonts w:ascii="DejaVu Math TeX Gyre" w:hAnsi="DejaVu Math TeX Gyre"/>
        </w:rPr>
      </w:r>
    </w:p>
    <w:p>
      <w:pPr>
        <w:pStyle w:val="normal1"/>
        <w:numPr>
          <w:ilvl w:val="0"/>
          <w:numId w:val="6"/>
        </w:numPr>
        <w:rPr>
          <w:rFonts w:ascii="DejaVu Math TeX Gyre" w:hAnsi="DejaVu Math TeX Gyre"/>
        </w:rPr>
      </w:pPr>
      <w:r>
        <w:rPr>
          <w:rFonts w:ascii="DejaVu Math TeX Gyre" w:hAnsi="DejaVu Math TeX Gyre"/>
        </w:rPr>
        <w:t>Increase the size and capacity of the bag storage racks.</w:t>
      </w:r>
    </w:p>
    <w:p>
      <w:pPr>
        <w:pStyle w:val="normal1"/>
        <w:numPr>
          <w:ilvl w:val="0"/>
          <w:numId w:val="6"/>
        </w:numPr>
        <w:rPr>
          <w:rFonts w:ascii="DejaVu Math TeX Gyre" w:hAnsi="DejaVu Math TeX Gyre"/>
        </w:rPr>
      </w:pPr>
      <w:r>
        <w:rPr>
          <w:rFonts w:ascii="DejaVu Math TeX Gyre" w:hAnsi="DejaVu Math TeX Gyre"/>
        </w:rPr>
      </w:r>
    </w:p>
    <w:p>
      <w:pPr>
        <w:pStyle w:val="normal1"/>
        <w:numPr>
          <w:ilvl w:val="0"/>
          <w:numId w:val="6"/>
        </w:numPr>
        <w:rPr>
          <w:rFonts w:ascii="DejaVu Math TeX Gyre" w:hAnsi="DejaVu Math TeX Gyre"/>
        </w:rPr>
      </w:pPr>
      <w:r>
        <w:rPr>
          <w:rFonts w:ascii="DejaVu Math TeX Gyre" w:hAnsi="DejaVu Math TeX Gyre"/>
        </w:rPr>
        <w:t>Provide multiple storage units based on class strength.</w:t>
      </w:r>
    </w:p>
    <w:p>
      <w:pPr>
        <w:pStyle w:val="normal1"/>
        <w:numPr>
          <w:ilvl w:val="0"/>
          <w:numId w:val="6"/>
        </w:numPr>
        <w:rPr>
          <w:rFonts w:ascii="DejaVu Math TeX Gyre" w:hAnsi="DejaVu Math TeX Gyre"/>
        </w:rPr>
      </w:pPr>
      <w:r>
        <w:rPr>
          <w:rFonts w:ascii="DejaVu Math TeX Gyre" w:hAnsi="DejaVu Math TeX Gyre"/>
        </w:rPr>
      </w:r>
    </w:p>
    <w:p>
      <w:pPr>
        <w:pStyle w:val="normal1"/>
        <w:numPr>
          <w:ilvl w:val="0"/>
          <w:numId w:val="6"/>
        </w:numPr>
        <w:rPr>
          <w:rFonts w:ascii="DejaVu Math TeX Gyre" w:hAnsi="DejaVu Math TeX Gyre"/>
        </w:rPr>
      </w:pPr>
      <w:r>
        <w:rPr>
          <w:rFonts w:ascii="DejaVu Math TeX Gyre" w:hAnsi="DejaVu Math TeX Gyre"/>
        </w:rPr>
        <w:t>Design vertical shelves with numbered compartments.</w:t>
      </w:r>
    </w:p>
    <w:p>
      <w:pPr>
        <w:pStyle w:val="normal1"/>
        <w:numPr>
          <w:ilvl w:val="0"/>
          <w:numId w:val="6"/>
        </w:numPr>
        <w:rPr>
          <w:rFonts w:ascii="DejaVu Math TeX Gyre" w:hAnsi="DejaVu Math TeX Gyre"/>
        </w:rPr>
      </w:pPr>
      <w:r>
        <w:rPr>
          <w:rFonts w:ascii="DejaVu Math TeX Gyre" w:hAnsi="DejaVu Math TeX Gyre"/>
        </w:rPr>
      </w:r>
    </w:p>
    <w:p>
      <w:pPr>
        <w:pStyle w:val="normal1"/>
        <w:numPr>
          <w:ilvl w:val="0"/>
          <w:numId w:val="6"/>
        </w:numPr>
        <w:rPr>
          <w:rFonts w:ascii="DejaVu Math TeX Gyre" w:hAnsi="DejaVu Math TeX Gyre"/>
        </w:rPr>
      </w:pPr>
      <w:r>
        <w:rPr>
          <w:rFonts w:ascii="DejaVu Math TeX Gyre" w:hAnsi="DejaVu Math TeX Gyre"/>
        </w:rPr>
        <w:t>Ensure the storage area does not block the walking path.</w:t>
      </w:r>
    </w:p>
    <w:p>
      <w:pPr>
        <w:pStyle w:val="normal1"/>
        <w:rPr>
          <w:rFonts w:ascii="DejaVu Math TeX Gyre" w:hAnsi="DejaVu Math TeX Gyre"/>
        </w:rPr>
      </w:pPr>
      <w:r>
        <w:rPr>
          <w:rFonts w:ascii="DejaVu Math TeX Gyre" w:hAnsi="DejaVu Math TeX Gyre"/>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81597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8159750"/>
                    </a:xfrm>
                    <a:prstGeom prst="rect">
                      <a:avLst/>
                    </a:prstGeom>
                    <a:noFill/>
                  </pic:spPr>
                </pic:pic>
              </a:graphicData>
            </a:graphic>
          </wp:anchor>
        </w:drawing>
      </w:r>
    </w:p>
    <w:p>
      <w:pPr>
        <w:pStyle w:val="normal1"/>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81597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8159750"/>
                    </a:xfrm>
                    <a:prstGeom prst="rect">
                      <a:avLst/>
                    </a:prstGeom>
                    <a:noFill/>
                  </pic:spPr>
                </pic:pic>
              </a:graphicData>
            </a:graphic>
          </wp:anchor>
        </w:drawing>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81597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8159750"/>
                    </a:xfrm>
                    <a:prstGeom prst="rect">
                      <a:avLst/>
                    </a:prstGeom>
                    <a:noFill/>
                  </pic:spPr>
                </pic:pic>
              </a:graphicData>
            </a:graphic>
          </wp:anchor>
        </w:drawing>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815975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120130" cy="8159750"/>
                    </a:xfrm>
                    <a:prstGeom prst="rect">
                      <a:avLst/>
                    </a:prstGeom>
                    <a:noFill/>
                  </pic:spPr>
                </pic:pic>
              </a:graphicData>
            </a:graphic>
          </wp:anchor>
        </w:drawing>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815975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6120130" cy="8159750"/>
                    </a:xfrm>
                    <a:prstGeom prst="rect">
                      <a:avLst/>
                    </a:prstGeom>
                    <a:noFill/>
                  </pic:spPr>
                </pic:pic>
              </a:graphicData>
            </a:graphic>
          </wp:anchor>
        </w:drawing>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r>
    </w:p>
    <w:p>
      <w:pPr>
        <w:pStyle w:val="Normal"/>
        <w:bidi w:val="0"/>
        <w:jc w:val="start"/>
        <w:rPr>
          <w:rFonts w:ascii="DejaVu Math TeX Gyre" w:hAnsi="DejaVu Math TeX Gyre"/>
        </w:rPr>
      </w:pPr>
      <w:r>
        <w:rPr>
          <w:rFonts w:ascii="DejaVu Math TeX Gyre" w:hAnsi="DejaVu Math TeX Gyre"/>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458978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6120130" cy="4589780"/>
                    </a:xfrm>
                    <a:prstGeom prst="rect">
                      <a:avLst/>
                    </a:prstGeom>
                    <a:noFill/>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DejaVu Math TeX Gyre">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bidi w:val="0"/>
      <w:spacing w:lineRule="auto" w:line="276" w:before="0" w:after="0"/>
      <w:jc w:val="start"/>
    </w:pPr>
    <w:rPr>
      <w:rFonts w:ascii="Liberation Serif" w:hAnsi="Liberation Serif" w:eastAsia="Noto Serif CJK SC" w:cs="Noto Sans Devanagari"/>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LibreOffice/25.8.6.2$Linux_X86_64 LibreOffice_project/a46b460d1686bb49c718d2ef5f88b83ff2dc4981</Application>
  <AppVersion>15.0000</AppVersion>
  <Pages>10</Pages>
  <Words>520</Words>
  <Characters>2791</Characters>
  <CharactersWithSpaces>3200</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2026-07-08T11:09:14Z</dcterms:created>
  <dc:creator/>
  <dc:description/>
  <dc:language>en-US</dc:language>
  <cp:lastModifiedBy/>
  <dcterms:modified xsi:type="dcterms:W3CDTF">2026-07-08T11:34:52Z</dcterms:modified>
  <cp:revision>2</cp:revision>
  <dc:subject/>
  <dc:title/>
</cp:coreProperties>
</file>