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87tykp1u0l36" w:id="0"/>
      <w:bookmarkEnd w:id="0"/>
      <w:r w:rsidDel="00000000" w:rsidR="00000000" w:rsidRPr="00000000">
        <w:rPr>
          <w:rFonts w:ascii="Google Sans" w:cs="Google Sans" w:eastAsia="Google Sans" w:hAnsi="Google Sans"/>
          <w:rtl w:val="0"/>
        </w:rPr>
        <w:t xml:space="preserve">Controls and compliance checklist</w:t>
      </w:r>
    </w:p>
    <w:p w:rsidR="00000000" w:rsidDel="00000000" w:rsidP="00000000" w:rsidRDefault="00000000" w:rsidRPr="00000000" w14:paraId="00000002">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3">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 complete the controls assessment checklist, refer to the information provided in the </w:t>
      </w:r>
      <w:hyperlink r:id="rId6">
        <w:r w:rsidDel="00000000" w:rsidR="00000000" w:rsidRPr="00000000">
          <w:rPr>
            <w:rFonts w:ascii="Google Sans" w:cs="Google Sans" w:eastAsia="Google Sans" w:hAnsi="Google Sans"/>
            <w:color w:val="1155cc"/>
            <w:sz w:val="24"/>
            <w:szCs w:val="24"/>
            <w:u w:val="single"/>
            <w:rtl w:val="0"/>
          </w:rPr>
          <w:t xml:space="preserve">scope, goals, and risk assessment report</w:t>
        </w:r>
      </w:hyperlink>
      <w:r w:rsidDel="00000000" w:rsidR="00000000" w:rsidRPr="00000000">
        <w:rPr>
          <w:rFonts w:ascii="Google Sans" w:cs="Google Sans" w:eastAsia="Google Sans" w:hAnsi="Google Sans"/>
          <w:sz w:val="24"/>
          <w:szCs w:val="24"/>
          <w:rtl w:val="0"/>
        </w:rPr>
        <w:t xml:space="preserve">. For more details about each control, including the type and purpose, refer to the </w:t>
      </w:r>
      <w:hyperlink r:id="rId7">
        <w:r w:rsidDel="00000000" w:rsidR="00000000" w:rsidRPr="00000000">
          <w:rPr>
            <w:rFonts w:ascii="Google Sans" w:cs="Google Sans" w:eastAsia="Google Sans" w:hAnsi="Google Sans"/>
            <w:color w:val="1155cc"/>
            <w:sz w:val="24"/>
            <w:szCs w:val="24"/>
            <w:u w:val="single"/>
            <w:rtl w:val="0"/>
          </w:rPr>
          <w:t xml:space="preserve">control categories</w:t>
        </w:r>
      </w:hyperlink>
      <w:r w:rsidDel="00000000" w:rsidR="00000000" w:rsidRPr="00000000">
        <w:rPr>
          <w:rFonts w:ascii="Google Sans" w:cs="Google Sans" w:eastAsia="Google Sans" w:hAnsi="Google Sans"/>
          <w:sz w:val="24"/>
          <w:szCs w:val="24"/>
          <w:rtl w:val="0"/>
        </w:rPr>
        <w:t xml:space="preserve"> document.</w:t>
      </w:r>
    </w:p>
    <w:p w:rsidR="00000000" w:rsidDel="00000000" w:rsidP="00000000" w:rsidRDefault="00000000" w:rsidRPr="00000000" w14:paraId="00000004">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5">
      <w:pPr>
        <w:rPr>
          <w:rFonts w:ascii="Google Sans" w:cs="Google Sans" w:eastAsia="Google Sans" w:hAnsi="Google Sans"/>
          <w:i w:val="1"/>
          <w:sz w:val="24"/>
          <w:szCs w:val="24"/>
        </w:rPr>
      </w:pPr>
      <w:r w:rsidDel="00000000" w:rsidR="00000000" w:rsidRPr="00000000">
        <w:rPr>
          <w:rFonts w:ascii="Google Sans" w:cs="Google Sans" w:eastAsia="Google Sans" w:hAnsi="Google Sans"/>
          <w:sz w:val="24"/>
          <w:szCs w:val="24"/>
          <w:rtl w:val="0"/>
        </w:rPr>
        <w:t xml:space="preserve">Then, select “yes” or “no” to answer the question: </w:t>
      </w:r>
      <w:r w:rsidDel="00000000" w:rsidR="00000000" w:rsidRPr="00000000">
        <w:rPr>
          <w:rFonts w:ascii="Google Sans" w:cs="Google Sans" w:eastAsia="Google Sans" w:hAnsi="Google Sans"/>
          <w:i w:val="1"/>
          <w:sz w:val="24"/>
          <w:szCs w:val="24"/>
          <w:rtl w:val="0"/>
        </w:rPr>
        <w:t xml:space="preserve">Does Botium Toys currently have this control in place? </w:t>
      </w:r>
    </w:p>
    <w:p w:rsidR="00000000" w:rsidDel="00000000" w:rsidP="00000000" w:rsidRDefault="00000000" w:rsidRPr="00000000" w14:paraId="0000000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8">
      <w:pPr>
        <w:rPr>
          <w:rFonts w:ascii="Google Sans" w:cs="Google Sans" w:eastAsia="Google Sans" w:hAnsi="Google Sans"/>
          <w:sz w:val="26"/>
          <w:szCs w:val="26"/>
        </w:rPr>
      </w:pPr>
      <w:r w:rsidDel="00000000" w:rsidR="00000000" w:rsidRPr="00000000">
        <w:rPr>
          <w:rFonts w:ascii="Google Sans" w:cs="Google Sans" w:eastAsia="Google Sans" w:hAnsi="Google Sans"/>
          <w:b w:val="1"/>
          <w:sz w:val="24"/>
          <w:szCs w:val="24"/>
          <w:rtl w:val="0"/>
        </w:rPr>
        <w:t xml:space="preserve">Controls assessment checklist</w:t>
      </w:r>
      <w:r w:rsidDel="00000000" w:rsidR="00000000" w:rsidRPr="00000000">
        <w:rPr>
          <w:rtl w:val="0"/>
        </w:rPr>
      </w:r>
    </w:p>
    <w:p w:rsidR="00000000" w:rsidDel="00000000" w:rsidP="00000000" w:rsidRDefault="00000000" w:rsidRPr="00000000" w14:paraId="00000009">
      <w:pPr>
        <w:rPr>
          <w:rFonts w:ascii="Google Sans" w:cs="Google Sans" w:eastAsia="Google Sans" w:hAnsi="Google Sans"/>
        </w:rPr>
      </w:pPr>
      <w:r w:rsidDel="00000000" w:rsidR="00000000" w:rsidRPr="00000000">
        <w:rPr>
          <w:rtl w:val="0"/>
        </w:rPr>
      </w:r>
    </w:p>
    <w:tbl>
      <w:tblPr>
        <w:tblStyle w:val="Table1"/>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
        <w:gridCol w:w="945"/>
        <w:gridCol w:w="7515"/>
        <w:tblGridChange w:id="0">
          <w:tblGrid>
            <w:gridCol w:w="900"/>
            <w:gridCol w:w="94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right"/>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Least Privilege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Disaster recovery plans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policies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Separation of duties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numPr>
                <w:ilvl w:val="0"/>
                <w:numId w:val="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numPr>
                <w:ilvl w:val="0"/>
                <w:numId w:val="1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Firewall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numPr>
                <w:ilvl w:val="0"/>
                <w:numId w:val="17"/>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numPr>
                <w:ilvl w:val="0"/>
                <w:numId w:val="18"/>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Intrusion detection system (IDS)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numPr>
                <w:ilvl w:val="0"/>
                <w:numId w:val="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Backups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numPr>
                <w:ilvl w:val="0"/>
                <w:numId w:val="1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numPr>
                <w:ilvl w:val="0"/>
                <w:numId w:val="9"/>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Antivirus 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numPr>
                <w:ilvl w:val="0"/>
                <w:numId w:val="10"/>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Manual monitoring, maintenance, and intervention for legacy systems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Encryption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management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Locks (offices, storefront, warehouse)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Closed-circuit television (CCTV) surveillance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numPr>
                <w:ilvl w:val="0"/>
                <w:numId w:val="7"/>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 detection/prevention (fire alarm, sprinkler system, etc.)</w:t>
            </w:r>
          </w:p>
        </w:tc>
      </w:tr>
    </w:tbl>
    <w:p w:rsidR="00000000" w:rsidDel="00000000" w:rsidP="00000000" w:rsidRDefault="00000000" w:rsidRPr="00000000" w14:paraId="00000037">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8">
      <w:pPr>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A">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 complete the compliance checklist, refer to the information provided in the </w:t>
      </w:r>
      <w:hyperlink r:id="rId8">
        <w:r w:rsidDel="00000000" w:rsidR="00000000" w:rsidRPr="00000000">
          <w:rPr>
            <w:rFonts w:ascii="Google Sans" w:cs="Google Sans" w:eastAsia="Google Sans" w:hAnsi="Google Sans"/>
            <w:color w:val="1155cc"/>
            <w:sz w:val="24"/>
            <w:szCs w:val="24"/>
            <w:u w:val="single"/>
            <w:rtl w:val="0"/>
          </w:rPr>
          <w:t xml:space="preserve">scope, goals, and risk assessment report</w:t>
        </w:r>
      </w:hyperlink>
      <w:r w:rsidDel="00000000" w:rsidR="00000000" w:rsidRPr="00000000">
        <w:rPr>
          <w:rFonts w:ascii="Google Sans" w:cs="Google Sans" w:eastAsia="Google Sans" w:hAnsi="Google Sans"/>
          <w:sz w:val="24"/>
          <w:szCs w:val="24"/>
          <w:rtl w:val="0"/>
        </w:rPr>
        <w:t xml:space="preserve">. For more details about each compliance regulation, review the </w:t>
      </w:r>
      <w:hyperlink r:id="rId9">
        <w:r w:rsidDel="00000000" w:rsidR="00000000" w:rsidRPr="00000000">
          <w:rPr>
            <w:rFonts w:ascii="Google Sans" w:cs="Google Sans" w:eastAsia="Google Sans" w:hAnsi="Google Sans"/>
            <w:color w:val="1155cc"/>
            <w:sz w:val="24"/>
            <w:szCs w:val="24"/>
            <w:u w:val="single"/>
            <w:rtl w:val="0"/>
          </w:rPr>
          <w:t xml:space="preserve">controls, frameworks, and compliance</w:t>
        </w:r>
      </w:hyperlink>
      <w:r w:rsidDel="00000000" w:rsidR="00000000" w:rsidRPr="00000000">
        <w:rPr>
          <w:rFonts w:ascii="Google Sans" w:cs="Google Sans" w:eastAsia="Google Sans" w:hAnsi="Google Sans"/>
          <w:sz w:val="24"/>
          <w:szCs w:val="24"/>
          <w:rtl w:val="0"/>
        </w:rPr>
        <w:t xml:space="preserve"> reading.</w:t>
      </w:r>
    </w:p>
    <w:p w:rsidR="00000000" w:rsidDel="00000000" w:rsidP="00000000" w:rsidRDefault="00000000" w:rsidRPr="00000000" w14:paraId="0000003B">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C">
      <w:pPr>
        <w:rPr>
          <w:rFonts w:ascii="Google Sans" w:cs="Google Sans" w:eastAsia="Google Sans" w:hAnsi="Google Sans"/>
          <w:i w:val="1"/>
          <w:sz w:val="24"/>
          <w:szCs w:val="24"/>
        </w:rPr>
      </w:pPr>
      <w:r w:rsidDel="00000000" w:rsidR="00000000" w:rsidRPr="00000000">
        <w:rPr>
          <w:rFonts w:ascii="Google Sans" w:cs="Google Sans" w:eastAsia="Google Sans" w:hAnsi="Google Sans"/>
          <w:sz w:val="24"/>
          <w:szCs w:val="24"/>
          <w:rtl w:val="0"/>
        </w:rPr>
        <w:t xml:space="preserve">Then, select “yes” or “no” to answer the question: </w:t>
      </w:r>
      <w:r w:rsidDel="00000000" w:rsidR="00000000" w:rsidRPr="00000000">
        <w:rPr>
          <w:rFonts w:ascii="Google Sans" w:cs="Google Sans" w:eastAsia="Google Sans" w:hAnsi="Google Sans"/>
          <w:i w:val="1"/>
          <w:sz w:val="24"/>
          <w:szCs w:val="24"/>
          <w:rtl w:val="0"/>
        </w:rPr>
        <w:t xml:space="preserve">Does Botium Toys currently adhere to this compliance best practice?</w:t>
      </w:r>
    </w:p>
    <w:p w:rsidR="00000000" w:rsidDel="00000000" w:rsidP="00000000" w:rsidRDefault="00000000" w:rsidRPr="00000000" w14:paraId="0000003D">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E">
      <w:pPr>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Compliance checklist</w:t>
      </w:r>
      <w:r w:rsidDel="00000000" w:rsidR="00000000" w:rsidRPr="00000000">
        <w:rPr>
          <w:rtl w:val="0"/>
        </w:rPr>
      </w:r>
    </w:p>
    <w:p w:rsidR="00000000" w:rsidDel="00000000" w:rsidP="00000000" w:rsidRDefault="00000000" w:rsidRPr="00000000" w14:paraId="0000003F">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40">
      <w:pPr>
        <w:spacing w:after="200" w:line="360" w:lineRule="auto"/>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Payment Card Industry Data Security Standard (PCI DSS)</w:t>
      </w:r>
    </w:p>
    <w:tbl>
      <w:tblPr>
        <w:tblStyle w:val="Table2"/>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30"/>
        <w:gridCol w:w="915"/>
        <w:gridCol w:w="7515"/>
        <w:tblGridChange w:id="0">
          <w:tblGrid>
            <w:gridCol w:w="930"/>
            <w:gridCol w:w="91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right"/>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Best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Only authorized users have access to customers’ credit card information.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Credit card information is stored, accepted, processed, and transmitted internally, in a secure environment.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Google Sans" w:cs="Google Sans" w:eastAsia="Google Sans" w:hAnsi="Google Sans"/>
                <w:sz w:val="24"/>
                <w:szCs w:val="24"/>
                <w:highlight w:val="yellow"/>
              </w:rPr>
            </w:pPr>
            <w:r w:rsidDel="00000000" w:rsidR="00000000" w:rsidRPr="00000000">
              <w:rPr>
                <w:rFonts w:ascii="Google Sans" w:cs="Google Sans" w:eastAsia="Google Sans" w:hAnsi="Google Sans"/>
                <w:sz w:val="24"/>
                <w:szCs w:val="24"/>
                <w:rtl w:val="0"/>
              </w:rPr>
              <w:t xml:space="preserve">Implement data encryption procedures to better secure credit card transaction touchpoints and data.</w:t>
            </w:r>
            <w:r w:rsidDel="00000000" w:rsidR="00000000" w:rsidRPr="00000000">
              <w:rPr>
                <w:rFonts w:ascii="Google Sans" w:cs="Google Sans" w:eastAsia="Google Sans" w:hAnsi="Google Sans"/>
                <w:sz w:val="24"/>
                <w:szCs w:val="24"/>
                <w:highlight w:val="yellow"/>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Adopt secure password management policies.</w:t>
            </w:r>
          </w:p>
        </w:tc>
      </w:tr>
    </w:tbl>
    <w:p w:rsidR="00000000" w:rsidDel="00000000" w:rsidP="00000000" w:rsidRDefault="00000000" w:rsidRPr="00000000" w14:paraId="00000050">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1">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2">
      <w:pPr>
        <w:spacing w:after="200" w:line="360" w:lineRule="auto"/>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General Data Protection Regulation (GDPR)</w:t>
      </w:r>
    </w:p>
    <w:tbl>
      <w:tblPr>
        <w:tblStyle w:val="Table3"/>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
        <w:gridCol w:w="945"/>
        <w:gridCol w:w="7515"/>
        <w:tblGridChange w:id="0">
          <w:tblGrid>
            <w:gridCol w:w="900"/>
            <w:gridCol w:w="94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right"/>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Best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E.U. customers’ data is kept private/secured.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There is a plan in place to notify E.U. customers within 72 hours if their data is compromised/there is a breach.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Ensure data is properly classified and inventoried.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Enforce privacy policies, procedures, and processes to properly document and maintain data.</w:t>
            </w:r>
          </w:p>
        </w:tc>
      </w:tr>
    </w:tbl>
    <w:p w:rsidR="00000000" w:rsidDel="00000000" w:rsidP="00000000" w:rsidRDefault="00000000" w:rsidRPr="00000000" w14:paraId="00000062">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3">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4">
      <w:pPr>
        <w:spacing w:after="2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u w:val="single"/>
          <w:rtl w:val="0"/>
        </w:rPr>
        <w:t xml:space="preserve">System and Organizations Controls (SOC type 1, SOC type 2)</w:t>
      </w:r>
      <w:r w:rsidDel="00000000" w:rsidR="00000000" w:rsidRPr="00000000">
        <w:rPr>
          <w:rFonts w:ascii="Google Sans" w:cs="Google Sans" w:eastAsia="Google Sans" w:hAnsi="Google Sans"/>
          <w:sz w:val="24"/>
          <w:szCs w:val="24"/>
          <w:rtl w:val="0"/>
        </w:rPr>
        <w:t xml:space="preserve"> </w:t>
      </w:r>
    </w:p>
    <w:tbl>
      <w:tblPr>
        <w:tblStyle w:val="Table4"/>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30"/>
        <w:gridCol w:w="915"/>
        <w:gridCol w:w="7515"/>
        <w:tblGridChange w:id="0">
          <w:tblGrid>
            <w:gridCol w:w="930"/>
            <w:gridCol w:w="91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right"/>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Best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User access policies are established.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Sensitive data (PII/SPII) is confidential/private.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integrity ensures the data is consistent, complete, accurate, and has been validated.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is available to individuals authorized to access it.</w:t>
            </w:r>
          </w:p>
        </w:tc>
      </w:tr>
    </w:tbl>
    <w:p w:rsidR="00000000" w:rsidDel="00000000" w:rsidP="00000000" w:rsidRDefault="00000000" w:rsidRPr="00000000" w14:paraId="00000074">
      <w:pPr>
        <w:spacing w:after="200" w:line="36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75">
      <w:pPr>
        <w:spacing w:after="200" w:line="36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spacing w:after="2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Several measures must be taken to strengthen Botium Toys' security posture and guarantee the confidentiality of sensitive data, such as: encryption, a password management system, separation of roles, an IDS, Least Privilege, disaster recovery plans, password policies, and continuous legacy system management.</w:t>
      </w:r>
    </w:p>
    <w:p w:rsidR="00000000" w:rsidDel="00000000" w:rsidP="00000000" w:rsidRDefault="00000000" w:rsidRPr="00000000" w14:paraId="00000077">
      <w:pPr>
        <w:spacing w:after="200" w:line="36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78">
      <w:pPr>
        <w:spacing w:after="2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Botium Toys must put controls like encryption, separation of roles, and least privilege into place to close compliance gaps. Additionally, the business must correctly classify its assets in order to determine whether any additional controls need to be put in place to enhance their security stance and safeguard private data.</w:t>
      </w:r>
    </w:p>
    <w:p w:rsidR="00000000" w:rsidDel="00000000" w:rsidP="00000000" w:rsidRDefault="00000000" w:rsidRPr="00000000" w14:paraId="0000007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ursera.org/learn/foundations-of-cybersecurity/supplement/xu4pr/controls-frameworks-and-compliance" TargetMode="External"/><Relationship Id="rId5" Type="http://schemas.openxmlformats.org/officeDocument/2006/relationships/styles" Target="styles.xml"/><Relationship Id="rId6" Type="http://schemas.openxmlformats.org/officeDocument/2006/relationships/hyperlink" Target="https://docs.google.com/document/d/1s2u_RuhRAI40JSh-eZHvaFsV1ZMxcNSWXifHDTOsgFc/template/preview#heading=h.evidx83t54sc" TargetMode="External"/><Relationship Id="rId7" Type="http://schemas.openxmlformats.org/officeDocument/2006/relationships/hyperlink" Target="https://docs.google.com/document/d/1btezuy_bMKWoK8pd97ZuzdWB9y6au_zfkrpkfVf8ktI/template/preview" TargetMode="External"/><Relationship Id="rId8" Type="http://schemas.openxmlformats.org/officeDocument/2006/relationships/hyperlink" Target="https://docs.google.com/document/d/1s2u_RuhRAI40JSh-eZHvaFsV1ZMxcNSWXifHDTOsgFc/template/previe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