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3C60CD" w14:textId="77777777" w:rsidR="00D84CD6" w:rsidRDefault="00000000">
      <w:pPr>
        <w:pStyle w:val="Title"/>
        <w:pBdr>
          <w:top w:val="nil"/>
          <w:left w:val="nil"/>
          <w:bottom w:val="nil"/>
          <w:right w:val="nil"/>
          <w:between w:val="nil"/>
        </w:pBdr>
        <w:rPr>
          <w:rFonts w:ascii="Proxima Nova" w:eastAsia="Proxima Nova" w:hAnsi="Proxima Nova" w:cs="Proxima Nova"/>
          <w:b/>
          <w:color w:val="4A86E8"/>
          <w:sz w:val="58"/>
          <w:szCs w:val="58"/>
        </w:rPr>
      </w:pPr>
      <w:bookmarkStart w:id="0" w:name="_5x0d5h95i329" w:colFirst="0" w:colLast="0"/>
      <w:bookmarkEnd w:id="0"/>
      <w:r>
        <w:rPr>
          <w:b/>
          <w:color w:val="4A86E8"/>
          <w:sz w:val="58"/>
          <w:szCs w:val="58"/>
        </w:rPr>
        <w:t>Vulnerability Assessment Report</w:t>
      </w:r>
    </w:p>
    <w:p w14:paraId="0E5A5817" w14:textId="77777777" w:rsidR="00D84CD6" w:rsidRDefault="00000000">
      <w:pPr>
        <w:pStyle w:val="Subtitle"/>
        <w:pBdr>
          <w:top w:val="nil"/>
          <w:left w:val="nil"/>
          <w:bottom w:val="nil"/>
          <w:right w:val="nil"/>
          <w:between w:val="nil"/>
        </w:pBdr>
        <w:rPr>
          <w:b/>
          <w:sz w:val="28"/>
          <w:szCs w:val="28"/>
        </w:rPr>
      </w:pPr>
      <w:bookmarkStart w:id="1" w:name="_af80tl7prv5v" w:colFirst="0" w:colLast="0"/>
      <w:bookmarkEnd w:id="1"/>
      <w:r>
        <w:rPr>
          <w:b/>
          <w:sz w:val="28"/>
          <w:szCs w:val="28"/>
        </w:rPr>
        <w:t>1</w:t>
      </w:r>
      <w:r>
        <w:rPr>
          <w:b/>
          <w:sz w:val="28"/>
          <w:szCs w:val="28"/>
          <w:vertAlign w:val="superscript"/>
        </w:rPr>
        <w:t>st</w:t>
      </w:r>
      <w:r>
        <w:rPr>
          <w:b/>
          <w:sz w:val="28"/>
          <w:szCs w:val="28"/>
        </w:rPr>
        <w:t xml:space="preserve"> January 20XX</w:t>
      </w:r>
    </w:p>
    <w:p w14:paraId="3AF22600" w14:textId="77777777" w:rsidR="00D84CD6" w:rsidRDefault="00000000">
      <w:pPr>
        <w:pStyle w:val="Subtitle"/>
        <w:pBdr>
          <w:top w:val="nil"/>
          <w:left w:val="nil"/>
          <w:bottom w:val="nil"/>
          <w:right w:val="nil"/>
          <w:between w:val="nil"/>
        </w:pBdr>
        <w:rPr>
          <w:b/>
          <w:sz w:val="28"/>
          <w:szCs w:val="28"/>
        </w:rPr>
      </w:pPr>
      <w:bookmarkStart w:id="2" w:name="_nhcy8rpxthcf" w:colFirst="0" w:colLast="0"/>
      <w:bookmarkEnd w:id="2"/>
      <w:r>
        <w:pict w14:anchorId="49D5F044">
          <v:rect id="_x0000_i1025" style="width:0;height:1.5pt" o:hralign="center" o:hrstd="t" o:hr="t" fillcolor="#a0a0a0" stroked="f"/>
        </w:pict>
      </w:r>
    </w:p>
    <w:p w14:paraId="76A897F4" w14:textId="77777777" w:rsidR="00D84CD6" w:rsidRDefault="00000000">
      <w:pPr>
        <w:pStyle w:val="Heading1"/>
        <w:pBdr>
          <w:top w:val="nil"/>
          <w:left w:val="nil"/>
          <w:bottom w:val="nil"/>
          <w:right w:val="nil"/>
          <w:between w:val="nil"/>
        </w:pBdr>
      </w:pPr>
      <w:bookmarkStart w:id="3" w:name="_buc6q0k08dmn" w:colFirst="0" w:colLast="0"/>
      <w:bookmarkEnd w:id="3"/>
      <w:r>
        <w:t>System Description</w:t>
      </w:r>
    </w:p>
    <w:p w14:paraId="3CDA5032" w14:textId="77777777" w:rsidR="00D84CD6" w:rsidRDefault="00000000">
      <w:pPr>
        <w:pBdr>
          <w:top w:val="nil"/>
          <w:left w:val="nil"/>
          <w:bottom w:val="nil"/>
          <w:right w:val="nil"/>
          <w:between w:val="nil"/>
        </w:pBdr>
      </w:pPr>
      <w:r>
        <w:t>The server hardware consists of a powerful CPU processor and 128GB of memory. It runs on the latest version of Linux operating system and hosts a MySQL database management system. It is configured with a stable network connection using IPv4 addresses and interacts with other servers on the network. Security measures include SSL/TLS encrypted connections.</w:t>
      </w:r>
    </w:p>
    <w:p w14:paraId="1E435F04" w14:textId="77777777" w:rsidR="00D84CD6" w:rsidRDefault="00000000">
      <w:pPr>
        <w:pStyle w:val="Heading1"/>
      </w:pPr>
      <w:bookmarkStart w:id="4" w:name="_e64wndl8jmz1" w:colFirst="0" w:colLast="0"/>
      <w:bookmarkEnd w:id="4"/>
      <w:r>
        <w:t>Scope</w:t>
      </w:r>
    </w:p>
    <w:p w14:paraId="19A0CF8F" w14:textId="36C85BB4" w:rsidR="00D84CD6" w:rsidRDefault="00000000">
      <w:r>
        <w:t>The scope of this vulnerability assessment relates to the current access controls of the system. The assessment will cover a period of three months, from June 20</w:t>
      </w:r>
      <w:r w:rsidR="00A47C9E">
        <w:t>24</w:t>
      </w:r>
      <w:r>
        <w:t xml:space="preserve"> to August 20</w:t>
      </w:r>
      <w:r w:rsidR="00A47C9E">
        <w:t>24</w:t>
      </w:r>
      <w:r>
        <w:t xml:space="preserve">. </w:t>
      </w:r>
      <w:hyperlink r:id="rId7">
        <w:r w:rsidR="00D84CD6">
          <w:rPr>
            <w:color w:val="1155CC"/>
            <w:u w:val="single"/>
          </w:rPr>
          <w:t>NIST SP 800-30 Rev. 1</w:t>
        </w:r>
      </w:hyperlink>
      <w:r>
        <w:t xml:space="preserve"> is used to guide the risk analysis of the information system.</w:t>
      </w:r>
    </w:p>
    <w:p w14:paraId="49474FC7" w14:textId="77777777" w:rsidR="00D84CD6" w:rsidRDefault="00000000">
      <w:pPr>
        <w:pStyle w:val="Heading1"/>
      </w:pPr>
      <w:bookmarkStart w:id="5" w:name="_oymnw3nlvwib" w:colFirst="0" w:colLast="0"/>
      <w:bookmarkEnd w:id="5"/>
      <w:r>
        <w:t>Purpose</w:t>
      </w:r>
    </w:p>
    <w:p w14:paraId="5B2A50FE" w14:textId="69870C18" w:rsidR="00DD6AAE" w:rsidRPr="00DD6AAE" w:rsidRDefault="00DD6AAE" w:rsidP="00DD6AAE">
      <w:r w:rsidRPr="00DD6AAE">
        <w:t>Large volumes of data are managed and stored by the database server, a centralized computer system. Customer, campaign and analytical data are stored on the server so that they may be examined later to monitor results and tailor marketing campaigns. Because the system is regularly used for marketing operations, security is essential.</w:t>
      </w:r>
    </w:p>
    <w:p w14:paraId="1CBCB576" w14:textId="77777777" w:rsidR="00D84CD6" w:rsidRDefault="00000000">
      <w:pPr>
        <w:pStyle w:val="Heading1"/>
        <w:pBdr>
          <w:top w:val="nil"/>
          <w:left w:val="nil"/>
          <w:bottom w:val="nil"/>
          <w:right w:val="nil"/>
          <w:between w:val="nil"/>
        </w:pBdr>
      </w:pPr>
      <w:bookmarkStart w:id="6" w:name="_i2ip4lwifo50" w:colFirst="0" w:colLast="0"/>
      <w:bookmarkEnd w:id="6"/>
      <w:r>
        <w:t>Risk Assessment</w:t>
      </w:r>
    </w:p>
    <w:p w14:paraId="0E8A2119" w14:textId="77777777" w:rsidR="00D84CD6" w:rsidRDefault="00D84CD6">
      <w:pPr>
        <w:pBdr>
          <w:top w:val="nil"/>
          <w:left w:val="nil"/>
          <w:bottom w:val="nil"/>
          <w:right w:val="nil"/>
          <w:between w:val="nil"/>
        </w:pBdr>
      </w:pPr>
    </w:p>
    <w:tbl>
      <w:tblPr>
        <w:tblStyle w:val="a"/>
        <w:tblW w:w="93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60"/>
        <w:gridCol w:w="3615"/>
        <w:gridCol w:w="1395"/>
        <w:gridCol w:w="1320"/>
        <w:gridCol w:w="1110"/>
      </w:tblGrid>
      <w:tr w:rsidR="00D84CD6" w14:paraId="64517734" w14:textId="77777777">
        <w:tc>
          <w:tcPr>
            <w:tcW w:w="1860" w:type="dxa"/>
            <w:shd w:val="clear" w:color="auto" w:fill="C9DAF8"/>
            <w:tcMar>
              <w:top w:w="100" w:type="dxa"/>
              <w:left w:w="100" w:type="dxa"/>
              <w:bottom w:w="100" w:type="dxa"/>
              <w:right w:w="100" w:type="dxa"/>
            </w:tcMar>
          </w:tcPr>
          <w:p w14:paraId="64247C85" w14:textId="77777777" w:rsidR="00D84CD6" w:rsidRDefault="00000000">
            <w:pPr>
              <w:widowControl w:val="0"/>
              <w:pBdr>
                <w:top w:val="nil"/>
                <w:left w:val="nil"/>
                <w:bottom w:val="nil"/>
                <w:right w:val="nil"/>
                <w:between w:val="nil"/>
              </w:pBdr>
              <w:spacing w:before="0" w:line="240" w:lineRule="auto"/>
              <w:rPr>
                <w:b/>
              </w:rPr>
            </w:pPr>
            <w:r>
              <w:rPr>
                <w:b/>
              </w:rPr>
              <w:t>Threat source</w:t>
            </w:r>
          </w:p>
        </w:tc>
        <w:tc>
          <w:tcPr>
            <w:tcW w:w="3615" w:type="dxa"/>
            <w:shd w:val="clear" w:color="auto" w:fill="C9DAF8"/>
            <w:tcMar>
              <w:top w:w="100" w:type="dxa"/>
              <w:left w:w="100" w:type="dxa"/>
              <w:bottom w:w="100" w:type="dxa"/>
              <w:right w:w="100" w:type="dxa"/>
            </w:tcMar>
          </w:tcPr>
          <w:p w14:paraId="66C9DC3F" w14:textId="77777777" w:rsidR="00D84CD6" w:rsidRDefault="00000000">
            <w:pPr>
              <w:widowControl w:val="0"/>
              <w:pBdr>
                <w:top w:val="nil"/>
                <w:left w:val="nil"/>
                <w:bottom w:val="nil"/>
                <w:right w:val="nil"/>
                <w:between w:val="nil"/>
              </w:pBdr>
              <w:spacing w:before="0" w:line="240" w:lineRule="auto"/>
              <w:rPr>
                <w:b/>
              </w:rPr>
            </w:pPr>
            <w:r>
              <w:rPr>
                <w:b/>
              </w:rPr>
              <w:t>Threat event</w:t>
            </w:r>
          </w:p>
        </w:tc>
        <w:tc>
          <w:tcPr>
            <w:tcW w:w="1395" w:type="dxa"/>
            <w:shd w:val="clear" w:color="auto" w:fill="C9DAF8"/>
            <w:tcMar>
              <w:top w:w="100" w:type="dxa"/>
              <w:left w:w="100" w:type="dxa"/>
              <w:bottom w:w="100" w:type="dxa"/>
              <w:right w:w="100" w:type="dxa"/>
            </w:tcMar>
          </w:tcPr>
          <w:p w14:paraId="6913463C" w14:textId="77777777" w:rsidR="00D84CD6" w:rsidRDefault="00000000">
            <w:pPr>
              <w:widowControl w:val="0"/>
              <w:pBdr>
                <w:top w:val="nil"/>
                <w:left w:val="nil"/>
                <w:bottom w:val="nil"/>
                <w:right w:val="nil"/>
                <w:between w:val="nil"/>
              </w:pBdr>
              <w:spacing w:before="0" w:line="240" w:lineRule="auto"/>
              <w:rPr>
                <w:b/>
              </w:rPr>
            </w:pPr>
            <w:r>
              <w:rPr>
                <w:b/>
              </w:rPr>
              <w:t>Likelihood</w:t>
            </w:r>
          </w:p>
        </w:tc>
        <w:tc>
          <w:tcPr>
            <w:tcW w:w="1320" w:type="dxa"/>
            <w:shd w:val="clear" w:color="auto" w:fill="C9DAF8"/>
            <w:tcMar>
              <w:top w:w="100" w:type="dxa"/>
              <w:left w:w="100" w:type="dxa"/>
              <w:bottom w:w="100" w:type="dxa"/>
              <w:right w:w="100" w:type="dxa"/>
            </w:tcMar>
          </w:tcPr>
          <w:p w14:paraId="237A5479" w14:textId="77777777" w:rsidR="00D84CD6" w:rsidRDefault="00000000">
            <w:pPr>
              <w:widowControl w:val="0"/>
              <w:pBdr>
                <w:top w:val="nil"/>
                <w:left w:val="nil"/>
                <w:bottom w:val="nil"/>
                <w:right w:val="nil"/>
                <w:between w:val="nil"/>
              </w:pBdr>
              <w:spacing w:before="0" w:line="240" w:lineRule="auto"/>
              <w:rPr>
                <w:b/>
              </w:rPr>
            </w:pPr>
            <w:r>
              <w:rPr>
                <w:b/>
              </w:rPr>
              <w:t>Severity</w:t>
            </w:r>
          </w:p>
        </w:tc>
        <w:tc>
          <w:tcPr>
            <w:tcW w:w="1110" w:type="dxa"/>
            <w:shd w:val="clear" w:color="auto" w:fill="C9DAF8"/>
            <w:tcMar>
              <w:top w:w="100" w:type="dxa"/>
              <w:left w:w="100" w:type="dxa"/>
              <w:bottom w:w="100" w:type="dxa"/>
              <w:right w:w="100" w:type="dxa"/>
            </w:tcMar>
          </w:tcPr>
          <w:p w14:paraId="27077648" w14:textId="77777777" w:rsidR="00D84CD6" w:rsidRDefault="00000000">
            <w:pPr>
              <w:widowControl w:val="0"/>
              <w:pBdr>
                <w:top w:val="nil"/>
                <w:left w:val="nil"/>
                <w:bottom w:val="nil"/>
                <w:right w:val="nil"/>
                <w:between w:val="nil"/>
              </w:pBdr>
              <w:spacing w:before="0" w:line="240" w:lineRule="auto"/>
              <w:rPr>
                <w:b/>
              </w:rPr>
            </w:pPr>
            <w:r>
              <w:rPr>
                <w:b/>
              </w:rPr>
              <w:t>Risk</w:t>
            </w:r>
          </w:p>
        </w:tc>
      </w:tr>
      <w:tr w:rsidR="00D84CD6" w14:paraId="3336D3E8" w14:textId="77777777">
        <w:tc>
          <w:tcPr>
            <w:tcW w:w="1860" w:type="dxa"/>
            <w:shd w:val="clear" w:color="auto" w:fill="auto"/>
            <w:tcMar>
              <w:top w:w="100" w:type="dxa"/>
              <w:left w:w="100" w:type="dxa"/>
              <w:bottom w:w="100" w:type="dxa"/>
              <w:right w:w="100" w:type="dxa"/>
            </w:tcMar>
          </w:tcPr>
          <w:p w14:paraId="2456F7EF" w14:textId="2BFF226B" w:rsidR="00D84CD6" w:rsidRDefault="00330AFA">
            <w:pPr>
              <w:widowControl w:val="0"/>
              <w:pBdr>
                <w:top w:val="nil"/>
                <w:left w:val="nil"/>
                <w:bottom w:val="nil"/>
                <w:right w:val="nil"/>
                <w:between w:val="nil"/>
              </w:pBdr>
              <w:spacing w:before="0" w:line="240" w:lineRule="auto"/>
              <w:rPr>
                <w:i/>
              </w:rPr>
            </w:pPr>
            <w:r>
              <w:rPr>
                <w:i/>
              </w:rPr>
              <w:t>Hacker</w:t>
            </w:r>
          </w:p>
        </w:tc>
        <w:tc>
          <w:tcPr>
            <w:tcW w:w="3615" w:type="dxa"/>
            <w:shd w:val="clear" w:color="auto" w:fill="auto"/>
            <w:tcMar>
              <w:top w:w="100" w:type="dxa"/>
              <w:left w:w="100" w:type="dxa"/>
              <w:bottom w:w="100" w:type="dxa"/>
              <w:right w:w="100" w:type="dxa"/>
            </w:tcMar>
          </w:tcPr>
          <w:p w14:paraId="377250D6" w14:textId="1C64670D" w:rsidR="00D84CD6" w:rsidRDefault="00330AFA">
            <w:pPr>
              <w:widowControl w:val="0"/>
              <w:pBdr>
                <w:top w:val="nil"/>
                <w:left w:val="nil"/>
                <w:bottom w:val="nil"/>
                <w:right w:val="nil"/>
                <w:between w:val="nil"/>
              </w:pBdr>
              <w:spacing w:before="0" w:line="240" w:lineRule="auto"/>
              <w:rPr>
                <w:i/>
              </w:rPr>
            </w:pPr>
            <w:r>
              <w:rPr>
                <w:i/>
              </w:rPr>
              <w:t>Obtain sensitive information via exfiltration</w:t>
            </w:r>
          </w:p>
        </w:tc>
        <w:tc>
          <w:tcPr>
            <w:tcW w:w="1395" w:type="dxa"/>
            <w:shd w:val="clear" w:color="auto" w:fill="auto"/>
            <w:tcMar>
              <w:top w:w="100" w:type="dxa"/>
              <w:left w:w="100" w:type="dxa"/>
              <w:bottom w:w="100" w:type="dxa"/>
              <w:right w:w="100" w:type="dxa"/>
            </w:tcMar>
          </w:tcPr>
          <w:p w14:paraId="3793E062" w14:textId="649C2D24" w:rsidR="00D84CD6" w:rsidRDefault="00330AFA">
            <w:pPr>
              <w:widowControl w:val="0"/>
              <w:pBdr>
                <w:top w:val="nil"/>
                <w:left w:val="nil"/>
                <w:bottom w:val="nil"/>
                <w:right w:val="nil"/>
                <w:between w:val="nil"/>
              </w:pBdr>
              <w:spacing w:before="0" w:line="240" w:lineRule="auto"/>
              <w:rPr>
                <w:i/>
              </w:rPr>
            </w:pPr>
            <w:r>
              <w:rPr>
                <w:i/>
              </w:rPr>
              <w:t>3</w:t>
            </w:r>
          </w:p>
        </w:tc>
        <w:tc>
          <w:tcPr>
            <w:tcW w:w="1320" w:type="dxa"/>
            <w:shd w:val="clear" w:color="auto" w:fill="auto"/>
            <w:tcMar>
              <w:top w:w="100" w:type="dxa"/>
              <w:left w:w="100" w:type="dxa"/>
              <w:bottom w:w="100" w:type="dxa"/>
              <w:right w:w="100" w:type="dxa"/>
            </w:tcMar>
          </w:tcPr>
          <w:p w14:paraId="3F13E3BF" w14:textId="77777777" w:rsidR="00D84CD6" w:rsidRDefault="00000000">
            <w:pPr>
              <w:widowControl w:val="0"/>
              <w:pBdr>
                <w:top w:val="nil"/>
                <w:left w:val="nil"/>
                <w:bottom w:val="nil"/>
                <w:right w:val="nil"/>
                <w:between w:val="nil"/>
              </w:pBdr>
              <w:spacing w:before="0" w:line="240" w:lineRule="auto"/>
              <w:rPr>
                <w:i/>
              </w:rPr>
            </w:pPr>
            <w:r>
              <w:rPr>
                <w:i/>
              </w:rPr>
              <w:t>3</w:t>
            </w:r>
          </w:p>
        </w:tc>
        <w:tc>
          <w:tcPr>
            <w:tcW w:w="1110" w:type="dxa"/>
            <w:shd w:val="clear" w:color="auto" w:fill="auto"/>
            <w:tcMar>
              <w:top w:w="100" w:type="dxa"/>
              <w:left w:w="100" w:type="dxa"/>
              <w:bottom w:w="100" w:type="dxa"/>
              <w:right w:w="100" w:type="dxa"/>
            </w:tcMar>
          </w:tcPr>
          <w:p w14:paraId="7914EF8C" w14:textId="055B5E5B" w:rsidR="00D84CD6" w:rsidRDefault="00330AFA">
            <w:pPr>
              <w:widowControl w:val="0"/>
              <w:pBdr>
                <w:top w:val="nil"/>
                <w:left w:val="nil"/>
                <w:bottom w:val="nil"/>
                <w:right w:val="nil"/>
                <w:between w:val="nil"/>
              </w:pBdr>
              <w:spacing w:before="0" w:line="240" w:lineRule="auto"/>
              <w:rPr>
                <w:i/>
              </w:rPr>
            </w:pPr>
            <w:r>
              <w:rPr>
                <w:i/>
              </w:rPr>
              <w:t>9</w:t>
            </w:r>
          </w:p>
        </w:tc>
      </w:tr>
      <w:tr w:rsidR="00D84CD6" w14:paraId="4AA2F6C3" w14:textId="77777777">
        <w:tc>
          <w:tcPr>
            <w:tcW w:w="1860" w:type="dxa"/>
            <w:shd w:val="clear" w:color="auto" w:fill="auto"/>
            <w:tcMar>
              <w:top w:w="100" w:type="dxa"/>
              <w:left w:w="100" w:type="dxa"/>
              <w:bottom w:w="100" w:type="dxa"/>
              <w:right w:w="100" w:type="dxa"/>
            </w:tcMar>
          </w:tcPr>
          <w:p w14:paraId="596C4378" w14:textId="2980DE07" w:rsidR="00D84CD6" w:rsidRDefault="002C0564">
            <w:pPr>
              <w:widowControl w:val="0"/>
              <w:pBdr>
                <w:top w:val="nil"/>
                <w:left w:val="nil"/>
                <w:bottom w:val="nil"/>
                <w:right w:val="nil"/>
                <w:between w:val="nil"/>
              </w:pBdr>
              <w:spacing w:before="0" w:line="240" w:lineRule="auto"/>
              <w:rPr>
                <w:i/>
              </w:rPr>
            </w:pPr>
            <w:r>
              <w:rPr>
                <w:i/>
              </w:rPr>
              <w:t>System Admin</w:t>
            </w:r>
          </w:p>
        </w:tc>
        <w:tc>
          <w:tcPr>
            <w:tcW w:w="3615" w:type="dxa"/>
            <w:shd w:val="clear" w:color="auto" w:fill="auto"/>
            <w:tcMar>
              <w:top w:w="100" w:type="dxa"/>
              <w:left w:w="100" w:type="dxa"/>
              <w:bottom w:w="100" w:type="dxa"/>
              <w:right w:w="100" w:type="dxa"/>
            </w:tcMar>
          </w:tcPr>
          <w:p w14:paraId="29654AC8" w14:textId="107020CE" w:rsidR="00D84CD6" w:rsidRDefault="002C0564">
            <w:pPr>
              <w:widowControl w:val="0"/>
              <w:pBdr>
                <w:top w:val="nil"/>
                <w:left w:val="nil"/>
                <w:bottom w:val="nil"/>
                <w:right w:val="nil"/>
                <w:between w:val="nil"/>
              </w:pBdr>
              <w:spacing w:before="0" w:line="240" w:lineRule="auto"/>
              <w:rPr>
                <w:i/>
              </w:rPr>
            </w:pPr>
            <w:r>
              <w:rPr>
                <w:i/>
              </w:rPr>
              <w:t>Insider Threat</w:t>
            </w:r>
          </w:p>
        </w:tc>
        <w:tc>
          <w:tcPr>
            <w:tcW w:w="1395" w:type="dxa"/>
            <w:shd w:val="clear" w:color="auto" w:fill="auto"/>
            <w:tcMar>
              <w:top w:w="100" w:type="dxa"/>
              <w:left w:w="100" w:type="dxa"/>
              <w:bottom w:w="100" w:type="dxa"/>
              <w:right w:w="100" w:type="dxa"/>
            </w:tcMar>
          </w:tcPr>
          <w:p w14:paraId="2DF29B9F" w14:textId="291A941D" w:rsidR="00D84CD6" w:rsidRDefault="00330AFA">
            <w:pPr>
              <w:widowControl w:val="0"/>
              <w:pBdr>
                <w:top w:val="nil"/>
                <w:left w:val="nil"/>
                <w:bottom w:val="nil"/>
                <w:right w:val="nil"/>
                <w:between w:val="nil"/>
              </w:pBdr>
              <w:spacing w:before="0" w:line="240" w:lineRule="auto"/>
              <w:rPr>
                <w:i/>
              </w:rPr>
            </w:pPr>
            <w:r>
              <w:rPr>
                <w:i/>
              </w:rPr>
              <w:t>2</w:t>
            </w:r>
          </w:p>
        </w:tc>
        <w:tc>
          <w:tcPr>
            <w:tcW w:w="1320" w:type="dxa"/>
            <w:shd w:val="clear" w:color="auto" w:fill="auto"/>
            <w:tcMar>
              <w:top w:w="100" w:type="dxa"/>
              <w:left w:w="100" w:type="dxa"/>
              <w:bottom w:w="100" w:type="dxa"/>
              <w:right w:w="100" w:type="dxa"/>
            </w:tcMar>
          </w:tcPr>
          <w:p w14:paraId="4F48E8BE" w14:textId="3288AE2B" w:rsidR="00D84CD6" w:rsidRDefault="00330AFA">
            <w:pPr>
              <w:widowControl w:val="0"/>
              <w:pBdr>
                <w:top w:val="nil"/>
                <w:left w:val="nil"/>
                <w:bottom w:val="nil"/>
                <w:right w:val="nil"/>
                <w:between w:val="nil"/>
              </w:pBdr>
              <w:spacing w:before="0" w:line="240" w:lineRule="auto"/>
              <w:rPr>
                <w:i/>
              </w:rPr>
            </w:pPr>
            <w:r>
              <w:rPr>
                <w:i/>
              </w:rPr>
              <w:t>3</w:t>
            </w:r>
          </w:p>
        </w:tc>
        <w:tc>
          <w:tcPr>
            <w:tcW w:w="1110" w:type="dxa"/>
            <w:shd w:val="clear" w:color="auto" w:fill="auto"/>
            <w:tcMar>
              <w:top w:w="100" w:type="dxa"/>
              <w:left w:w="100" w:type="dxa"/>
              <w:bottom w:w="100" w:type="dxa"/>
              <w:right w:w="100" w:type="dxa"/>
            </w:tcMar>
          </w:tcPr>
          <w:p w14:paraId="3B15B3E4" w14:textId="23F4DAC0" w:rsidR="00D84CD6" w:rsidRDefault="00330AFA">
            <w:pPr>
              <w:widowControl w:val="0"/>
              <w:pBdr>
                <w:top w:val="nil"/>
                <w:left w:val="nil"/>
                <w:bottom w:val="nil"/>
                <w:right w:val="nil"/>
                <w:between w:val="nil"/>
              </w:pBdr>
              <w:spacing w:before="0" w:line="240" w:lineRule="auto"/>
              <w:rPr>
                <w:i/>
              </w:rPr>
            </w:pPr>
            <w:r>
              <w:rPr>
                <w:i/>
              </w:rPr>
              <w:t>6</w:t>
            </w:r>
          </w:p>
        </w:tc>
      </w:tr>
      <w:tr w:rsidR="00D84CD6" w14:paraId="1F73B0DB" w14:textId="77777777">
        <w:tc>
          <w:tcPr>
            <w:tcW w:w="1860" w:type="dxa"/>
            <w:shd w:val="clear" w:color="auto" w:fill="auto"/>
            <w:tcMar>
              <w:top w:w="100" w:type="dxa"/>
              <w:left w:w="100" w:type="dxa"/>
              <w:bottom w:w="100" w:type="dxa"/>
              <w:right w:w="100" w:type="dxa"/>
            </w:tcMar>
          </w:tcPr>
          <w:p w14:paraId="68E174DF" w14:textId="5778D883" w:rsidR="00D84CD6" w:rsidRDefault="00330AFA">
            <w:pPr>
              <w:widowControl w:val="0"/>
              <w:pBdr>
                <w:top w:val="nil"/>
                <w:left w:val="nil"/>
                <w:bottom w:val="nil"/>
                <w:right w:val="nil"/>
                <w:between w:val="nil"/>
              </w:pBdr>
              <w:spacing w:before="0" w:line="240" w:lineRule="auto"/>
              <w:rPr>
                <w:i/>
              </w:rPr>
            </w:pPr>
            <w:r>
              <w:rPr>
                <w:i/>
              </w:rPr>
              <w:t>Customer</w:t>
            </w:r>
          </w:p>
        </w:tc>
        <w:tc>
          <w:tcPr>
            <w:tcW w:w="3615" w:type="dxa"/>
            <w:shd w:val="clear" w:color="auto" w:fill="auto"/>
            <w:tcMar>
              <w:top w:w="100" w:type="dxa"/>
              <w:left w:w="100" w:type="dxa"/>
              <w:bottom w:w="100" w:type="dxa"/>
              <w:right w:w="100" w:type="dxa"/>
            </w:tcMar>
          </w:tcPr>
          <w:p w14:paraId="2C4D8DA4" w14:textId="17A53D0B" w:rsidR="00D84CD6" w:rsidRDefault="00330AFA">
            <w:pPr>
              <w:widowControl w:val="0"/>
              <w:pBdr>
                <w:top w:val="nil"/>
                <w:left w:val="nil"/>
                <w:bottom w:val="nil"/>
                <w:right w:val="nil"/>
                <w:between w:val="nil"/>
              </w:pBdr>
              <w:spacing w:before="0" w:line="240" w:lineRule="auto"/>
              <w:rPr>
                <w:i/>
              </w:rPr>
            </w:pPr>
            <w:r>
              <w:rPr>
                <w:i/>
              </w:rPr>
              <w:t>Alter/Delete critical information</w:t>
            </w:r>
          </w:p>
        </w:tc>
        <w:tc>
          <w:tcPr>
            <w:tcW w:w="1395" w:type="dxa"/>
            <w:shd w:val="clear" w:color="auto" w:fill="auto"/>
            <w:tcMar>
              <w:top w:w="100" w:type="dxa"/>
              <w:left w:w="100" w:type="dxa"/>
              <w:bottom w:w="100" w:type="dxa"/>
              <w:right w:w="100" w:type="dxa"/>
            </w:tcMar>
          </w:tcPr>
          <w:p w14:paraId="363FA55E" w14:textId="0378B6EB" w:rsidR="00D84CD6" w:rsidRDefault="00330AFA">
            <w:pPr>
              <w:widowControl w:val="0"/>
              <w:pBdr>
                <w:top w:val="nil"/>
                <w:left w:val="nil"/>
                <w:bottom w:val="nil"/>
                <w:right w:val="nil"/>
                <w:between w:val="nil"/>
              </w:pBdr>
              <w:spacing w:before="0" w:line="240" w:lineRule="auto"/>
              <w:rPr>
                <w:i/>
              </w:rPr>
            </w:pPr>
            <w:r>
              <w:rPr>
                <w:i/>
              </w:rPr>
              <w:t>1</w:t>
            </w:r>
          </w:p>
        </w:tc>
        <w:tc>
          <w:tcPr>
            <w:tcW w:w="1320" w:type="dxa"/>
            <w:shd w:val="clear" w:color="auto" w:fill="auto"/>
            <w:tcMar>
              <w:top w:w="100" w:type="dxa"/>
              <w:left w:w="100" w:type="dxa"/>
              <w:bottom w:w="100" w:type="dxa"/>
              <w:right w:w="100" w:type="dxa"/>
            </w:tcMar>
          </w:tcPr>
          <w:p w14:paraId="42B7EA5B" w14:textId="490E0D91" w:rsidR="00D84CD6" w:rsidRDefault="00330AFA">
            <w:pPr>
              <w:widowControl w:val="0"/>
              <w:pBdr>
                <w:top w:val="nil"/>
                <w:left w:val="nil"/>
                <w:bottom w:val="nil"/>
                <w:right w:val="nil"/>
                <w:between w:val="nil"/>
              </w:pBdr>
              <w:spacing w:before="0" w:line="240" w:lineRule="auto"/>
              <w:rPr>
                <w:i/>
              </w:rPr>
            </w:pPr>
            <w:r>
              <w:rPr>
                <w:i/>
              </w:rPr>
              <w:t>3</w:t>
            </w:r>
          </w:p>
        </w:tc>
        <w:tc>
          <w:tcPr>
            <w:tcW w:w="1110" w:type="dxa"/>
            <w:shd w:val="clear" w:color="auto" w:fill="auto"/>
            <w:tcMar>
              <w:top w:w="100" w:type="dxa"/>
              <w:left w:w="100" w:type="dxa"/>
              <w:bottom w:w="100" w:type="dxa"/>
              <w:right w:w="100" w:type="dxa"/>
            </w:tcMar>
          </w:tcPr>
          <w:p w14:paraId="24A66B6B" w14:textId="3B2B565B" w:rsidR="00D84CD6" w:rsidRDefault="00330AFA">
            <w:pPr>
              <w:widowControl w:val="0"/>
              <w:pBdr>
                <w:top w:val="nil"/>
                <w:left w:val="nil"/>
                <w:bottom w:val="nil"/>
                <w:right w:val="nil"/>
                <w:between w:val="nil"/>
              </w:pBdr>
              <w:spacing w:before="0" w:line="240" w:lineRule="auto"/>
              <w:rPr>
                <w:i/>
              </w:rPr>
            </w:pPr>
            <w:r>
              <w:rPr>
                <w:i/>
              </w:rPr>
              <w:t>3</w:t>
            </w:r>
          </w:p>
        </w:tc>
      </w:tr>
    </w:tbl>
    <w:p w14:paraId="345471E3" w14:textId="77777777" w:rsidR="00D84CD6" w:rsidRDefault="00D84CD6">
      <w:pPr>
        <w:pBdr>
          <w:top w:val="nil"/>
          <w:left w:val="nil"/>
          <w:bottom w:val="nil"/>
          <w:right w:val="nil"/>
          <w:between w:val="nil"/>
        </w:pBdr>
      </w:pPr>
    </w:p>
    <w:p w14:paraId="26A1F160" w14:textId="77777777" w:rsidR="00D84CD6" w:rsidRDefault="00000000">
      <w:pPr>
        <w:pStyle w:val="Heading1"/>
      </w:pPr>
      <w:bookmarkStart w:id="7" w:name="_a9ivkvfuz16w" w:colFirst="0" w:colLast="0"/>
      <w:bookmarkEnd w:id="7"/>
      <w:r>
        <w:lastRenderedPageBreak/>
        <w:t>Approach</w:t>
      </w:r>
    </w:p>
    <w:p w14:paraId="5295D80F" w14:textId="266D122C" w:rsidR="00DD6AAE" w:rsidRDefault="00DD6AAE">
      <w:pPr>
        <w:pStyle w:val="Heading1"/>
        <w:pBdr>
          <w:top w:val="nil"/>
          <w:left w:val="nil"/>
          <w:bottom w:val="nil"/>
          <w:right w:val="nil"/>
          <w:between w:val="nil"/>
        </w:pBdr>
        <w:rPr>
          <w:rFonts w:ascii="Google Sans" w:eastAsia="Google Sans" w:hAnsi="Google Sans" w:cs="Google Sans"/>
          <w:b w:val="0"/>
          <w:sz w:val="22"/>
          <w:szCs w:val="22"/>
        </w:rPr>
      </w:pPr>
      <w:bookmarkStart w:id="8" w:name="_vf6vykh0xvv7" w:colFirst="0" w:colLast="0"/>
      <w:bookmarkEnd w:id="8"/>
      <w:r w:rsidRPr="00DD6AAE">
        <w:rPr>
          <w:rFonts w:ascii="Google Sans" w:eastAsia="Google Sans" w:hAnsi="Google Sans" w:cs="Google Sans"/>
          <w:b w:val="0"/>
          <w:sz w:val="22"/>
          <w:szCs w:val="22"/>
        </w:rPr>
        <w:t>The data storage and management procedures that were taken into consideration to measure the Risks. Based on the likelihood of the Risk assessment table, Potential threat sources and events were determined. This is also considered with the open access permissions of the information system. The severity of the potential incidents w</w:t>
      </w:r>
      <w:r>
        <w:rPr>
          <w:rFonts w:ascii="Google Sans" w:eastAsia="Google Sans" w:hAnsi="Google Sans" w:cs="Google Sans"/>
          <w:b w:val="0"/>
          <w:sz w:val="22"/>
          <w:szCs w:val="22"/>
        </w:rPr>
        <w:t>ere</w:t>
      </w:r>
      <w:r w:rsidRPr="00DD6AAE">
        <w:rPr>
          <w:rFonts w:ascii="Google Sans" w:eastAsia="Google Sans" w:hAnsi="Google Sans" w:cs="Google Sans"/>
          <w:b w:val="0"/>
          <w:sz w:val="22"/>
          <w:szCs w:val="22"/>
        </w:rPr>
        <w:t xml:space="preserve"> weighed against the impact on day</w:t>
      </w:r>
      <w:r>
        <w:rPr>
          <w:rFonts w:ascii="Google Sans" w:eastAsia="Google Sans" w:hAnsi="Google Sans" w:cs="Google Sans"/>
          <w:b w:val="0"/>
          <w:sz w:val="22"/>
          <w:szCs w:val="22"/>
        </w:rPr>
        <w:t>-</w:t>
      </w:r>
      <w:r w:rsidRPr="00DD6AAE">
        <w:rPr>
          <w:rFonts w:ascii="Google Sans" w:eastAsia="Google Sans" w:hAnsi="Google Sans" w:cs="Google Sans"/>
          <w:b w:val="0"/>
          <w:sz w:val="22"/>
          <w:szCs w:val="22"/>
        </w:rPr>
        <w:t>to</w:t>
      </w:r>
      <w:r>
        <w:rPr>
          <w:rFonts w:ascii="Google Sans" w:eastAsia="Google Sans" w:hAnsi="Google Sans" w:cs="Google Sans"/>
          <w:b w:val="0"/>
          <w:sz w:val="22"/>
          <w:szCs w:val="22"/>
        </w:rPr>
        <w:t>-</w:t>
      </w:r>
      <w:r w:rsidRPr="00DD6AAE">
        <w:rPr>
          <w:rFonts w:ascii="Google Sans" w:eastAsia="Google Sans" w:hAnsi="Google Sans" w:cs="Google Sans"/>
          <w:b w:val="0"/>
          <w:sz w:val="22"/>
          <w:szCs w:val="22"/>
        </w:rPr>
        <w:t>day operational needs.</w:t>
      </w:r>
    </w:p>
    <w:p w14:paraId="2F286443" w14:textId="781B83A2" w:rsidR="00D84CD6" w:rsidRDefault="00000000">
      <w:pPr>
        <w:pStyle w:val="Heading1"/>
        <w:pBdr>
          <w:top w:val="nil"/>
          <w:left w:val="nil"/>
          <w:bottom w:val="nil"/>
          <w:right w:val="nil"/>
          <w:between w:val="nil"/>
        </w:pBdr>
      </w:pPr>
      <w:r>
        <w:t>Remediation Strategy</w:t>
      </w:r>
    </w:p>
    <w:p w14:paraId="3B9B248C" w14:textId="7BC6D17C" w:rsidR="00D84CD6" w:rsidRDefault="00DD6AAE">
      <w:pPr>
        <w:pBdr>
          <w:top w:val="nil"/>
          <w:left w:val="nil"/>
          <w:bottom w:val="nil"/>
          <w:right w:val="nil"/>
          <w:between w:val="nil"/>
        </w:pBdr>
      </w:pPr>
      <w:r w:rsidRPr="00DD6AAE">
        <w:t>Deploying of authentication, authorization and auditing mechanisms to make sure that only authorized users access the database server. This involves limiting user privileges through the use of multi-factor authentication, role-based access controls and secure passwords. TLS encryption, as opposed to SSL, for data in transit. IP allow-listing for business offices to stop arbitrary internet users from accessing the database</w:t>
      </w:r>
    </w:p>
    <w:sectPr w:rsidR="00D84CD6">
      <w:headerReference w:type="default" r:id="rId8"/>
      <w:footerReference w:type="default" r:id="rId9"/>
      <w:headerReference w:type="first" r:id="rId10"/>
      <w:footerReference w:type="first" r:id="rId11"/>
      <w:pgSz w:w="12240" w:h="15840"/>
      <w:pgMar w:top="1080" w:right="1440" w:bottom="1080" w:left="1440" w:header="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526696" w14:textId="77777777" w:rsidR="009727B9" w:rsidRDefault="009727B9">
      <w:pPr>
        <w:spacing w:before="0" w:line="240" w:lineRule="auto"/>
      </w:pPr>
      <w:r>
        <w:separator/>
      </w:r>
    </w:p>
  </w:endnote>
  <w:endnote w:type="continuationSeparator" w:id="0">
    <w:p w14:paraId="28319012" w14:textId="77777777" w:rsidR="009727B9" w:rsidRDefault="009727B9">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oogle Sans">
    <w:charset w:val="00"/>
    <w:family w:val="auto"/>
    <w:pitch w:val="default"/>
    <w:embedRegular r:id="rId1" w:fontKey="{4EF73C6E-43C0-4326-8DA4-25AAACF0AA1F}"/>
    <w:embedBold r:id="rId2" w:fontKey="{21E2F759-EABA-4757-9111-4038F734C1A7}"/>
    <w:embedItalic r:id="rId3" w:fontKey="{32A1354A-E6D3-4D63-8F7C-72F29573B4B8}"/>
  </w:font>
  <w:font w:name="Proxima Nova">
    <w:charset w:val="00"/>
    <w:family w:val="auto"/>
    <w:pitch w:val="default"/>
    <w:embedRegular r:id="rId4" w:fontKey="{AEADFB7E-3F77-4283-B354-D6B23995422E}"/>
    <w:embedBold r:id="rId5" w:fontKey="{AC4A8BD4-8A4C-4CFE-A9EE-1164C264C890}"/>
  </w:font>
  <w:font w:name="Trebuchet MS">
    <w:panose1 w:val="020B0603020202020204"/>
    <w:charset w:val="00"/>
    <w:family w:val="swiss"/>
    <w:pitch w:val="variable"/>
    <w:sig w:usb0="00000687" w:usb1="00000000" w:usb2="00000000" w:usb3="00000000" w:csb0="0000009F" w:csb1="00000000"/>
    <w:embedRegular r:id="rId6" w:fontKey="{E3920628-617B-4D9B-8F01-CE05870B4FD2}"/>
    <w:embedItalic r:id="rId7" w:fontKey="{8FA3E04A-BF82-4496-82E1-C3764A2E1F26}"/>
  </w:font>
  <w:font w:name="Calibri">
    <w:panose1 w:val="020F0502020204030204"/>
    <w:charset w:val="00"/>
    <w:family w:val="swiss"/>
    <w:pitch w:val="variable"/>
    <w:sig w:usb0="E4002EFF" w:usb1="C000247B" w:usb2="00000009" w:usb3="00000000" w:csb0="000001FF" w:csb1="00000000"/>
    <w:embedRegular r:id="rId8" w:fontKey="{6ACFB8FE-F7F3-427F-8AC0-B99917C560E6}"/>
  </w:font>
  <w:font w:name="Latha">
    <w:panose1 w:val="020B0604020202020204"/>
    <w:charset w:val="00"/>
    <w:family w:val="swiss"/>
    <w:pitch w:val="variable"/>
    <w:sig w:usb0="00100003" w:usb1="00000000" w:usb2="00000000" w:usb3="00000000" w:csb0="00000001" w:csb1="00000000"/>
    <w:embedRegular r:id="rId9" w:fontKey="{D77F45DF-41E6-4F49-9FC6-07C77260C3C2}"/>
  </w:font>
  <w:font w:name="Cambria">
    <w:panose1 w:val="02040503050406030204"/>
    <w:charset w:val="00"/>
    <w:family w:val="roman"/>
    <w:pitch w:val="variable"/>
    <w:sig w:usb0="E00006FF" w:usb1="420024FF" w:usb2="02000000" w:usb3="00000000" w:csb0="0000019F" w:csb1="00000000"/>
    <w:embedRegular r:id="rId10" w:fontKey="{CA0B6441-7C56-4D7F-B579-67682E313EA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8B09D3" w14:textId="77777777" w:rsidR="00D84CD6" w:rsidRDefault="00D84CD6"/>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2D649A" w14:textId="77777777" w:rsidR="00D84CD6" w:rsidRDefault="00D84CD6">
    <w:pPr>
      <w:pBdr>
        <w:top w:val="nil"/>
        <w:left w:val="nil"/>
        <w:bottom w:val="nil"/>
        <w:right w:val="nil"/>
        <w:between w:val="nil"/>
      </w:pBd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43C153" w14:textId="77777777" w:rsidR="009727B9" w:rsidRDefault="009727B9">
      <w:pPr>
        <w:spacing w:before="0" w:line="240" w:lineRule="auto"/>
      </w:pPr>
      <w:r>
        <w:separator/>
      </w:r>
    </w:p>
  </w:footnote>
  <w:footnote w:type="continuationSeparator" w:id="0">
    <w:p w14:paraId="7891DF55" w14:textId="77777777" w:rsidR="009727B9" w:rsidRDefault="009727B9">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646348" w14:textId="77777777" w:rsidR="00D84CD6" w:rsidRDefault="00D84CD6">
    <w:pPr>
      <w:pBdr>
        <w:top w:val="nil"/>
        <w:left w:val="nil"/>
        <w:bottom w:val="nil"/>
        <w:right w:val="nil"/>
        <w:between w:val="nil"/>
      </w:pBdr>
      <w:spacing w:befor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F9A211" w14:textId="77777777" w:rsidR="00D84CD6" w:rsidRDefault="00D84CD6">
    <w:pPr>
      <w:pBdr>
        <w:top w:val="nil"/>
        <w:left w:val="nil"/>
        <w:bottom w:val="nil"/>
        <w:right w:val="nil"/>
        <w:between w:val="nil"/>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A437E9"/>
    <w:multiLevelType w:val="multilevel"/>
    <w:tmpl w:val="5252A7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6141705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4CD6"/>
    <w:rsid w:val="002C0564"/>
    <w:rsid w:val="00330AFA"/>
    <w:rsid w:val="007C572F"/>
    <w:rsid w:val="009727B9"/>
    <w:rsid w:val="00A47C9E"/>
    <w:rsid w:val="00CD2C17"/>
    <w:rsid w:val="00D84CD6"/>
    <w:rsid w:val="00DD6AAE"/>
    <w:rsid w:val="00E17168"/>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DBFC58"/>
  <w15:docId w15:val="{2EEECA82-9D25-40A7-AD15-F309D2DE23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oogle Sans" w:eastAsia="Google Sans" w:hAnsi="Google Sans" w:cs="Google Sans"/>
        <w:color w:val="353744"/>
        <w:sz w:val="22"/>
        <w:szCs w:val="22"/>
        <w:lang w:val="en" w:eastAsia="en-IN" w:bidi="ta-IN"/>
      </w:rPr>
    </w:rPrDefault>
    <w:pPrDefault>
      <w:pPr>
        <w:spacing w:before="200"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480" w:line="240" w:lineRule="auto"/>
      <w:outlineLvl w:val="0"/>
    </w:pPr>
    <w:rPr>
      <w:rFonts w:ascii="Proxima Nova" w:eastAsia="Proxima Nova" w:hAnsi="Proxima Nova" w:cs="Proxima Nova"/>
      <w:b/>
      <w:sz w:val="28"/>
      <w:szCs w:val="28"/>
    </w:rPr>
  </w:style>
  <w:style w:type="paragraph" w:styleId="Heading2">
    <w:name w:val="heading 2"/>
    <w:basedOn w:val="Normal"/>
    <w:next w:val="Normal"/>
    <w:uiPriority w:val="9"/>
    <w:semiHidden/>
    <w:unhideWhenUsed/>
    <w:qFormat/>
    <w:pPr>
      <w:spacing w:before="320" w:line="240" w:lineRule="auto"/>
      <w:outlineLvl w:val="1"/>
    </w:pPr>
    <w:rPr>
      <w:b/>
      <w:color w:val="00AB44"/>
      <w:sz w:val="28"/>
      <w:szCs w:val="28"/>
    </w:rPr>
  </w:style>
  <w:style w:type="paragraph" w:styleId="Heading3">
    <w:name w:val="heading 3"/>
    <w:basedOn w:val="Normal"/>
    <w:next w:val="Normal"/>
    <w:uiPriority w:val="9"/>
    <w:semiHidden/>
    <w:unhideWhenUsed/>
    <w:qFormat/>
    <w:pPr>
      <w:spacing w:line="240" w:lineRule="auto"/>
      <w:outlineLvl w:val="2"/>
    </w:pPr>
    <w:rPr>
      <w:sz w:val="26"/>
      <w:szCs w:val="26"/>
    </w:rPr>
  </w:style>
  <w:style w:type="paragraph" w:styleId="Heading4">
    <w:name w:val="heading 4"/>
    <w:basedOn w:val="Normal"/>
    <w:next w:val="Normal"/>
    <w:uiPriority w:val="9"/>
    <w:semiHidden/>
    <w:unhideWhenUsed/>
    <w:qFormat/>
    <w:pPr>
      <w:keepNext/>
      <w:keepLines/>
      <w:spacing w:before="160"/>
      <w:outlineLvl w:val="3"/>
    </w:pPr>
    <w:rPr>
      <w:rFonts w:ascii="Trebuchet MS" w:eastAsia="Trebuchet MS" w:hAnsi="Trebuchet MS" w:cs="Trebuchet MS"/>
      <w:color w:val="666666"/>
      <w:u w:val="single"/>
    </w:rPr>
  </w:style>
  <w:style w:type="paragraph" w:styleId="Heading5">
    <w:name w:val="heading 5"/>
    <w:basedOn w:val="Normal"/>
    <w:next w:val="Normal"/>
    <w:uiPriority w:val="9"/>
    <w:semiHidden/>
    <w:unhideWhenUsed/>
    <w:qFormat/>
    <w:pPr>
      <w:keepNext/>
      <w:keepLines/>
      <w:spacing w:before="160"/>
      <w:outlineLvl w:val="4"/>
    </w:pPr>
    <w:rPr>
      <w:rFonts w:ascii="Trebuchet MS" w:eastAsia="Trebuchet MS" w:hAnsi="Trebuchet MS" w:cs="Trebuchet MS"/>
      <w:color w:val="666666"/>
    </w:rPr>
  </w:style>
  <w:style w:type="paragraph" w:styleId="Heading6">
    <w:name w:val="heading 6"/>
    <w:basedOn w:val="Normal"/>
    <w:next w:val="Normal"/>
    <w:uiPriority w:val="9"/>
    <w:semiHidden/>
    <w:unhideWhenUsed/>
    <w:qFormat/>
    <w:pPr>
      <w:keepNext/>
      <w:keepLines/>
      <w:spacing w:before="160"/>
      <w:outlineLvl w:val="5"/>
    </w:pPr>
    <w:rPr>
      <w:rFonts w:ascii="Trebuchet MS" w:eastAsia="Trebuchet MS" w:hAnsi="Trebuchet MS" w:cs="Trebuchet MS"/>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spacing w:before="320" w:line="240" w:lineRule="auto"/>
    </w:pPr>
    <w:rPr>
      <w:sz w:val="72"/>
      <w:szCs w:val="72"/>
    </w:rPr>
  </w:style>
  <w:style w:type="paragraph" w:styleId="Subtitle">
    <w:name w:val="Subtitle"/>
    <w:basedOn w:val="Normal"/>
    <w:next w:val="Normal"/>
    <w:uiPriority w:val="11"/>
    <w:qFormat/>
    <w:pPr>
      <w:spacing w:before="0" w:line="240" w:lineRule="auto"/>
    </w:pPr>
    <w:rPr>
      <w:color w:val="666666"/>
      <w:sz w:val="26"/>
      <w:szCs w:val="26"/>
    </w:rPr>
  </w:style>
  <w:style w:type="table" w:customStyle="1" w:styleId="a">
    <w:basedOn w:val="TableNormal0"/>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docs.google.com/document/d/1pRpdpQMEWskxSkwqEMv8W7A7x8GXQlcn0hEcDzWet3Y/template/preview?usp=sharing&amp;resourcekey=0-3GRRWAd8HryVgof-Jc33yA"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TotalTime>
  <Pages>2</Pages>
  <Words>339</Words>
  <Characters>1934</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Dhanush</cp:lastModifiedBy>
  <cp:revision>5</cp:revision>
  <dcterms:created xsi:type="dcterms:W3CDTF">2025-07-18T14:22:00Z</dcterms:created>
  <dcterms:modified xsi:type="dcterms:W3CDTF">2025-07-20T14:50:00Z</dcterms:modified>
</cp:coreProperties>
</file>